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685165</wp:posOffset>
            </wp:positionV>
            <wp:extent cx="715835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8355" cy="6985"/>
                    </a:xfrm>
                    <a:prstGeom prst="rect">
                      <a:avLst/>
                    </a:prstGeom>
                    <a:noFill/>
                  </pic:spPr>
                </pic:pic>
              </a:graphicData>
            </a:graphic>
          </wp:anchor>
        </w:drawing>
        <w:drawing>
          <wp:anchor simplePos="0" relativeHeight="251657728" behindDoc="1" locked="0" layoutInCell="0" allowOverlap="1">
            <wp:simplePos x="0" y="0"/>
            <wp:positionH relativeFrom="page">
              <wp:posOffset>194945</wp:posOffset>
            </wp:positionH>
            <wp:positionV relativeFrom="page">
              <wp:posOffset>657860</wp:posOffset>
            </wp:positionV>
            <wp:extent cx="715835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8355" cy="6985"/>
                    </a:xfrm>
                    <a:prstGeom prst="rect">
                      <a:avLst/>
                    </a:prstGeom>
                    <a:noFill/>
                  </pic:spPr>
                </pic:pic>
              </a:graphicData>
            </a:graphic>
          </wp:anchor>
        </w:drawing>
        <w:t>UNITED STATES</w:t>
      </w:r>
    </w:p>
    <w:p>
      <w:pPr>
        <w:jc w:val="center"/>
        <w:spacing w:after="0"/>
        <w:rPr>
          <w:sz w:val="20"/>
          <w:szCs w:val="20"/>
          <w:color w:val="auto"/>
        </w:rPr>
      </w:pPr>
      <w:r>
        <w:rPr>
          <w:rFonts w:ascii="Arial" w:cs="Arial" w:eastAsia="Arial" w:hAnsi="Arial"/>
          <w:sz w:val="12"/>
          <w:szCs w:val="12"/>
          <w:b w:val="1"/>
          <w:bCs w:val="1"/>
          <w:color w:val="auto"/>
        </w:rPr>
        <w:t>SECURITIES AND EXCHANGE COMMISSION</w:t>
      </w:r>
    </w:p>
    <w:p>
      <w:pPr>
        <w:jc w:val="center"/>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715835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15835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pacing w:after="0" w:line="191" w:lineRule="exact"/>
        <w:rPr>
          <w:sz w:val="24"/>
          <w:szCs w:val="24"/>
          <w:color w:val="auto"/>
        </w:rPr>
      </w:pPr>
    </w:p>
    <w:p>
      <w:pPr>
        <w:ind w:left="440"/>
        <w:spacing w:after="0"/>
        <w:rPr>
          <w:sz w:val="20"/>
          <w:szCs w:val="20"/>
          <w:color w:val="auto"/>
        </w:rPr>
      </w:pPr>
      <w:r>
        <w:rPr>
          <w:rFonts w:ascii="Arial" w:cs="Arial" w:eastAsia="Arial" w:hAnsi="Arial"/>
          <w:sz w:val="12"/>
          <w:szCs w:val="12"/>
          <w:b w:val="1"/>
          <w:bCs w:val="1"/>
          <w:color w:val="auto"/>
        </w:rPr>
        <w:t>(Mark One)</w:t>
      </w:r>
    </w:p>
    <w:p>
      <w:pPr>
        <w:spacing w:after="0" w:line="14" w:lineRule="exact"/>
        <w:rPr>
          <w:sz w:val="24"/>
          <w:szCs w:val="24"/>
          <w:color w:val="auto"/>
        </w:rPr>
      </w:pPr>
    </w:p>
    <w:p>
      <w:pPr>
        <w:ind w:left="1480" w:hanging="1447"/>
        <w:spacing w:after="0"/>
        <w:tabs>
          <w:tab w:leader="none" w:pos="1480" w:val="left"/>
        </w:tabs>
        <w:numPr>
          <w:ilvl w:val="0"/>
          <w:numId w:val="1"/>
        </w:numPr>
        <w:rPr>
          <w:rFonts w:ascii="MS PGothic" w:cs="MS PGothic" w:eastAsia="MS PGothic" w:hAnsi="MS PGothic"/>
          <w:sz w:val="15"/>
          <w:szCs w:val="15"/>
          <w:color w:val="auto"/>
        </w:rPr>
      </w:pPr>
      <w:r>
        <w:rPr>
          <w:rFonts w:ascii="Arial" w:cs="Arial" w:eastAsia="Arial" w:hAnsi="Arial"/>
          <w:sz w:val="12"/>
          <w:szCs w:val="12"/>
          <w:b w:val="1"/>
          <w:bCs w:val="1"/>
          <w:color w:val="auto"/>
        </w:rPr>
        <w:t>ANNUAL REPORT PURSUANT TO SECTION 13 OR 15(d) OF THE SECURITIES EXCHANGE ACT OF 1934</w:t>
      </w:r>
    </w:p>
    <w:p>
      <w:pPr>
        <w:spacing w:after="0" w:line="338" w:lineRule="exact"/>
        <w:rPr>
          <w:sz w:val="24"/>
          <w:szCs w:val="24"/>
          <w:color w:val="auto"/>
        </w:rPr>
      </w:pPr>
    </w:p>
    <w:p>
      <w:pPr>
        <w:ind w:left="4520" w:right="3840" w:hanging="4487"/>
        <w:spacing w:after="0" w:line="321" w:lineRule="auto"/>
        <w:tabs>
          <w:tab w:leader="none" w:pos="1467" w:val="left"/>
        </w:tabs>
        <w:numPr>
          <w:ilvl w:val="0"/>
          <w:numId w:val="2"/>
        </w:numPr>
        <w:rPr>
          <w:rFonts w:ascii="MS PGothic" w:cs="MS PGothic" w:eastAsia="MS PGothic" w:hAnsi="MS PGothic"/>
          <w:sz w:val="15"/>
          <w:szCs w:val="15"/>
          <w:color w:val="auto"/>
        </w:rPr>
      </w:pPr>
      <w:r>
        <w:rPr>
          <w:rFonts w:ascii="Arial" w:cs="Arial" w:eastAsia="Arial" w:hAnsi="Arial"/>
          <w:sz w:val="12"/>
          <w:szCs w:val="12"/>
          <w:b w:val="1"/>
          <w:bCs w:val="1"/>
          <w:color w:val="auto"/>
        </w:rPr>
        <w:t>TRANSITION REPORT PURSUANT TO SECTION 13 OR 15(d) OF THE SECURITIES EXCHANGE ACT OF 1934 For the transition period from ___ to ___</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 xml:space="preserve">Commission File Number: </w:t>
      </w:r>
      <w:r>
        <w:rPr>
          <w:rFonts w:ascii="Arial" w:cs="Arial" w:eastAsia="Arial" w:hAnsi="Arial"/>
          <w:sz w:val="12"/>
          <w:szCs w:val="12"/>
          <w:color w:val="auto"/>
        </w:rPr>
        <w:t>001-37552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2418715</wp:posOffset>
            </wp:positionH>
            <wp:positionV relativeFrom="paragraph">
              <wp:posOffset>182245</wp:posOffset>
            </wp:positionV>
            <wp:extent cx="2330450" cy="652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30450" cy="652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WILLSCOT MOBILE MINI HOLDINGS CORP.</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139"/>
        </w:trPr>
        <w:tc>
          <w:tcPr>
            <w:tcW w:w="2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160" w:type="dxa"/>
            <w:vAlign w:val="bottom"/>
            <w:gridSpan w:val="3"/>
          </w:tcPr>
          <w:p>
            <w:pPr>
              <w:jc w:val="center"/>
              <w:ind w:right="100"/>
              <w:spacing w:after="0"/>
              <w:rPr>
                <w:sz w:val="20"/>
                <w:szCs w:val="20"/>
                <w:color w:val="auto"/>
              </w:rPr>
            </w:pPr>
            <w:r>
              <w:rPr>
                <w:rFonts w:ascii="Arial" w:cs="Arial" w:eastAsia="Arial" w:hAnsi="Arial"/>
                <w:sz w:val="12"/>
                <w:szCs w:val="12"/>
                <w:color w:val="auto"/>
                <w:w w:val="97"/>
              </w:rPr>
              <w:t>(Exact name of registrant as specified in its charter)</w:t>
            </w:r>
          </w:p>
        </w:tc>
        <w:tc>
          <w:tcPr>
            <w:tcW w:w="700" w:type="dxa"/>
            <w:vAlign w:val="bottom"/>
          </w:tcPr>
          <w:p>
            <w:pPr>
              <w:spacing w:after="0"/>
              <w:rPr>
                <w:sz w:val="12"/>
                <w:szCs w:val="12"/>
                <w:color w:val="auto"/>
              </w:rPr>
            </w:pPr>
          </w:p>
        </w:tc>
        <w:tc>
          <w:tcPr>
            <w:tcW w:w="2560" w:type="dxa"/>
            <w:vAlign w:val="bottom"/>
          </w:tcPr>
          <w:p>
            <w:pPr>
              <w:spacing w:after="0"/>
              <w:rPr>
                <w:sz w:val="12"/>
                <w:szCs w:val="12"/>
                <w:color w:val="auto"/>
              </w:rPr>
            </w:pPr>
          </w:p>
        </w:tc>
      </w:tr>
      <w:tr>
        <w:trPr>
          <w:trHeight w:val="164"/>
        </w:trPr>
        <w:tc>
          <w:tcPr>
            <w:tcW w:w="2060" w:type="dxa"/>
            <w:vAlign w:val="bottom"/>
          </w:tcPr>
          <w:p>
            <w:pPr>
              <w:spacing w:after="0"/>
              <w:rPr>
                <w:sz w:val="14"/>
                <w:szCs w:val="14"/>
                <w:color w:val="auto"/>
              </w:rPr>
            </w:pPr>
          </w:p>
        </w:tc>
        <w:tc>
          <w:tcPr>
            <w:tcW w:w="2060" w:type="dxa"/>
            <w:vAlign w:val="bottom"/>
            <w:gridSpan w:val="2"/>
          </w:tcPr>
          <w:p>
            <w:pPr>
              <w:jc w:val="center"/>
              <w:ind w:right="480"/>
              <w:spacing w:after="0"/>
              <w:rPr>
                <w:sz w:val="20"/>
                <w:szCs w:val="20"/>
                <w:color w:val="auto"/>
              </w:rPr>
            </w:pPr>
            <w:r>
              <w:rPr>
                <w:rFonts w:ascii="Arial" w:cs="Arial" w:eastAsia="Arial" w:hAnsi="Arial"/>
                <w:sz w:val="12"/>
                <w:szCs w:val="12"/>
                <w:b w:val="1"/>
                <w:bCs w:val="1"/>
                <w:color w:val="auto"/>
                <w:w w:val="94"/>
              </w:rPr>
              <w:t>Delaware</w:t>
            </w:r>
          </w:p>
        </w:tc>
        <w:tc>
          <w:tcPr>
            <w:tcW w:w="1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60" w:type="dxa"/>
            <w:vAlign w:val="bottom"/>
            <w:gridSpan w:val="2"/>
          </w:tcPr>
          <w:p>
            <w:pPr>
              <w:jc w:val="right"/>
              <w:ind w:right="1722"/>
              <w:spacing w:after="0"/>
              <w:rPr>
                <w:sz w:val="20"/>
                <w:szCs w:val="20"/>
                <w:color w:val="auto"/>
              </w:rPr>
            </w:pPr>
            <w:r>
              <w:rPr>
                <w:rFonts w:ascii="Arial" w:cs="Arial" w:eastAsia="Arial" w:hAnsi="Arial"/>
                <w:sz w:val="12"/>
                <w:szCs w:val="12"/>
                <w:b w:val="1"/>
                <w:bCs w:val="1"/>
                <w:color w:val="auto"/>
              </w:rPr>
              <w:t>82-3430194</w:t>
            </w:r>
          </w:p>
        </w:tc>
      </w:tr>
      <w:tr>
        <w:trPr>
          <w:trHeight w:val="153"/>
        </w:trPr>
        <w:tc>
          <w:tcPr>
            <w:tcW w:w="4120" w:type="dxa"/>
            <w:vAlign w:val="bottom"/>
            <w:gridSpan w:val="3"/>
          </w:tcPr>
          <w:p>
            <w:pPr>
              <w:jc w:val="center"/>
              <w:ind w:left="1542"/>
              <w:spacing w:after="0"/>
              <w:rPr>
                <w:sz w:val="20"/>
                <w:szCs w:val="20"/>
                <w:color w:val="auto"/>
              </w:rPr>
            </w:pPr>
            <w:r>
              <w:rPr>
                <w:rFonts w:ascii="Arial" w:cs="Arial" w:eastAsia="Arial" w:hAnsi="Arial"/>
                <w:sz w:val="12"/>
                <w:szCs w:val="12"/>
                <w:color w:val="auto"/>
                <w:w w:val="96"/>
              </w:rPr>
              <w:t>(State or other jurisdiction of incorporation)</w:t>
            </w:r>
          </w:p>
        </w:tc>
        <w:tc>
          <w:tcPr>
            <w:tcW w:w="1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60" w:type="dxa"/>
            <w:vAlign w:val="bottom"/>
            <w:gridSpan w:val="2"/>
          </w:tcPr>
          <w:p>
            <w:pPr>
              <w:jc w:val="center"/>
              <w:ind w:right="882"/>
              <w:spacing w:after="0"/>
              <w:rPr>
                <w:sz w:val="20"/>
                <w:szCs w:val="20"/>
                <w:color w:val="auto"/>
              </w:rPr>
            </w:pPr>
            <w:r>
              <w:rPr>
                <w:rFonts w:ascii="Arial" w:cs="Arial" w:eastAsia="Arial" w:hAnsi="Arial"/>
                <w:sz w:val="12"/>
                <w:szCs w:val="12"/>
                <w:color w:val="auto"/>
                <w:w w:val="97"/>
              </w:rPr>
              <w:t>(I.R.S. Employer Identification No.)</w:t>
            </w:r>
          </w:p>
        </w:tc>
      </w:tr>
      <w:tr>
        <w:trPr>
          <w:trHeight w:val="196"/>
        </w:trPr>
        <w:tc>
          <w:tcPr>
            <w:tcW w:w="2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16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6"/>
              </w:rPr>
              <w:t>4646 E Van Buren St., Suite 400</w:t>
            </w:r>
          </w:p>
        </w:tc>
        <w:tc>
          <w:tcPr>
            <w:tcW w:w="70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145"/>
        </w:trPr>
        <w:tc>
          <w:tcPr>
            <w:tcW w:w="2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16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6"/>
              </w:rPr>
              <w:t>Phoenix, Arizona 85008</w:t>
            </w:r>
          </w:p>
        </w:tc>
        <w:tc>
          <w:tcPr>
            <w:tcW w:w="700" w:type="dxa"/>
            <w:vAlign w:val="bottom"/>
          </w:tcPr>
          <w:p>
            <w:pPr>
              <w:spacing w:after="0"/>
              <w:rPr>
                <w:sz w:val="12"/>
                <w:szCs w:val="12"/>
                <w:color w:val="auto"/>
              </w:rPr>
            </w:pPr>
          </w:p>
        </w:tc>
        <w:tc>
          <w:tcPr>
            <w:tcW w:w="2560" w:type="dxa"/>
            <w:vAlign w:val="bottom"/>
          </w:tcPr>
          <w:p>
            <w:pPr>
              <w:spacing w:after="0"/>
              <w:rPr>
                <w:sz w:val="12"/>
                <w:szCs w:val="12"/>
                <w:color w:val="auto"/>
              </w:rPr>
            </w:pPr>
          </w:p>
        </w:tc>
      </w:tr>
      <w:tr>
        <w:trPr>
          <w:trHeight w:val="117"/>
        </w:trPr>
        <w:tc>
          <w:tcPr>
            <w:tcW w:w="2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160" w:type="dxa"/>
            <w:vAlign w:val="bottom"/>
            <w:gridSpan w:val="3"/>
          </w:tcPr>
          <w:p>
            <w:pPr>
              <w:jc w:val="center"/>
              <w:ind w:right="120"/>
              <w:spacing w:after="0" w:line="117" w:lineRule="exact"/>
              <w:rPr>
                <w:sz w:val="20"/>
                <w:szCs w:val="20"/>
                <w:color w:val="auto"/>
              </w:rPr>
            </w:pPr>
            <w:r>
              <w:rPr>
                <w:rFonts w:ascii="Arial" w:cs="Arial" w:eastAsia="Arial" w:hAnsi="Arial"/>
                <w:sz w:val="12"/>
                <w:szCs w:val="12"/>
                <w:color w:val="auto"/>
                <w:w w:val="97"/>
              </w:rPr>
              <w:t>(Address of principal executive offices)</w:t>
            </w:r>
          </w:p>
        </w:tc>
        <w:tc>
          <w:tcPr>
            <w:tcW w:w="700" w:type="dxa"/>
            <w:vAlign w:val="bottom"/>
          </w:tcPr>
          <w:p>
            <w:pPr>
              <w:spacing w:after="0"/>
              <w:rPr>
                <w:sz w:val="10"/>
                <w:szCs w:val="10"/>
                <w:color w:val="auto"/>
              </w:rPr>
            </w:pPr>
          </w:p>
        </w:tc>
        <w:tc>
          <w:tcPr>
            <w:tcW w:w="2560" w:type="dxa"/>
            <w:vAlign w:val="bottom"/>
          </w:tcPr>
          <w:p>
            <w:pPr>
              <w:spacing w:after="0"/>
              <w:rPr>
                <w:sz w:val="10"/>
                <w:szCs w:val="10"/>
                <w:color w:val="auto"/>
              </w:rPr>
            </w:pPr>
          </w:p>
        </w:tc>
      </w:tr>
      <w:tr>
        <w:trPr>
          <w:trHeight w:val="145"/>
        </w:trPr>
        <w:tc>
          <w:tcPr>
            <w:tcW w:w="2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580" w:type="dxa"/>
            <w:vAlign w:val="bottom"/>
            <w:gridSpan w:val="2"/>
          </w:tcPr>
          <w:p>
            <w:pPr>
              <w:jc w:val="center"/>
              <w:ind w:left="402"/>
              <w:spacing w:after="0"/>
              <w:rPr>
                <w:sz w:val="20"/>
                <w:szCs w:val="20"/>
                <w:color w:val="auto"/>
              </w:rPr>
            </w:pPr>
            <w:r>
              <w:rPr>
                <w:rFonts w:ascii="Arial" w:cs="Arial" w:eastAsia="Arial" w:hAnsi="Arial"/>
                <w:sz w:val="12"/>
                <w:szCs w:val="12"/>
                <w:b w:val="1"/>
                <w:bCs w:val="1"/>
                <w:color w:val="auto"/>
                <w:w w:val="97"/>
              </w:rPr>
              <w:t>(480) 894-6311</w:t>
            </w: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560" w:type="dxa"/>
            <w:vAlign w:val="bottom"/>
          </w:tcPr>
          <w:p>
            <w:pPr>
              <w:spacing w:after="0"/>
              <w:rPr>
                <w:sz w:val="12"/>
                <w:szCs w:val="12"/>
                <w:color w:val="auto"/>
              </w:rPr>
            </w:pPr>
          </w:p>
        </w:tc>
      </w:tr>
      <w:tr>
        <w:trPr>
          <w:trHeight w:val="139"/>
        </w:trPr>
        <w:tc>
          <w:tcPr>
            <w:tcW w:w="2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160" w:type="dxa"/>
            <w:vAlign w:val="bottom"/>
            <w:gridSpan w:val="3"/>
          </w:tcPr>
          <w:p>
            <w:pPr>
              <w:jc w:val="center"/>
              <w:ind w:right="120"/>
              <w:spacing w:after="0"/>
              <w:rPr>
                <w:sz w:val="20"/>
                <w:szCs w:val="20"/>
                <w:color w:val="auto"/>
              </w:rPr>
            </w:pPr>
            <w:r>
              <w:rPr>
                <w:rFonts w:ascii="Arial" w:cs="Arial" w:eastAsia="Arial" w:hAnsi="Arial"/>
                <w:sz w:val="12"/>
                <w:szCs w:val="12"/>
                <w:color w:val="auto"/>
                <w:w w:val="96"/>
              </w:rPr>
              <w:t>(Registrant’s telephone number, including area code)</w:t>
            </w:r>
          </w:p>
        </w:tc>
        <w:tc>
          <w:tcPr>
            <w:tcW w:w="700" w:type="dxa"/>
            <w:vAlign w:val="bottom"/>
          </w:tcPr>
          <w:p>
            <w:pPr>
              <w:spacing w:after="0"/>
              <w:rPr>
                <w:sz w:val="12"/>
                <w:szCs w:val="12"/>
                <w:color w:val="auto"/>
              </w:rPr>
            </w:pPr>
          </w:p>
        </w:tc>
        <w:tc>
          <w:tcPr>
            <w:tcW w:w="2560" w:type="dxa"/>
            <w:vAlign w:val="bottom"/>
          </w:tcPr>
          <w:p>
            <w:pPr>
              <w:spacing w:after="0"/>
              <w:rPr>
                <w:sz w:val="12"/>
                <w:szCs w:val="12"/>
                <w:color w:val="auto"/>
              </w:rPr>
            </w:pPr>
          </w:p>
        </w:tc>
      </w:tr>
      <w:tr>
        <w:trPr>
          <w:trHeight w:val="328"/>
        </w:trPr>
        <w:tc>
          <w:tcPr>
            <w:tcW w:w="4120" w:type="dxa"/>
            <w:vAlign w:val="bottom"/>
            <w:gridSpan w:val="3"/>
          </w:tcPr>
          <w:p>
            <w:pPr>
              <w:spacing w:after="0"/>
              <w:rPr>
                <w:sz w:val="20"/>
                <w:szCs w:val="20"/>
                <w:color w:val="auto"/>
              </w:rPr>
            </w:pPr>
            <w:r>
              <w:rPr>
                <w:rFonts w:ascii="Arial" w:cs="Arial" w:eastAsia="Arial" w:hAnsi="Arial"/>
                <w:sz w:val="12"/>
                <w:szCs w:val="12"/>
                <w:color w:val="auto"/>
              </w:rPr>
              <w:t>Securities registered pursuant to Section 12(b) of the Act:</w:t>
            </w:r>
          </w:p>
        </w:tc>
        <w:tc>
          <w:tcPr>
            <w:tcW w:w="1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141"/>
        </w:trPr>
        <w:tc>
          <w:tcPr>
            <w:tcW w:w="2060" w:type="dxa"/>
            <w:vAlign w:val="bottom"/>
          </w:tcPr>
          <w:p>
            <w:pPr>
              <w:spacing w:after="0"/>
              <w:rPr>
                <w:sz w:val="12"/>
                <w:szCs w:val="12"/>
                <w:color w:val="auto"/>
              </w:rPr>
            </w:pPr>
          </w:p>
        </w:tc>
        <w:tc>
          <w:tcPr>
            <w:tcW w:w="1040" w:type="dxa"/>
            <w:vAlign w:val="bottom"/>
          </w:tcPr>
          <w:p>
            <w:pPr>
              <w:spacing w:after="0"/>
              <w:rPr>
                <w:sz w:val="20"/>
                <w:szCs w:val="20"/>
                <w:color w:val="auto"/>
              </w:rPr>
            </w:pPr>
            <w:r>
              <w:rPr>
                <w:rFonts w:ascii="Arial" w:cs="Arial" w:eastAsia="Arial" w:hAnsi="Arial"/>
                <w:sz w:val="12"/>
                <w:szCs w:val="12"/>
                <w:b w:val="1"/>
                <w:bCs w:val="1"/>
                <w:color w:val="auto"/>
                <w:w w:val="95"/>
              </w:rPr>
              <w:t>Title of Each Class</w:t>
            </w:r>
          </w:p>
        </w:tc>
        <w:tc>
          <w:tcPr>
            <w:tcW w:w="10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0" w:type="dxa"/>
            <w:vAlign w:val="bottom"/>
            <w:gridSpan w:val="2"/>
          </w:tcPr>
          <w:p>
            <w:pPr>
              <w:jc w:val="center"/>
              <w:ind w:right="580"/>
              <w:spacing w:after="0"/>
              <w:rPr>
                <w:sz w:val="20"/>
                <w:szCs w:val="20"/>
                <w:color w:val="auto"/>
              </w:rPr>
            </w:pPr>
            <w:r>
              <w:rPr>
                <w:rFonts w:ascii="Arial" w:cs="Arial" w:eastAsia="Arial" w:hAnsi="Arial"/>
                <w:sz w:val="12"/>
                <w:szCs w:val="12"/>
                <w:b w:val="1"/>
                <w:bCs w:val="1"/>
                <w:color w:val="auto"/>
                <w:w w:val="96"/>
              </w:rPr>
              <w:t>Trading Symbol(s)</w:t>
            </w:r>
          </w:p>
        </w:tc>
        <w:tc>
          <w:tcPr>
            <w:tcW w:w="3260" w:type="dxa"/>
            <w:vAlign w:val="bottom"/>
            <w:gridSpan w:val="2"/>
          </w:tcPr>
          <w:p>
            <w:pPr>
              <w:jc w:val="center"/>
              <w:ind w:left="642"/>
              <w:spacing w:after="0"/>
              <w:rPr>
                <w:sz w:val="20"/>
                <w:szCs w:val="20"/>
                <w:color w:val="auto"/>
              </w:rPr>
            </w:pPr>
            <w:r>
              <w:rPr>
                <w:rFonts w:ascii="Arial" w:cs="Arial" w:eastAsia="Arial" w:hAnsi="Arial"/>
                <w:sz w:val="12"/>
                <w:szCs w:val="12"/>
                <w:b w:val="1"/>
                <w:bCs w:val="1"/>
                <w:color w:val="auto"/>
                <w:w w:val="97"/>
              </w:rPr>
              <w:t>Name of Each Exchange on Which Registered</w:t>
            </w:r>
          </w:p>
        </w:tc>
      </w:tr>
      <w:tr>
        <w:trPr>
          <w:trHeight w:val="20"/>
        </w:trPr>
        <w:tc>
          <w:tcPr>
            <w:tcW w:w="20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r>
      <w:tr>
        <w:trPr>
          <w:trHeight w:val="156"/>
        </w:trPr>
        <w:tc>
          <w:tcPr>
            <w:tcW w:w="4120" w:type="dxa"/>
            <w:vAlign w:val="bottom"/>
            <w:gridSpan w:val="3"/>
          </w:tcPr>
          <w:p>
            <w:pPr>
              <w:ind w:left="280"/>
              <w:spacing w:after="0"/>
              <w:rPr>
                <w:sz w:val="20"/>
                <w:szCs w:val="20"/>
                <w:color w:val="auto"/>
              </w:rPr>
            </w:pPr>
            <w:r>
              <w:rPr>
                <w:rFonts w:ascii="Arial" w:cs="Arial" w:eastAsia="Arial" w:hAnsi="Arial"/>
                <w:sz w:val="12"/>
                <w:szCs w:val="12"/>
                <w:color w:val="auto"/>
              </w:rPr>
              <w:t>Common Stock, par value $0.0001 per share</w:t>
            </w:r>
          </w:p>
        </w:tc>
        <w:tc>
          <w:tcPr>
            <w:tcW w:w="1560" w:type="dxa"/>
            <w:vAlign w:val="bottom"/>
          </w:tcPr>
          <w:p>
            <w:pPr>
              <w:spacing w:after="0"/>
              <w:rPr>
                <w:sz w:val="13"/>
                <w:szCs w:val="13"/>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2"/>
                <w:szCs w:val="12"/>
                <w:color w:val="auto"/>
                <w:w w:val="99"/>
              </w:rPr>
              <w:t>WSC</w:t>
            </w:r>
          </w:p>
        </w:tc>
        <w:tc>
          <w:tcPr>
            <w:tcW w:w="700" w:type="dxa"/>
            <w:vAlign w:val="bottom"/>
          </w:tcPr>
          <w:p>
            <w:pPr>
              <w:spacing w:after="0"/>
              <w:rPr>
                <w:sz w:val="13"/>
                <w:szCs w:val="13"/>
                <w:color w:val="auto"/>
              </w:rPr>
            </w:pPr>
          </w:p>
        </w:tc>
        <w:tc>
          <w:tcPr>
            <w:tcW w:w="2560" w:type="dxa"/>
            <w:vAlign w:val="bottom"/>
          </w:tcPr>
          <w:p>
            <w:pPr>
              <w:jc w:val="center"/>
              <w:spacing w:after="0"/>
              <w:rPr>
                <w:sz w:val="20"/>
                <w:szCs w:val="20"/>
                <w:color w:val="auto"/>
              </w:rPr>
            </w:pPr>
            <w:r>
              <w:rPr>
                <w:rFonts w:ascii="Arial" w:cs="Arial" w:eastAsia="Arial" w:hAnsi="Arial"/>
                <w:sz w:val="12"/>
                <w:szCs w:val="12"/>
                <w:color w:val="auto"/>
                <w:w w:val="95"/>
              </w:rPr>
              <w:t>The Nasdaq Capital Market</w:t>
            </w:r>
          </w:p>
        </w:tc>
      </w:tr>
      <w:tr>
        <w:trPr>
          <w:trHeight w:val="200"/>
        </w:trPr>
        <w:tc>
          <w:tcPr>
            <w:tcW w:w="4120" w:type="dxa"/>
            <w:vAlign w:val="bottom"/>
            <w:gridSpan w:val="3"/>
          </w:tcPr>
          <w:p>
            <w:pPr>
              <w:ind w:left="280"/>
              <w:spacing w:after="0"/>
              <w:rPr>
                <w:sz w:val="20"/>
                <w:szCs w:val="20"/>
                <w:color w:val="auto"/>
              </w:rPr>
            </w:pPr>
            <w:r>
              <w:rPr>
                <w:rFonts w:ascii="Arial" w:cs="Arial" w:eastAsia="Arial" w:hAnsi="Arial"/>
                <w:sz w:val="12"/>
                <w:szCs w:val="12"/>
                <w:color w:val="auto"/>
              </w:rPr>
              <w:t>Warrants to purchase Common Stock</w:t>
            </w:r>
            <w:r>
              <w:rPr>
                <w:rFonts w:ascii="Arial" w:cs="Arial" w:eastAsia="Arial" w:hAnsi="Arial"/>
                <w:sz w:val="15"/>
                <w:szCs w:val="15"/>
                <w:color w:val="auto"/>
                <w:vertAlign w:val="superscript"/>
              </w:rPr>
              <w:t>(1)</w:t>
            </w:r>
          </w:p>
        </w:tc>
        <w:tc>
          <w:tcPr>
            <w:tcW w:w="1560" w:type="dxa"/>
            <w:vAlign w:val="bottom"/>
          </w:tcPr>
          <w:p>
            <w:pPr>
              <w:spacing w:after="0"/>
              <w:rPr>
                <w:sz w:val="17"/>
                <w:szCs w:val="17"/>
                <w:color w:val="auto"/>
              </w:rPr>
            </w:pPr>
          </w:p>
        </w:tc>
        <w:tc>
          <w:tcPr>
            <w:tcW w:w="1600" w:type="dxa"/>
            <w:vAlign w:val="bottom"/>
            <w:gridSpan w:val="2"/>
          </w:tcPr>
          <w:p>
            <w:pPr>
              <w:jc w:val="center"/>
              <w:ind w:right="580"/>
              <w:spacing w:after="0"/>
              <w:rPr>
                <w:sz w:val="20"/>
                <w:szCs w:val="20"/>
                <w:color w:val="auto"/>
              </w:rPr>
            </w:pPr>
            <w:r>
              <w:rPr>
                <w:rFonts w:ascii="Arial" w:cs="Arial" w:eastAsia="Arial" w:hAnsi="Arial"/>
                <w:sz w:val="12"/>
                <w:szCs w:val="12"/>
                <w:color w:val="auto"/>
                <w:w w:val="98"/>
              </w:rPr>
              <w:t>WSCTW</w:t>
            </w:r>
          </w:p>
        </w:tc>
        <w:tc>
          <w:tcPr>
            <w:tcW w:w="700" w:type="dxa"/>
            <w:vAlign w:val="bottom"/>
          </w:tcPr>
          <w:p>
            <w:pPr>
              <w:spacing w:after="0"/>
              <w:rPr>
                <w:sz w:val="17"/>
                <w:szCs w:val="17"/>
                <w:color w:val="auto"/>
              </w:rPr>
            </w:pPr>
          </w:p>
        </w:tc>
        <w:tc>
          <w:tcPr>
            <w:tcW w:w="2560" w:type="dxa"/>
            <w:vAlign w:val="bottom"/>
          </w:tcPr>
          <w:p>
            <w:pPr>
              <w:jc w:val="center"/>
              <w:spacing w:after="0"/>
              <w:rPr>
                <w:sz w:val="20"/>
                <w:szCs w:val="20"/>
                <w:color w:val="auto"/>
              </w:rPr>
            </w:pPr>
            <w:r>
              <w:rPr>
                <w:rFonts w:ascii="Arial" w:cs="Arial" w:eastAsia="Arial" w:hAnsi="Arial"/>
                <w:sz w:val="12"/>
                <w:szCs w:val="12"/>
                <w:color w:val="auto"/>
                <w:w w:val="97"/>
              </w:rPr>
              <w:t>OTC Markets Group Inc.</w:t>
            </w:r>
          </w:p>
        </w:tc>
      </w:tr>
    </w:tbl>
    <w:p>
      <w:pPr>
        <w:spacing w:after="0" w:line="141" w:lineRule="exact"/>
        <w:rPr>
          <w:sz w:val="24"/>
          <w:szCs w:val="24"/>
          <w:color w:val="auto"/>
        </w:rPr>
      </w:pPr>
    </w:p>
    <w:p>
      <w:pPr>
        <w:ind w:left="140" w:hanging="133"/>
        <w:spacing w:after="0"/>
        <w:tabs>
          <w:tab w:leader="none" w:pos="140" w:val="left"/>
        </w:tabs>
        <w:numPr>
          <w:ilvl w:val="0"/>
          <w:numId w:val="3"/>
        </w:numPr>
        <w:rPr>
          <w:rFonts w:ascii="Arial" w:cs="Arial" w:eastAsia="Arial" w:hAnsi="Arial"/>
          <w:sz w:val="14"/>
          <w:szCs w:val="14"/>
          <w:color w:val="auto"/>
          <w:vertAlign w:val="superscript"/>
        </w:rPr>
      </w:pPr>
      <w:r>
        <w:rPr>
          <w:rFonts w:ascii="Arial" w:cs="Arial" w:eastAsia="Arial" w:hAnsi="Arial"/>
          <w:sz w:val="11"/>
          <w:szCs w:val="11"/>
          <w:color w:val="auto"/>
        </w:rPr>
        <w:t>Issued in connection with the registrant's acquisition of Modular Space Holdings, Inc. in August 2018, which are exercisable for one share of the registrant's common stock at an exercise price of $15.50 per share.</w:t>
      </w: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12"/>
          <w:szCs w:val="12"/>
          <w:color w:val="auto"/>
        </w:rPr>
        <w:t>Securities registered pursuant to Section 12(g) of the Act: None.</w:t>
      </w:r>
    </w:p>
    <w:p>
      <w:pPr>
        <w:spacing w:after="0" w:line="95"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35"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64" w:lineRule="exact"/>
        <w:rPr>
          <w:sz w:val="24"/>
          <w:szCs w:val="24"/>
          <w:color w:val="auto"/>
        </w:rPr>
      </w:pPr>
    </w:p>
    <w:p>
      <w:pPr>
        <w:spacing w:after="0" w:line="143"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20" w:lineRule="exact"/>
        <w:rPr>
          <w:sz w:val="24"/>
          <w:szCs w:val="24"/>
          <w:color w:val="auto"/>
        </w:rPr>
      </w:pPr>
    </w:p>
    <w:p>
      <w:pPr>
        <w:spacing w:after="0" w:line="143"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Regulations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156" w:right="319" w:bottom="1440" w:gutter="0" w:footer="0" w:header="0"/>
        </w:sectPr>
      </w:pPr>
    </w:p>
    <w:bookmarkStart w:id="1" w:name="page2"/>
    <w:bookmarkEnd w:id="1"/>
    <w:p>
      <w:pPr>
        <w:spacing w:after="0" w:line="235"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80"/>
          </w:cols>
          <w:pgMar w:left="300" w:top="974" w:right="319" w:bottom="1440" w:gutter="0" w:footer="0" w:header="0"/>
        </w:sectPr>
      </w:pPr>
    </w:p>
    <w:p>
      <w:pPr>
        <w:spacing w:after="0" w:line="40" w:lineRule="exact"/>
        <w:rPr>
          <w:sz w:val="20"/>
          <w:szCs w:val="20"/>
          <w:color w:val="auto"/>
        </w:rPr>
      </w:pPr>
    </w:p>
    <w:p>
      <w:pPr>
        <w:ind w:left="60"/>
        <w:spacing w:after="0" w:line="115" w:lineRule="exact"/>
        <w:rPr>
          <w:sz w:val="20"/>
          <w:szCs w:val="20"/>
          <w:color w:val="auto"/>
        </w:rPr>
      </w:pPr>
      <w:r>
        <w:rPr>
          <w:rFonts w:ascii="Arial" w:cs="Arial" w:eastAsia="Arial" w:hAnsi="Arial"/>
          <w:sz w:val="10"/>
          <w:szCs w:val="10"/>
          <w:color w:val="auto"/>
        </w:rPr>
        <w:t xml:space="preserve">Large accelerated filer </w:t>
      </w:r>
      <w:r>
        <w:rPr>
          <w:rFonts w:ascii="MS PGothic" w:cs="MS PGothic" w:eastAsia="MS PGothic" w:hAnsi="MS PGothic"/>
          <w:sz w:val="10"/>
          <w:szCs w:val="10"/>
          <w:color w:val="auto"/>
        </w:rPr>
        <w:t>☒</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jc w:val="center"/>
        <w:ind w:right="4660"/>
        <w:spacing w:after="0" w:line="115" w:lineRule="exact"/>
        <w:rPr>
          <w:sz w:val="20"/>
          <w:szCs w:val="20"/>
          <w:color w:val="auto"/>
        </w:rPr>
      </w:pPr>
      <w:r>
        <w:rPr>
          <w:rFonts w:ascii="Arial" w:cs="Arial" w:eastAsia="Arial" w:hAnsi="Arial"/>
          <w:sz w:val="10"/>
          <w:szCs w:val="10"/>
          <w:color w:val="auto"/>
        </w:rPr>
        <w:t xml:space="preserve">Accelerated filer </w:t>
      </w:r>
      <w:r>
        <w:rPr>
          <w:rFonts w:ascii="MS PGothic" w:cs="MS PGothic" w:eastAsia="MS PGothic" w:hAnsi="MS PGothic"/>
          <w:sz w:val="10"/>
          <w:szCs w:val="10"/>
          <w:color w:val="auto"/>
        </w:rPr>
        <w:t>☐</w:t>
      </w:r>
    </w:p>
    <w:p>
      <w:pPr>
        <w:spacing w:after="0" w:line="67" w:lineRule="exact"/>
        <w:rPr>
          <w:sz w:val="20"/>
          <w:szCs w:val="20"/>
          <w:color w:val="auto"/>
        </w:rPr>
      </w:pPr>
    </w:p>
    <w:p>
      <w:pPr>
        <w:sectPr>
          <w:pgSz w:w="11900" w:h="16838" w:orient="portrait"/>
          <w:cols w:equalWidth="0" w:num="2">
            <w:col w:w="4940" w:space="720"/>
            <w:col w:w="5620"/>
          </w:cols>
          <w:pgMar w:left="300" w:top="974" w:right="319" w:bottom="1440" w:gutter="0" w:footer="0" w:header="0"/>
          <w:type w:val="continuous"/>
        </w:sectPr>
      </w:pPr>
    </w:p>
    <w:p>
      <w:pPr>
        <w:ind w:left="60"/>
        <w:spacing w:after="0" w:line="115" w:lineRule="exact"/>
        <w:rPr>
          <w:sz w:val="20"/>
          <w:szCs w:val="20"/>
          <w:color w:val="auto"/>
        </w:rPr>
      </w:pPr>
      <w:r>
        <w:rPr>
          <w:rFonts w:ascii="Arial" w:cs="Arial" w:eastAsia="Arial" w:hAnsi="Arial"/>
          <w:sz w:val="10"/>
          <w:szCs w:val="10"/>
          <w:color w:val="auto"/>
        </w:rPr>
        <w:t xml:space="preserve">Non-accelerated filer </w:t>
      </w:r>
      <w:r>
        <w:rPr>
          <w:rFonts w:ascii="MS PGothic" w:cs="MS PGothic" w:eastAsia="MS PGothic" w:hAnsi="MS PGothic"/>
          <w:sz w:val="10"/>
          <w:szCs w:val="10"/>
          <w:color w:val="auto"/>
        </w:rPr>
        <w:t>☐</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r>
        <w:rPr>
          <w:rFonts w:ascii="Arial" w:cs="Arial" w:eastAsia="Arial" w:hAnsi="Arial"/>
          <w:sz w:val="10"/>
          <w:szCs w:val="10"/>
          <w:color w:val="auto"/>
        </w:rPr>
        <w:t xml:space="preserve">Smaller reporting company </w:t>
      </w:r>
      <w:r>
        <w:rPr>
          <w:rFonts w:ascii="MS PGothic" w:cs="MS PGothic" w:eastAsia="MS PGothic" w:hAnsi="MS PGothic"/>
          <w:sz w:val="10"/>
          <w:szCs w:val="10"/>
          <w:color w:val="auto"/>
        </w:rPr>
        <w:t>☐</w:t>
      </w:r>
    </w:p>
    <w:p>
      <w:pPr>
        <w:spacing w:after="0" w:line="49" w:lineRule="exact"/>
        <w:rPr>
          <w:sz w:val="20"/>
          <w:szCs w:val="20"/>
          <w:color w:val="auto"/>
        </w:rPr>
      </w:pPr>
    </w:p>
    <w:p>
      <w:pPr>
        <w:spacing w:after="0" w:line="115" w:lineRule="exact"/>
        <w:rPr>
          <w:sz w:val="20"/>
          <w:szCs w:val="20"/>
          <w:color w:val="auto"/>
        </w:rPr>
      </w:pPr>
      <w:r>
        <w:rPr>
          <w:rFonts w:ascii="Arial" w:cs="Arial" w:eastAsia="Arial" w:hAnsi="Arial"/>
          <w:sz w:val="10"/>
          <w:szCs w:val="10"/>
          <w:color w:val="auto"/>
        </w:rPr>
        <w:t xml:space="preserve">Emerging growth company </w:t>
      </w:r>
      <w:r>
        <w:rPr>
          <w:rFonts w:ascii="MS PGothic" w:cs="MS PGothic" w:eastAsia="MS PGothic" w:hAnsi="MS PGothic"/>
          <w:sz w:val="10"/>
          <w:szCs w:val="10"/>
          <w:color w:val="auto"/>
        </w:rPr>
        <w:t>☐</w:t>
      </w:r>
    </w:p>
    <w:p>
      <w:pPr>
        <w:spacing w:after="0" w:line="200" w:lineRule="exact"/>
        <w:rPr>
          <w:sz w:val="20"/>
          <w:szCs w:val="20"/>
          <w:color w:val="auto"/>
        </w:rPr>
      </w:pPr>
    </w:p>
    <w:p>
      <w:pPr>
        <w:sectPr>
          <w:pgSz w:w="11900" w:h="16838" w:orient="portrait"/>
          <w:cols w:equalWidth="0" w:num="2">
            <w:col w:w="4940" w:space="720"/>
            <w:col w:w="5620"/>
          </w:cols>
          <w:pgMar w:left="300" w:top="974" w:right="319" w:bottom="1440" w:gutter="0" w:footer="0" w:header="0"/>
          <w:type w:val="continuous"/>
        </w:sectPr>
      </w:pPr>
    </w:p>
    <w:p>
      <w:pPr>
        <w:spacing w:after="0" w:line="56" w:lineRule="exact"/>
        <w:rPr>
          <w:sz w:val="20"/>
          <w:szCs w:val="20"/>
          <w:color w:val="auto"/>
        </w:rPr>
      </w:pPr>
    </w:p>
    <w:p>
      <w:pPr>
        <w:spacing w:after="0" w:line="143"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20" w:lineRule="exact"/>
        <w:rPr>
          <w:sz w:val="20"/>
          <w:szCs w:val="20"/>
          <w:color w:val="auto"/>
        </w:rPr>
      </w:pPr>
    </w:p>
    <w:p>
      <w:pPr>
        <w:spacing w:after="0" w:line="143" w:lineRule="exact"/>
        <w:rPr>
          <w:sz w:val="20"/>
          <w:szCs w:val="20"/>
          <w:color w:val="auto"/>
        </w:rPr>
      </w:pPr>
      <w:r>
        <w:rPr>
          <w:rFonts w:ascii="Arial" w:cs="Arial" w:eastAsia="Arial" w:hAnsi="Arial"/>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spacing w:after="0" w:line="81" w:lineRule="exact"/>
        <w:rPr>
          <w:sz w:val="20"/>
          <w:szCs w:val="20"/>
          <w:color w:val="auto"/>
        </w:rPr>
      </w:pPr>
    </w:p>
    <w:p>
      <w:pPr>
        <w:spacing w:after="0" w:line="138"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64" w:lineRule="exact"/>
        <w:rPr>
          <w:sz w:val="20"/>
          <w:szCs w:val="20"/>
          <w:color w:val="auto"/>
        </w:rPr>
      </w:pPr>
    </w:p>
    <w:p>
      <w:pPr>
        <w:spacing w:after="0" w:line="235" w:lineRule="auto"/>
        <w:rPr>
          <w:sz w:val="20"/>
          <w:szCs w:val="20"/>
          <w:color w:val="auto"/>
        </w:rPr>
      </w:pPr>
      <w:r>
        <w:rPr>
          <w:rFonts w:ascii="Arial" w:cs="Arial" w:eastAsia="Arial" w:hAnsi="Arial"/>
          <w:sz w:val="12"/>
          <w:szCs w:val="12"/>
          <w:color w:val="auto"/>
        </w:rPr>
        <w:t>The aggregate market value of the common shares held by non-affiliates of the registrant, computed as of June 30, 2021 (the last business day of the registrant’s most recently completed second quarter), was approximately $5.5 billion.</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Shares of Common Stock, par value $0.0001 per share, outstanding: 223,277,733 shares at February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62230</wp:posOffset>
            </wp:positionV>
            <wp:extent cx="687578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75780" cy="6985"/>
                    </a:xfrm>
                    <a:prstGeom prst="rect">
                      <a:avLst/>
                    </a:prstGeom>
                    <a:noFill/>
                  </pic:spPr>
                </pic:pic>
              </a:graphicData>
            </a:graphic>
          </wp:anchor>
        </w:drawing>
        <w:drawing>
          <wp:anchor simplePos="0" relativeHeight="251657728" behindDoc="1" locked="0" layoutInCell="0" allowOverlap="1">
            <wp:simplePos x="0" y="0"/>
            <wp:positionH relativeFrom="column">
              <wp:posOffset>337820</wp:posOffset>
            </wp:positionH>
            <wp:positionV relativeFrom="paragraph">
              <wp:posOffset>34925</wp:posOffset>
            </wp:positionV>
            <wp:extent cx="687578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75780" cy="6985"/>
                    </a:xfrm>
                    <a:prstGeom prst="rect">
                      <a:avLst/>
                    </a:prstGeom>
                    <a:noFill/>
                  </pic:spPr>
                </pic:pic>
              </a:graphicData>
            </a:graphic>
          </wp:anchor>
        </w:drawing>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Documents Incorporated by Reference</w:t>
      </w:r>
    </w:p>
    <w:p>
      <w:pPr>
        <w:spacing w:after="0" w:line="69" w:lineRule="exact"/>
        <w:rPr>
          <w:sz w:val="20"/>
          <w:szCs w:val="20"/>
          <w:color w:val="auto"/>
        </w:rPr>
      </w:pPr>
    </w:p>
    <w:p>
      <w:pPr>
        <w:spacing w:after="0" w:line="235" w:lineRule="auto"/>
        <w:rPr>
          <w:sz w:val="20"/>
          <w:szCs w:val="20"/>
          <w:color w:val="auto"/>
        </w:rPr>
      </w:pPr>
      <w:r>
        <w:rPr>
          <w:rFonts w:ascii="Arial" w:cs="Arial" w:eastAsia="Arial" w:hAnsi="Arial"/>
          <w:sz w:val="12"/>
          <w:szCs w:val="12"/>
          <w:color w:val="auto"/>
        </w:rPr>
        <w:t>The information required by Part III of this Report, to the extent not set forth herein, is incorporated herein by reference from the registrant's definitive proxy statement for the 2022 annual meeting of stockholders, which definitive proxy statement will be filed with the Securities and Exchange Commission within 120 days after the end of the fiscal year to which this Report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74" w:right="31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18"/>
        </w:trPr>
        <w:tc>
          <w:tcPr>
            <w:tcW w:w="2080" w:type="dxa"/>
            <w:vAlign w:val="bottom"/>
          </w:tcPr>
          <w:p>
            <w:pPr>
              <w:spacing w:after="0"/>
              <w:rPr>
                <w:sz w:val="18"/>
                <w:szCs w:val="18"/>
                <w:color w:val="auto"/>
              </w:rPr>
            </w:pPr>
          </w:p>
        </w:tc>
        <w:tc>
          <w:tcPr>
            <w:tcW w:w="9160" w:type="dxa"/>
            <w:vAlign w:val="bottom"/>
          </w:tcPr>
          <w:p>
            <w:pPr>
              <w:jc w:val="center"/>
              <w:ind w:right="2011"/>
              <w:spacing w:after="0"/>
              <w:rPr>
                <w:sz w:val="20"/>
                <w:szCs w:val="20"/>
                <w:color w:val="auto"/>
              </w:rPr>
            </w:pPr>
            <w:r>
              <w:rPr>
                <w:rFonts w:ascii="Arial" w:cs="Arial" w:eastAsia="Arial" w:hAnsi="Arial"/>
                <w:sz w:val="19"/>
                <w:szCs w:val="19"/>
                <w:b w:val="1"/>
                <w:bCs w:val="1"/>
                <w:color w:val="1D2758"/>
                <w:w w:val="99"/>
              </w:rPr>
              <w:t>WillScot Mobile Mini Holdings Corp.</w:t>
            </w:r>
          </w:p>
        </w:tc>
      </w:tr>
      <w:tr>
        <w:trPr>
          <w:trHeight w:val="242"/>
        </w:trPr>
        <w:tc>
          <w:tcPr>
            <w:tcW w:w="2080" w:type="dxa"/>
            <w:vAlign w:val="bottom"/>
          </w:tcPr>
          <w:p>
            <w:pPr>
              <w:spacing w:after="0"/>
              <w:rPr>
                <w:sz w:val="21"/>
                <w:szCs w:val="21"/>
                <w:color w:val="auto"/>
              </w:rPr>
            </w:pPr>
          </w:p>
        </w:tc>
        <w:tc>
          <w:tcPr>
            <w:tcW w:w="9160" w:type="dxa"/>
            <w:vAlign w:val="bottom"/>
          </w:tcPr>
          <w:p>
            <w:pPr>
              <w:jc w:val="center"/>
              <w:ind w:right="1991"/>
              <w:spacing w:after="0"/>
              <w:rPr>
                <w:sz w:val="20"/>
                <w:szCs w:val="20"/>
                <w:color w:val="auto"/>
              </w:rPr>
            </w:pPr>
            <w:r>
              <w:rPr>
                <w:rFonts w:ascii="Arial" w:cs="Arial" w:eastAsia="Arial" w:hAnsi="Arial"/>
                <w:sz w:val="19"/>
                <w:szCs w:val="19"/>
                <w:b w:val="1"/>
                <w:bCs w:val="1"/>
                <w:color w:val="1D2758"/>
                <w:w w:val="99"/>
              </w:rPr>
              <w:t>Annual Report on Form 10-K</w:t>
            </w:r>
          </w:p>
        </w:tc>
      </w:tr>
      <w:tr>
        <w:trPr>
          <w:trHeight w:val="232"/>
        </w:trPr>
        <w:tc>
          <w:tcPr>
            <w:tcW w:w="2080" w:type="dxa"/>
            <w:vAlign w:val="bottom"/>
          </w:tcPr>
          <w:p>
            <w:pPr>
              <w:spacing w:after="0"/>
              <w:rPr>
                <w:sz w:val="20"/>
                <w:szCs w:val="20"/>
                <w:color w:val="auto"/>
              </w:rPr>
            </w:pPr>
          </w:p>
        </w:tc>
        <w:tc>
          <w:tcPr>
            <w:tcW w:w="9160" w:type="dxa"/>
            <w:vAlign w:val="bottom"/>
          </w:tcPr>
          <w:p>
            <w:pPr>
              <w:jc w:val="center"/>
              <w:ind w:right="2011"/>
              <w:spacing w:after="0"/>
              <w:rPr>
                <w:sz w:val="20"/>
                <w:szCs w:val="20"/>
                <w:color w:val="auto"/>
              </w:rPr>
            </w:pPr>
            <w:r>
              <w:rPr>
                <w:rFonts w:ascii="Arial" w:cs="Arial" w:eastAsia="Arial" w:hAnsi="Arial"/>
                <w:sz w:val="19"/>
                <w:szCs w:val="19"/>
                <w:color w:val="1D2758"/>
                <w:w w:val="98"/>
              </w:rPr>
              <w:t>Table of Contents</w:t>
            </w:r>
          </w:p>
        </w:tc>
      </w:tr>
      <w:tr>
        <w:trPr>
          <w:trHeight w:val="177"/>
        </w:trPr>
        <w:tc>
          <w:tcPr>
            <w:tcW w:w="2080" w:type="dxa"/>
            <w:vAlign w:val="bottom"/>
            <w:shd w:val="clear" w:color="auto" w:fill="DBDBDB"/>
          </w:tcPr>
          <w:p>
            <w:pPr>
              <w:ind w:left="20"/>
              <w:spacing w:after="0"/>
              <w:rPr>
                <w:rFonts w:ascii="Arial" w:cs="Arial" w:eastAsia="Arial" w:hAnsi="Arial"/>
                <w:sz w:val="13"/>
                <w:szCs w:val="13"/>
                <w:b w:val="1"/>
                <w:bCs w:val="1"/>
                <w:color w:val="auto"/>
              </w:rPr>
            </w:pPr>
            <w:hyperlink w:anchor="page3">
              <w:r>
                <w:rPr>
                  <w:rFonts w:ascii="Arial" w:cs="Arial" w:eastAsia="Arial" w:hAnsi="Arial"/>
                  <w:sz w:val="13"/>
                  <w:szCs w:val="13"/>
                  <w:b w:val="1"/>
                  <w:bCs w:val="1"/>
                  <w:color w:val="auto"/>
                </w:rPr>
                <w:t>PART I</w:t>
              </w:r>
            </w:hyperlink>
          </w:p>
        </w:tc>
        <w:tc>
          <w:tcPr>
            <w:tcW w:w="9160" w:type="dxa"/>
            <w:vAlign w:val="bottom"/>
            <w:shd w:val="clear" w:color="auto" w:fill="DBDBDB"/>
          </w:tcPr>
          <w:p>
            <w:pPr>
              <w:spacing w:after="0"/>
              <w:rPr>
                <w:sz w:val="15"/>
                <w:szCs w:val="15"/>
                <w:color w:val="auto"/>
              </w:rPr>
            </w:pPr>
          </w:p>
        </w:tc>
      </w:tr>
      <w:tr>
        <w:trPr>
          <w:trHeight w:val="144"/>
        </w:trPr>
        <w:tc>
          <w:tcPr>
            <w:tcW w:w="2080" w:type="dxa"/>
            <w:vAlign w:val="bottom"/>
            <w:shd w:val="clear" w:color="auto" w:fill="DBDBDB"/>
          </w:tcPr>
          <w:p>
            <w:pPr>
              <w:spacing w:after="0"/>
              <w:rPr>
                <w:sz w:val="12"/>
                <w:szCs w:val="12"/>
                <w:color w:val="auto"/>
              </w:rPr>
            </w:pPr>
          </w:p>
        </w:tc>
        <w:tc>
          <w:tcPr>
            <w:tcW w:w="9160" w:type="dxa"/>
            <w:vAlign w:val="bottom"/>
            <w:shd w:val="clear" w:color="auto" w:fill="DBDBDB"/>
          </w:tcPr>
          <w:p>
            <w:pPr>
              <w:spacing w:after="0"/>
              <w:rPr>
                <w:sz w:val="12"/>
                <w:szCs w:val="12"/>
                <w:color w:val="auto"/>
              </w:rPr>
            </w:pPr>
          </w:p>
        </w:tc>
      </w:tr>
      <w:tr>
        <w:trPr>
          <w:trHeight w:val="169"/>
        </w:trPr>
        <w:tc>
          <w:tcPr>
            <w:tcW w:w="2080" w:type="dxa"/>
            <w:vAlign w:val="bottom"/>
          </w:tcPr>
          <w:p>
            <w:pPr>
              <w:ind w:left="1240"/>
              <w:spacing w:after="0"/>
              <w:rPr>
                <w:rFonts w:ascii="Arial" w:cs="Arial" w:eastAsia="Arial" w:hAnsi="Arial"/>
                <w:sz w:val="13"/>
                <w:szCs w:val="13"/>
                <w:color w:val="auto"/>
              </w:rPr>
            </w:pPr>
            <w:hyperlink w:anchor="page5">
              <w:r>
                <w:rPr>
                  <w:rFonts w:ascii="Arial" w:cs="Arial" w:eastAsia="Arial" w:hAnsi="Arial"/>
                  <w:sz w:val="13"/>
                  <w:szCs w:val="13"/>
                  <w:color w:val="auto"/>
                </w:rPr>
                <w:t>Item 1</w:t>
              </w:r>
            </w:hyperlink>
          </w:p>
        </w:tc>
        <w:tc>
          <w:tcPr>
            <w:tcW w:w="9160" w:type="dxa"/>
            <w:vAlign w:val="bottom"/>
          </w:tcPr>
          <w:p>
            <w:pPr>
              <w:ind w:left="380"/>
              <w:spacing w:after="0"/>
              <w:rPr>
                <w:rFonts w:ascii="Arial" w:cs="Arial" w:eastAsia="Arial" w:hAnsi="Arial"/>
                <w:sz w:val="13"/>
                <w:szCs w:val="13"/>
                <w:color w:val="auto"/>
              </w:rPr>
            </w:pPr>
            <w:hyperlink w:anchor="page5">
              <w:r>
                <w:rPr>
                  <w:rFonts w:ascii="Arial" w:cs="Arial" w:eastAsia="Arial" w:hAnsi="Arial"/>
                  <w:sz w:val="13"/>
                  <w:szCs w:val="13"/>
                  <w:color w:val="auto"/>
                </w:rPr>
                <w:t>Business</w:t>
              </w:r>
            </w:hyperlink>
          </w:p>
        </w:tc>
      </w:tr>
      <w:tr>
        <w:trPr>
          <w:trHeight w:val="148"/>
        </w:trPr>
        <w:tc>
          <w:tcPr>
            <w:tcW w:w="2080" w:type="dxa"/>
            <w:vAlign w:val="bottom"/>
          </w:tcPr>
          <w:p>
            <w:pPr>
              <w:spacing w:after="0"/>
              <w:rPr>
                <w:sz w:val="12"/>
                <w:szCs w:val="12"/>
                <w:color w:val="auto"/>
              </w:rPr>
            </w:pPr>
          </w:p>
        </w:tc>
        <w:tc>
          <w:tcPr>
            <w:tcW w:w="9160" w:type="dxa"/>
            <w:vAlign w:val="bottom"/>
          </w:tcPr>
          <w:p>
            <w:pPr>
              <w:spacing w:after="0"/>
              <w:rPr>
                <w:sz w:val="12"/>
                <w:szCs w:val="12"/>
                <w:color w:val="auto"/>
              </w:rPr>
            </w:pPr>
          </w:p>
        </w:tc>
      </w:tr>
      <w:tr>
        <w:trPr>
          <w:trHeight w:val="169"/>
        </w:trPr>
        <w:tc>
          <w:tcPr>
            <w:tcW w:w="2080" w:type="dxa"/>
            <w:vAlign w:val="bottom"/>
            <w:shd w:val="clear" w:color="auto" w:fill="DBDBDB"/>
          </w:tcPr>
          <w:p>
            <w:pPr>
              <w:ind w:left="1240"/>
              <w:spacing w:after="0"/>
              <w:rPr>
                <w:rFonts w:ascii="Arial" w:cs="Arial" w:eastAsia="Arial" w:hAnsi="Arial"/>
                <w:sz w:val="13"/>
                <w:szCs w:val="13"/>
                <w:color w:val="auto"/>
              </w:rPr>
            </w:pPr>
            <w:hyperlink w:anchor="page21">
              <w:r>
                <w:rPr>
                  <w:rFonts w:ascii="Arial" w:cs="Arial" w:eastAsia="Arial" w:hAnsi="Arial"/>
                  <w:sz w:val="13"/>
                  <w:szCs w:val="13"/>
                  <w:color w:val="auto"/>
                </w:rPr>
                <w:t>Item 1A</w:t>
              </w:r>
            </w:hyperlink>
          </w:p>
        </w:tc>
        <w:tc>
          <w:tcPr>
            <w:tcW w:w="9160" w:type="dxa"/>
            <w:vAlign w:val="bottom"/>
            <w:shd w:val="clear" w:color="auto" w:fill="DBDBDB"/>
          </w:tcPr>
          <w:p>
            <w:pPr>
              <w:ind w:left="380"/>
              <w:spacing w:after="0"/>
              <w:rPr>
                <w:rFonts w:ascii="Arial" w:cs="Arial" w:eastAsia="Arial" w:hAnsi="Arial"/>
                <w:sz w:val="13"/>
                <w:szCs w:val="13"/>
                <w:color w:val="auto"/>
              </w:rPr>
            </w:pPr>
            <w:hyperlink w:anchor="page21">
              <w:r>
                <w:rPr>
                  <w:rFonts w:ascii="Arial" w:cs="Arial" w:eastAsia="Arial" w:hAnsi="Arial"/>
                  <w:sz w:val="13"/>
                  <w:szCs w:val="13"/>
                  <w:color w:val="auto"/>
                </w:rPr>
                <w:t>Risk Factors</w:t>
              </w:r>
            </w:hyperlink>
          </w:p>
        </w:tc>
      </w:tr>
      <w:tr>
        <w:trPr>
          <w:trHeight w:val="148"/>
        </w:trPr>
        <w:tc>
          <w:tcPr>
            <w:tcW w:w="2080" w:type="dxa"/>
            <w:vAlign w:val="bottom"/>
            <w:shd w:val="clear" w:color="auto" w:fill="DBDBDB"/>
          </w:tcPr>
          <w:p>
            <w:pPr>
              <w:spacing w:after="0"/>
              <w:rPr>
                <w:sz w:val="12"/>
                <w:szCs w:val="12"/>
                <w:color w:val="auto"/>
              </w:rPr>
            </w:pPr>
          </w:p>
        </w:tc>
        <w:tc>
          <w:tcPr>
            <w:tcW w:w="9160" w:type="dxa"/>
            <w:vAlign w:val="bottom"/>
            <w:shd w:val="clear" w:color="auto" w:fill="DBDBDB"/>
          </w:tcPr>
          <w:p>
            <w:pPr>
              <w:spacing w:after="0"/>
              <w:rPr>
                <w:sz w:val="12"/>
                <w:szCs w:val="12"/>
                <w:color w:val="auto"/>
              </w:rPr>
            </w:pPr>
          </w:p>
        </w:tc>
      </w:tr>
      <w:tr>
        <w:trPr>
          <w:trHeight w:val="169"/>
        </w:trPr>
        <w:tc>
          <w:tcPr>
            <w:tcW w:w="2080" w:type="dxa"/>
            <w:vAlign w:val="bottom"/>
          </w:tcPr>
          <w:p>
            <w:pPr>
              <w:ind w:left="1240"/>
              <w:spacing w:after="0"/>
              <w:rPr>
                <w:rFonts w:ascii="Arial" w:cs="Arial" w:eastAsia="Arial" w:hAnsi="Arial"/>
                <w:sz w:val="13"/>
                <w:szCs w:val="13"/>
                <w:color w:val="auto"/>
              </w:rPr>
            </w:pPr>
            <w:hyperlink w:anchor="page35">
              <w:r>
                <w:rPr>
                  <w:rFonts w:ascii="Arial" w:cs="Arial" w:eastAsia="Arial" w:hAnsi="Arial"/>
                  <w:sz w:val="13"/>
                  <w:szCs w:val="13"/>
                  <w:color w:val="auto"/>
                </w:rPr>
                <w:t>Item 1B</w:t>
              </w:r>
            </w:hyperlink>
          </w:p>
        </w:tc>
        <w:tc>
          <w:tcPr>
            <w:tcW w:w="9160" w:type="dxa"/>
            <w:vAlign w:val="bottom"/>
          </w:tcPr>
          <w:p>
            <w:pPr>
              <w:ind w:left="380"/>
              <w:spacing w:after="0"/>
              <w:rPr>
                <w:rFonts w:ascii="Arial" w:cs="Arial" w:eastAsia="Arial" w:hAnsi="Arial"/>
                <w:sz w:val="13"/>
                <w:szCs w:val="13"/>
                <w:color w:val="auto"/>
              </w:rPr>
            </w:pPr>
            <w:hyperlink w:anchor="page35">
              <w:r>
                <w:rPr>
                  <w:rFonts w:ascii="Arial" w:cs="Arial" w:eastAsia="Arial" w:hAnsi="Arial"/>
                  <w:sz w:val="13"/>
                  <w:szCs w:val="13"/>
                  <w:color w:val="auto"/>
                </w:rPr>
                <w:t>Unresolved Staff Comments</w:t>
              </w:r>
            </w:hyperlink>
          </w:p>
        </w:tc>
      </w:tr>
      <w:tr>
        <w:trPr>
          <w:trHeight w:val="148"/>
        </w:trPr>
        <w:tc>
          <w:tcPr>
            <w:tcW w:w="2080" w:type="dxa"/>
            <w:vAlign w:val="bottom"/>
          </w:tcPr>
          <w:p>
            <w:pPr>
              <w:spacing w:after="0"/>
              <w:rPr>
                <w:sz w:val="12"/>
                <w:szCs w:val="12"/>
                <w:color w:val="auto"/>
              </w:rPr>
            </w:pPr>
          </w:p>
        </w:tc>
        <w:tc>
          <w:tcPr>
            <w:tcW w:w="9160" w:type="dxa"/>
            <w:vAlign w:val="bottom"/>
          </w:tcPr>
          <w:p>
            <w:pPr>
              <w:spacing w:after="0"/>
              <w:rPr>
                <w:sz w:val="12"/>
                <w:szCs w:val="12"/>
                <w:color w:val="auto"/>
              </w:rPr>
            </w:pPr>
          </w:p>
        </w:tc>
      </w:tr>
      <w:tr>
        <w:trPr>
          <w:trHeight w:val="169"/>
        </w:trPr>
        <w:tc>
          <w:tcPr>
            <w:tcW w:w="2080" w:type="dxa"/>
            <w:vAlign w:val="bottom"/>
            <w:shd w:val="clear" w:color="auto" w:fill="DBDBDB"/>
          </w:tcPr>
          <w:p>
            <w:pPr>
              <w:ind w:left="1240"/>
              <w:spacing w:after="0"/>
              <w:rPr>
                <w:rFonts w:ascii="Arial" w:cs="Arial" w:eastAsia="Arial" w:hAnsi="Arial"/>
                <w:sz w:val="13"/>
                <w:szCs w:val="13"/>
                <w:color w:val="auto"/>
              </w:rPr>
            </w:pPr>
            <w:hyperlink w:anchor="page35">
              <w:r>
                <w:rPr>
                  <w:rFonts w:ascii="Arial" w:cs="Arial" w:eastAsia="Arial" w:hAnsi="Arial"/>
                  <w:sz w:val="13"/>
                  <w:szCs w:val="13"/>
                  <w:color w:val="auto"/>
                </w:rPr>
                <w:t>Item 2</w:t>
              </w:r>
            </w:hyperlink>
          </w:p>
        </w:tc>
        <w:tc>
          <w:tcPr>
            <w:tcW w:w="9160" w:type="dxa"/>
            <w:vAlign w:val="bottom"/>
            <w:shd w:val="clear" w:color="auto" w:fill="DBDBDB"/>
          </w:tcPr>
          <w:p>
            <w:pPr>
              <w:ind w:left="380"/>
              <w:spacing w:after="0"/>
              <w:rPr>
                <w:rFonts w:ascii="Arial" w:cs="Arial" w:eastAsia="Arial" w:hAnsi="Arial"/>
                <w:sz w:val="13"/>
                <w:szCs w:val="13"/>
                <w:color w:val="auto"/>
              </w:rPr>
            </w:pPr>
            <w:hyperlink w:anchor="page35">
              <w:r>
                <w:rPr>
                  <w:rFonts w:ascii="Arial" w:cs="Arial" w:eastAsia="Arial" w:hAnsi="Arial"/>
                  <w:sz w:val="13"/>
                  <w:szCs w:val="13"/>
                  <w:color w:val="auto"/>
                </w:rPr>
                <w:t>Properties</w:t>
              </w:r>
            </w:hyperlink>
          </w:p>
        </w:tc>
      </w:tr>
      <w:tr>
        <w:trPr>
          <w:trHeight w:val="148"/>
        </w:trPr>
        <w:tc>
          <w:tcPr>
            <w:tcW w:w="2080" w:type="dxa"/>
            <w:vAlign w:val="bottom"/>
            <w:shd w:val="clear" w:color="auto" w:fill="DBDBDB"/>
          </w:tcPr>
          <w:p>
            <w:pPr>
              <w:spacing w:after="0"/>
              <w:rPr>
                <w:sz w:val="12"/>
                <w:szCs w:val="12"/>
                <w:color w:val="auto"/>
              </w:rPr>
            </w:pPr>
          </w:p>
        </w:tc>
        <w:tc>
          <w:tcPr>
            <w:tcW w:w="9160" w:type="dxa"/>
            <w:vAlign w:val="bottom"/>
            <w:shd w:val="clear" w:color="auto" w:fill="DBDBDB"/>
          </w:tcPr>
          <w:p>
            <w:pPr>
              <w:spacing w:after="0"/>
              <w:rPr>
                <w:sz w:val="12"/>
                <w:szCs w:val="12"/>
                <w:color w:val="auto"/>
              </w:rPr>
            </w:pPr>
          </w:p>
        </w:tc>
      </w:tr>
      <w:tr>
        <w:trPr>
          <w:trHeight w:val="169"/>
        </w:trPr>
        <w:tc>
          <w:tcPr>
            <w:tcW w:w="2080" w:type="dxa"/>
            <w:vAlign w:val="bottom"/>
          </w:tcPr>
          <w:p>
            <w:pPr>
              <w:ind w:left="1240"/>
              <w:spacing w:after="0"/>
              <w:rPr>
                <w:rFonts w:ascii="Arial" w:cs="Arial" w:eastAsia="Arial" w:hAnsi="Arial"/>
                <w:sz w:val="13"/>
                <w:szCs w:val="13"/>
                <w:color w:val="auto"/>
              </w:rPr>
            </w:pPr>
            <w:hyperlink w:anchor="page35">
              <w:r>
                <w:rPr>
                  <w:rFonts w:ascii="Arial" w:cs="Arial" w:eastAsia="Arial" w:hAnsi="Arial"/>
                  <w:sz w:val="13"/>
                  <w:szCs w:val="13"/>
                  <w:color w:val="auto"/>
                </w:rPr>
                <w:t>Item 3</w:t>
              </w:r>
            </w:hyperlink>
          </w:p>
        </w:tc>
        <w:tc>
          <w:tcPr>
            <w:tcW w:w="9160" w:type="dxa"/>
            <w:vAlign w:val="bottom"/>
          </w:tcPr>
          <w:p>
            <w:pPr>
              <w:ind w:left="380"/>
              <w:spacing w:after="0"/>
              <w:rPr>
                <w:rFonts w:ascii="Arial" w:cs="Arial" w:eastAsia="Arial" w:hAnsi="Arial"/>
                <w:sz w:val="13"/>
                <w:szCs w:val="13"/>
                <w:color w:val="auto"/>
              </w:rPr>
            </w:pPr>
            <w:hyperlink w:anchor="page35">
              <w:r>
                <w:rPr>
                  <w:rFonts w:ascii="Arial" w:cs="Arial" w:eastAsia="Arial" w:hAnsi="Arial"/>
                  <w:sz w:val="13"/>
                  <w:szCs w:val="13"/>
                  <w:color w:val="auto"/>
                </w:rPr>
                <w:t>Legal Proceedings</w:t>
              </w:r>
            </w:hyperlink>
          </w:p>
        </w:tc>
      </w:tr>
      <w:tr>
        <w:trPr>
          <w:trHeight w:val="148"/>
        </w:trPr>
        <w:tc>
          <w:tcPr>
            <w:tcW w:w="2080" w:type="dxa"/>
            <w:vAlign w:val="bottom"/>
          </w:tcPr>
          <w:p>
            <w:pPr>
              <w:spacing w:after="0"/>
              <w:rPr>
                <w:sz w:val="12"/>
                <w:szCs w:val="12"/>
                <w:color w:val="auto"/>
              </w:rPr>
            </w:pPr>
          </w:p>
        </w:tc>
        <w:tc>
          <w:tcPr>
            <w:tcW w:w="9160" w:type="dxa"/>
            <w:vAlign w:val="bottom"/>
          </w:tcPr>
          <w:p>
            <w:pPr>
              <w:spacing w:after="0"/>
              <w:rPr>
                <w:sz w:val="12"/>
                <w:szCs w:val="12"/>
                <w:color w:val="auto"/>
              </w:rPr>
            </w:pPr>
          </w:p>
        </w:tc>
      </w:tr>
      <w:tr>
        <w:trPr>
          <w:trHeight w:val="169"/>
        </w:trPr>
        <w:tc>
          <w:tcPr>
            <w:tcW w:w="2080" w:type="dxa"/>
            <w:vAlign w:val="bottom"/>
            <w:shd w:val="clear" w:color="auto" w:fill="DBDBDB"/>
          </w:tcPr>
          <w:p>
            <w:pPr>
              <w:ind w:left="1240"/>
              <w:spacing w:after="0"/>
              <w:rPr>
                <w:rFonts w:ascii="Arial" w:cs="Arial" w:eastAsia="Arial" w:hAnsi="Arial"/>
                <w:sz w:val="13"/>
                <w:szCs w:val="13"/>
                <w:color w:val="auto"/>
              </w:rPr>
            </w:pPr>
            <w:hyperlink w:anchor="page35">
              <w:r>
                <w:rPr>
                  <w:rFonts w:ascii="Arial" w:cs="Arial" w:eastAsia="Arial" w:hAnsi="Arial"/>
                  <w:sz w:val="13"/>
                  <w:szCs w:val="13"/>
                  <w:color w:val="auto"/>
                </w:rPr>
                <w:t>Item 4</w:t>
              </w:r>
            </w:hyperlink>
          </w:p>
        </w:tc>
        <w:tc>
          <w:tcPr>
            <w:tcW w:w="9160" w:type="dxa"/>
            <w:vAlign w:val="bottom"/>
            <w:shd w:val="clear" w:color="auto" w:fill="DBDBDB"/>
          </w:tcPr>
          <w:p>
            <w:pPr>
              <w:ind w:left="380"/>
              <w:spacing w:after="0"/>
              <w:rPr>
                <w:rFonts w:ascii="Arial" w:cs="Arial" w:eastAsia="Arial" w:hAnsi="Arial"/>
                <w:sz w:val="13"/>
                <w:szCs w:val="13"/>
                <w:color w:val="auto"/>
              </w:rPr>
            </w:pPr>
            <w:hyperlink w:anchor="page35">
              <w:r>
                <w:rPr>
                  <w:rFonts w:ascii="Arial" w:cs="Arial" w:eastAsia="Arial" w:hAnsi="Arial"/>
                  <w:sz w:val="13"/>
                  <w:szCs w:val="13"/>
                  <w:color w:val="auto"/>
                </w:rPr>
                <w:t>Mine Safety Disclosures</w:t>
              </w:r>
            </w:hyperlink>
          </w:p>
        </w:tc>
      </w:tr>
      <w:tr>
        <w:trPr>
          <w:trHeight w:val="148"/>
        </w:trPr>
        <w:tc>
          <w:tcPr>
            <w:tcW w:w="2080" w:type="dxa"/>
            <w:vAlign w:val="bottom"/>
            <w:shd w:val="clear" w:color="auto" w:fill="DBDBDB"/>
          </w:tcPr>
          <w:p>
            <w:pPr>
              <w:spacing w:after="0"/>
              <w:rPr>
                <w:sz w:val="12"/>
                <w:szCs w:val="12"/>
                <w:color w:val="auto"/>
              </w:rPr>
            </w:pPr>
          </w:p>
        </w:tc>
        <w:tc>
          <w:tcPr>
            <w:tcW w:w="9160" w:type="dxa"/>
            <w:vAlign w:val="bottom"/>
            <w:shd w:val="clear" w:color="auto" w:fill="DBDBDB"/>
          </w:tcPr>
          <w:p>
            <w:pPr>
              <w:spacing w:after="0"/>
              <w:rPr>
                <w:sz w:val="12"/>
                <w:szCs w:val="12"/>
                <w:color w:val="auto"/>
              </w:rPr>
            </w:pPr>
          </w:p>
        </w:tc>
      </w:tr>
      <w:tr>
        <w:trPr>
          <w:trHeight w:val="173"/>
        </w:trPr>
        <w:tc>
          <w:tcPr>
            <w:tcW w:w="2080" w:type="dxa"/>
            <w:vAlign w:val="bottom"/>
          </w:tcPr>
          <w:p>
            <w:pPr>
              <w:ind w:left="20"/>
              <w:spacing w:after="0"/>
              <w:rPr>
                <w:rFonts w:ascii="Arial" w:cs="Arial" w:eastAsia="Arial" w:hAnsi="Arial"/>
                <w:sz w:val="13"/>
                <w:szCs w:val="13"/>
                <w:b w:val="1"/>
                <w:bCs w:val="1"/>
                <w:color w:val="auto"/>
              </w:rPr>
            </w:pPr>
            <w:hyperlink w:anchor="page35">
              <w:r>
                <w:rPr>
                  <w:rFonts w:ascii="Arial" w:cs="Arial" w:eastAsia="Arial" w:hAnsi="Arial"/>
                  <w:sz w:val="13"/>
                  <w:szCs w:val="13"/>
                  <w:b w:val="1"/>
                  <w:bCs w:val="1"/>
                  <w:color w:val="auto"/>
                </w:rPr>
                <w:t>PART II</w:t>
              </w:r>
            </w:hyperlink>
          </w:p>
        </w:tc>
        <w:tc>
          <w:tcPr>
            <w:tcW w:w="9160" w:type="dxa"/>
            <w:vAlign w:val="bottom"/>
          </w:tcPr>
          <w:p>
            <w:pPr>
              <w:spacing w:after="0"/>
              <w:rPr>
                <w:sz w:val="15"/>
                <w:szCs w:val="15"/>
                <w:color w:val="auto"/>
              </w:rPr>
            </w:pPr>
          </w:p>
        </w:tc>
      </w:tr>
      <w:tr>
        <w:trPr>
          <w:trHeight w:val="144"/>
        </w:trPr>
        <w:tc>
          <w:tcPr>
            <w:tcW w:w="2080" w:type="dxa"/>
            <w:vAlign w:val="bottom"/>
          </w:tcPr>
          <w:p>
            <w:pPr>
              <w:spacing w:after="0"/>
              <w:rPr>
                <w:sz w:val="12"/>
                <w:szCs w:val="12"/>
                <w:color w:val="auto"/>
              </w:rPr>
            </w:pPr>
          </w:p>
        </w:tc>
        <w:tc>
          <w:tcPr>
            <w:tcW w:w="9160" w:type="dxa"/>
            <w:vAlign w:val="bottom"/>
          </w:tcPr>
          <w:p>
            <w:pPr>
              <w:spacing w:after="0"/>
              <w:rPr>
                <w:sz w:val="12"/>
                <w:szCs w:val="12"/>
                <w:color w:val="auto"/>
              </w:rPr>
            </w:pPr>
          </w:p>
        </w:tc>
      </w:tr>
      <w:tr>
        <w:trPr>
          <w:trHeight w:val="169"/>
        </w:trPr>
        <w:tc>
          <w:tcPr>
            <w:tcW w:w="2080" w:type="dxa"/>
            <w:vAlign w:val="bottom"/>
            <w:shd w:val="clear" w:color="auto" w:fill="DBDBDB"/>
          </w:tcPr>
          <w:p>
            <w:pPr>
              <w:ind w:left="1240"/>
              <w:spacing w:after="0"/>
              <w:rPr>
                <w:rFonts w:ascii="Arial" w:cs="Arial" w:eastAsia="Arial" w:hAnsi="Arial"/>
                <w:sz w:val="13"/>
                <w:szCs w:val="13"/>
                <w:color w:val="auto"/>
              </w:rPr>
            </w:pPr>
            <w:hyperlink w:anchor="page36">
              <w:r>
                <w:rPr>
                  <w:rFonts w:ascii="Arial" w:cs="Arial" w:eastAsia="Arial" w:hAnsi="Arial"/>
                  <w:sz w:val="13"/>
                  <w:szCs w:val="13"/>
                  <w:color w:val="auto"/>
                </w:rPr>
                <w:t>Item 5</w:t>
              </w:r>
            </w:hyperlink>
          </w:p>
        </w:tc>
        <w:tc>
          <w:tcPr>
            <w:tcW w:w="9160" w:type="dxa"/>
            <w:vAlign w:val="bottom"/>
            <w:shd w:val="clear" w:color="auto" w:fill="DBDBDB"/>
          </w:tcPr>
          <w:p>
            <w:pPr>
              <w:ind w:left="380"/>
              <w:spacing w:after="0"/>
              <w:rPr>
                <w:rFonts w:ascii="Arial" w:cs="Arial" w:eastAsia="Arial" w:hAnsi="Arial"/>
                <w:sz w:val="13"/>
                <w:szCs w:val="13"/>
                <w:color w:val="auto"/>
              </w:rPr>
            </w:pPr>
            <w:hyperlink w:anchor="page36">
              <w:r>
                <w:rPr>
                  <w:rFonts w:ascii="Arial" w:cs="Arial" w:eastAsia="Arial" w:hAnsi="Arial"/>
                  <w:sz w:val="13"/>
                  <w:szCs w:val="13"/>
                  <w:color w:val="auto"/>
                </w:rPr>
                <w:t>Market for Registrant’s Common Equity, Related Stockholder Matters and Issuer Purchases of Equity Securities</w:t>
              </w:r>
            </w:hyperlink>
          </w:p>
        </w:tc>
      </w:tr>
      <w:tr>
        <w:trPr>
          <w:trHeight w:val="148"/>
        </w:trPr>
        <w:tc>
          <w:tcPr>
            <w:tcW w:w="2080" w:type="dxa"/>
            <w:vAlign w:val="bottom"/>
            <w:shd w:val="clear" w:color="auto" w:fill="DBDBDB"/>
          </w:tcPr>
          <w:p>
            <w:pPr>
              <w:spacing w:after="0"/>
              <w:rPr>
                <w:sz w:val="12"/>
                <w:szCs w:val="12"/>
                <w:color w:val="auto"/>
              </w:rPr>
            </w:pPr>
          </w:p>
        </w:tc>
        <w:tc>
          <w:tcPr>
            <w:tcW w:w="9160" w:type="dxa"/>
            <w:vAlign w:val="bottom"/>
            <w:shd w:val="clear" w:color="auto" w:fill="DBDBDB"/>
          </w:tcPr>
          <w:p>
            <w:pPr>
              <w:spacing w:after="0"/>
              <w:rPr>
                <w:sz w:val="12"/>
                <w:szCs w:val="12"/>
                <w:color w:val="auto"/>
              </w:rPr>
            </w:pPr>
          </w:p>
        </w:tc>
      </w:tr>
      <w:tr>
        <w:trPr>
          <w:trHeight w:val="169"/>
        </w:trPr>
        <w:tc>
          <w:tcPr>
            <w:tcW w:w="2080" w:type="dxa"/>
            <w:vAlign w:val="bottom"/>
          </w:tcPr>
          <w:p>
            <w:pPr>
              <w:ind w:left="1240"/>
              <w:spacing w:after="0"/>
              <w:rPr>
                <w:rFonts w:ascii="Arial" w:cs="Arial" w:eastAsia="Arial" w:hAnsi="Arial"/>
                <w:sz w:val="13"/>
                <w:szCs w:val="13"/>
                <w:color w:val="auto"/>
              </w:rPr>
            </w:pPr>
            <w:hyperlink w:anchor="page38">
              <w:r>
                <w:rPr>
                  <w:rFonts w:ascii="Arial" w:cs="Arial" w:eastAsia="Arial" w:hAnsi="Arial"/>
                  <w:sz w:val="13"/>
                  <w:szCs w:val="13"/>
                  <w:color w:val="auto"/>
                </w:rPr>
                <w:t>Item 6</w:t>
              </w:r>
            </w:hyperlink>
          </w:p>
        </w:tc>
        <w:tc>
          <w:tcPr>
            <w:tcW w:w="9160" w:type="dxa"/>
            <w:vAlign w:val="bottom"/>
          </w:tcPr>
          <w:p>
            <w:pPr>
              <w:ind w:left="380"/>
              <w:spacing w:after="0"/>
              <w:rPr>
                <w:rFonts w:ascii="Arial" w:cs="Arial" w:eastAsia="Arial" w:hAnsi="Arial"/>
                <w:sz w:val="13"/>
                <w:szCs w:val="13"/>
                <w:color w:val="auto"/>
              </w:rPr>
            </w:pPr>
            <w:hyperlink w:anchor="page38">
              <w:r>
                <w:rPr>
                  <w:rFonts w:ascii="Arial" w:cs="Arial" w:eastAsia="Arial" w:hAnsi="Arial"/>
                  <w:sz w:val="13"/>
                  <w:szCs w:val="13"/>
                  <w:color w:val="auto"/>
                </w:rPr>
                <w:t>[Reserved]</w:t>
              </w:r>
            </w:hyperlink>
          </w:p>
        </w:tc>
      </w:tr>
      <w:tr>
        <w:trPr>
          <w:trHeight w:val="148"/>
        </w:trPr>
        <w:tc>
          <w:tcPr>
            <w:tcW w:w="2080" w:type="dxa"/>
            <w:vAlign w:val="bottom"/>
          </w:tcPr>
          <w:p>
            <w:pPr>
              <w:spacing w:after="0"/>
              <w:rPr>
                <w:sz w:val="12"/>
                <w:szCs w:val="12"/>
                <w:color w:val="auto"/>
              </w:rPr>
            </w:pPr>
          </w:p>
        </w:tc>
        <w:tc>
          <w:tcPr>
            <w:tcW w:w="9160" w:type="dxa"/>
            <w:vAlign w:val="bottom"/>
          </w:tcPr>
          <w:p>
            <w:pPr>
              <w:spacing w:after="0"/>
              <w:rPr>
                <w:sz w:val="12"/>
                <w:szCs w:val="12"/>
                <w:color w:val="auto"/>
              </w:rPr>
            </w:pPr>
          </w:p>
        </w:tc>
      </w:tr>
      <w:tr>
        <w:trPr>
          <w:trHeight w:val="169"/>
        </w:trPr>
        <w:tc>
          <w:tcPr>
            <w:tcW w:w="2080" w:type="dxa"/>
            <w:vAlign w:val="bottom"/>
            <w:shd w:val="clear" w:color="auto" w:fill="DBDBDB"/>
          </w:tcPr>
          <w:p>
            <w:pPr>
              <w:ind w:left="1240"/>
              <w:spacing w:after="0"/>
              <w:rPr>
                <w:rFonts w:ascii="Arial" w:cs="Arial" w:eastAsia="Arial" w:hAnsi="Arial"/>
                <w:sz w:val="13"/>
                <w:szCs w:val="13"/>
                <w:color w:val="auto"/>
              </w:rPr>
            </w:pPr>
            <w:hyperlink w:anchor="page38">
              <w:r>
                <w:rPr>
                  <w:rFonts w:ascii="Arial" w:cs="Arial" w:eastAsia="Arial" w:hAnsi="Arial"/>
                  <w:sz w:val="13"/>
                  <w:szCs w:val="13"/>
                  <w:color w:val="auto"/>
                </w:rPr>
                <w:t>Item 7</w:t>
              </w:r>
            </w:hyperlink>
          </w:p>
        </w:tc>
        <w:tc>
          <w:tcPr>
            <w:tcW w:w="9160" w:type="dxa"/>
            <w:vAlign w:val="bottom"/>
            <w:shd w:val="clear" w:color="auto" w:fill="DBDBDB"/>
          </w:tcPr>
          <w:p>
            <w:pPr>
              <w:ind w:left="380"/>
              <w:spacing w:after="0"/>
              <w:rPr>
                <w:rFonts w:ascii="Arial" w:cs="Arial" w:eastAsia="Arial" w:hAnsi="Arial"/>
                <w:sz w:val="13"/>
                <w:szCs w:val="13"/>
                <w:color w:val="auto"/>
              </w:rPr>
            </w:pPr>
            <w:hyperlink w:anchor="page38">
              <w:r>
                <w:rPr>
                  <w:rFonts w:ascii="Arial" w:cs="Arial" w:eastAsia="Arial" w:hAnsi="Arial"/>
                  <w:sz w:val="13"/>
                  <w:szCs w:val="13"/>
                  <w:color w:val="auto"/>
                </w:rPr>
                <w:t>Management’s Discussion and Analysis of Financial Condition and Results of Operations</w:t>
              </w:r>
            </w:hyperlink>
          </w:p>
        </w:tc>
      </w:tr>
      <w:tr>
        <w:trPr>
          <w:trHeight w:val="148"/>
        </w:trPr>
        <w:tc>
          <w:tcPr>
            <w:tcW w:w="2080" w:type="dxa"/>
            <w:vAlign w:val="bottom"/>
            <w:shd w:val="clear" w:color="auto" w:fill="DBDBDB"/>
          </w:tcPr>
          <w:p>
            <w:pPr>
              <w:spacing w:after="0"/>
              <w:rPr>
                <w:sz w:val="12"/>
                <w:szCs w:val="12"/>
                <w:color w:val="auto"/>
              </w:rPr>
            </w:pPr>
          </w:p>
        </w:tc>
        <w:tc>
          <w:tcPr>
            <w:tcW w:w="9160" w:type="dxa"/>
            <w:vAlign w:val="bottom"/>
            <w:shd w:val="clear" w:color="auto" w:fill="DBDBDB"/>
          </w:tcPr>
          <w:p>
            <w:pPr>
              <w:spacing w:after="0"/>
              <w:rPr>
                <w:sz w:val="12"/>
                <w:szCs w:val="12"/>
                <w:color w:val="auto"/>
              </w:rPr>
            </w:pPr>
          </w:p>
        </w:tc>
      </w:tr>
      <w:tr>
        <w:trPr>
          <w:trHeight w:val="169"/>
        </w:trPr>
        <w:tc>
          <w:tcPr>
            <w:tcW w:w="2080" w:type="dxa"/>
            <w:vAlign w:val="bottom"/>
          </w:tcPr>
          <w:p>
            <w:pPr>
              <w:ind w:left="1240"/>
              <w:spacing w:after="0"/>
              <w:rPr>
                <w:rFonts w:ascii="Arial" w:cs="Arial" w:eastAsia="Arial" w:hAnsi="Arial"/>
                <w:sz w:val="13"/>
                <w:szCs w:val="13"/>
                <w:color w:val="auto"/>
              </w:rPr>
            </w:pPr>
            <w:hyperlink w:anchor="page68">
              <w:r>
                <w:rPr>
                  <w:rFonts w:ascii="Arial" w:cs="Arial" w:eastAsia="Arial" w:hAnsi="Arial"/>
                  <w:sz w:val="13"/>
                  <w:szCs w:val="13"/>
                  <w:color w:val="auto"/>
                </w:rPr>
                <w:t>Item 7A</w:t>
              </w:r>
            </w:hyperlink>
          </w:p>
        </w:tc>
        <w:tc>
          <w:tcPr>
            <w:tcW w:w="9160" w:type="dxa"/>
            <w:vAlign w:val="bottom"/>
          </w:tcPr>
          <w:p>
            <w:pPr>
              <w:ind w:left="380"/>
              <w:spacing w:after="0"/>
              <w:rPr>
                <w:rFonts w:ascii="Arial" w:cs="Arial" w:eastAsia="Arial" w:hAnsi="Arial"/>
                <w:sz w:val="13"/>
                <w:szCs w:val="13"/>
                <w:color w:val="auto"/>
              </w:rPr>
            </w:pPr>
            <w:hyperlink w:anchor="page68">
              <w:r>
                <w:rPr>
                  <w:rFonts w:ascii="Arial" w:cs="Arial" w:eastAsia="Arial" w:hAnsi="Arial"/>
                  <w:sz w:val="13"/>
                  <w:szCs w:val="13"/>
                  <w:color w:val="auto"/>
                </w:rPr>
                <w:t>Quantitative and Qualitative Disclosures About Market Risk</w:t>
              </w:r>
            </w:hyperlink>
          </w:p>
        </w:tc>
      </w:tr>
      <w:tr>
        <w:trPr>
          <w:trHeight w:val="148"/>
        </w:trPr>
        <w:tc>
          <w:tcPr>
            <w:tcW w:w="2080" w:type="dxa"/>
            <w:vAlign w:val="bottom"/>
          </w:tcPr>
          <w:p>
            <w:pPr>
              <w:spacing w:after="0"/>
              <w:rPr>
                <w:sz w:val="12"/>
                <w:szCs w:val="12"/>
                <w:color w:val="auto"/>
              </w:rPr>
            </w:pPr>
          </w:p>
        </w:tc>
        <w:tc>
          <w:tcPr>
            <w:tcW w:w="9160" w:type="dxa"/>
            <w:vAlign w:val="bottom"/>
          </w:tcPr>
          <w:p>
            <w:pPr>
              <w:spacing w:after="0"/>
              <w:rPr>
                <w:sz w:val="12"/>
                <w:szCs w:val="12"/>
                <w:color w:val="auto"/>
              </w:rPr>
            </w:pPr>
          </w:p>
        </w:tc>
      </w:tr>
      <w:tr>
        <w:trPr>
          <w:trHeight w:val="169"/>
        </w:trPr>
        <w:tc>
          <w:tcPr>
            <w:tcW w:w="2080" w:type="dxa"/>
            <w:vAlign w:val="bottom"/>
            <w:shd w:val="clear" w:color="auto" w:fill="DBDBDB"/>
          </w:tcPr>
          <w:p>
            <w:pPr>
              <w:ind w:left="1240"/>
              <w:spacing w:after="0"/>
              <w:rPr>
                <w:rFonts w:ascii="Arial" w:cs="Arial" w:eastAsia="Arial" w:hAnsi="Arial"/>
                <w:sz w:val="13"/>
                <w:szCs w:val="13"/>
                <w:color w:val="auto"/>
              </w:rPr>
            </w:pPr>
            <w:hyperlink w:anchor="page69">
              <w:r>
                <w:rPr>
                  <w:rFonts w:ascii="Arial" w:cs="Arial" w:eastAsia="Arial" w:hAnsi="Arial"/>
                  <w:sz w:val="13"/>
                  <w:szCs w:val="13"/>
                  <w:color w:val="auto"/>
                </w:rPr>
                <w:t>Item 8</w:t>
              </w:r>
            </w:hyperlink>
          </w:p>
        </w:tc>
        <w:tc>
          <w:tcPr>
            <w:tcW w:w="9160" w:type="dxa"/>
            <w:vAlign w:val="bottom"/>
            <w:shd w:val="clear" w:color="auto" w:fill="DBDBDB"/>
          </w:tcPr>
          <w:p>
            <w:pPr>
              <w:ind w:left="380"/>
              <w:spacing w:after="0"/>
              <w:rPr>
                <w:rFonts w:ascii="Arial" w:cs="Arial" w:eastAsia="Arial" w:hAnsi="Arial"/>
                <w:sz w:val="13"/>
                <w:szCs w:val="13"/>
                <w:color w:val="auto"/>
              </w:rPr>
            </w:pPr>
            <w:hyperlink w:anchor="page69">
              <w:r>
                <w:rPr>
                  <w:rFonts w:ascii="Arial" w:cs="Arial" w:eastAsia="Arial" w:hAnsi="Arial"/>
                  <w:sz w:val="13"/>
                  <w:szCs w:val="13"/>
                  <w:color w:val="auto"/>
                </w:rPr>
                <w:t>Financial Statements and Supplementary Data</w:t>
              </w:r>
            </w:hyperlink>
          </w:p>
        </w:tc>
      </w:tr>
      <w:tr>
        <w:trPr>
          <w:trHeight w:val="148"/>
        </w:trPr>
        <w:tc>
          <w:tcPr>
            <w:tcW w:w="2080" w:type="dxa"/>
            <w:vAlign w:val="bottom"/>
            <w:shd w:val="clear" w:color="auto" w:fill="DBDBDB"/>
          </w:tcPr>
          <w:p>
            <w:pPr>
              <w:spacing w:after="0"/>
              <w:rPr>
                <w:sz w:val="12"/>
                <w:szCs w:val="12"/>
                <w:color w:val="auto"/>
              </w:rPr>
            </w:pPr>
          </w:p>
        </w:tc>
        <w:tc>
          <w:tcPr>
            <w:tcW w:w="9160" w:type="dxa"/>
            <w:vAlign w:val="bottom"/>
            <w:shd w:val="clear" w:color="auto" w:fill="DBDBDB"/>
          </w:tcPr>
          <w:p>
            <w:pPr>
              <w:spacing w:after="0"/>
              <w:rPr>
                <w:sz w:val="12"/>
                <w:szCs w:val="12"/>
                <w:color w:val="auto"/>
              </w:rPr>
            </w:pPr>
          </w:p>
        </w:tc>
      </w:tr>
      <w:tr>
        <w:trPr>
          <w:trHeight w:val="169"/>
        </w:trPr>
        <w:tc>
          <w:tcPr>
            <w:tcW w:w="2080" w:type="dxa"/>
            <w:vAlign w:val="bottom"/>
          </w:tcPr>
          <w:p>
            <w:pPr>
              <w:ind w:left="1240"/>
              <w:spacing w:after="0"/>
              <w:rPr>
                <w:rFonts w:ascii="Arial" w:cs="Arial" w:eastAsia="Arial" w:hAnsi="Arial"/>
                <w:sz w:val="13"/>
                <w:szCs w:val="13"/>
                <w:color w:val="auto"/>
              </w:rPr>
            </w:pPr>
            <w:hyperlink w:anchor="page115">
              <w:r>
                <w:rPr>
                  <w:rFonts w:ascii="Arial" w:cs="Arial" w:eastAsia="Arial" w:hAnsi="Arial"/>
                  <w:sz w:val="13"/>
                  <w:szCs w:val="13"/>
                  <w:color w:val="auto"/>
                </w:rPr>
                <w:t>Item 9</w:t>
              </w:r>
            </w:hyperlink>
          </w:p>
        </w:tc>
        <w:tc>
          <w:tcPr>
            <w:tcW w:w="9160" w:type="dxa"/>
            <w:vAlign w:val="bottom"/>
          </w:tcPr>
          <w:p>
            <w:pPr>
              <w:ind w:left="380"/>
              <w:spacing w:after="0"/>
              <w:rPr>
                <w:rFonts w:ascii="Arial" w:cs="Arial" w:eastAsia="Arial" w:hAnsi="Arial"/>
                <w:sz w:val="13"/>
                <w:szCs w:val="13"/>
                <w:color w:val="auto"/>
              </w:rPr>
            </w:pPr>
            <w:hyperlink w:anchor="page115">
              <w:r>
                <w:rPr>
                  <w:rFonts w:ascii="Arial" w:cs="Arial" w:eastAsia="Arial" w:hAnsi="Arial"/>
                  <w:sz w:val="13"/>
                  <w:szCs w:val="13"/>
                  <w:color w:val="auto"/>
                </w:rPr>
                <w:t>Changes in and Disagreements with Accountants on Accounting and Financial Disclosure</w:t>
              </w:r>
            </w:hyperlink>
          </w:p>
        </w:tc>
      </w:tr>
      <w:tr>
        <w:trPr>
          <w:trHeight w:val="148"/>
        </w:trPr>
        <w:tc>
          <w:tcPr>
            <w:tcW w:w="2080" w:type="dxa"/>
            <w:vAlign w:val="bottom"/>
          </w:tcPr>
          <w:p>
            <w:pPr>
              <w:spacing w:after="0"/>
              <w:rPr>
                <w:sz w:val="12"/>
                <w:szCs w:val="12"/>
                <w:color w:val="auto"/>
              </w:rPr>
            </w:pPr>
          </w:p>
        </w:tc>
        <w:tc>
          <w:tcPr>
            <w:tcW w:w="9160" w:type="dxa"/>
            <w:vAlign w:val="bottom"/>
          </w:tcPr>
          <w:p>
            <w:pPr>
              <w:spacing w:after="0"/>
              <w:rPr>
                <w:sz w:val="12"/>
                <w:szCs w:val="12"/>
                <w:color w:val="auto"/>
              </w:rPr>
            </w:pPr>
          </w:p>
        </w:tc>
      </w:tr>
      <w:tr>
        <w:trPr>
          <w:trHeight w:val="169"/>
        </w:trPr>
        <w:tc>
          <w:tcPr>
            <w:tcW w:w="2080" w:type="dxa"/>
            <w:vAlign w:val="bottom"/>
            <w:shd w:val="clear" w:color="auto" w:fill="DBDBDB"/>
          </w:tcPr>
          <w:p>
            <w:pPr>
              <w:ind w:left="1240"/>
              <w:spacing w:after="0"/>
              <w:rPr>
                <w:rFonts w:ascii="Arial" w:cs="Arial" w:eastAsia="Arial" w:hAnsi="Arial"/>
                <w:sz w:val="13"/>
                <w:szCs w:val="13"/>
                <w:color w:val="auto"/>
              </w:rPr>
            </w:pPr>
            <w:hyperlink w:anchor="page116">
              <w:r>
                <w:rPr>
                  <w:rFonts w:ascii="Arial" w:cs="Arial" w:eastAsia="Arial" w:hAnsi="Arial"/>
                  <w:sz w:val="13"/>
                  <w:szCs w:val="13"/>
                  <w:color w:val="auto"/>
                </w:rPr>
                <w:t>Item 9A</w:t>
              </w:r>
            </w:hyperlink>
          </w:p>
        </w:tc>
        <w:tc>
          <w:tcPr>
            <w:tcW w:w="9160" w:type="dxa"/>
            <w:vAlign w:val="bottom"/>
            <w:shd w:val="clear" w:color="auto" w:fill="DBDBDB"/>
          </w:tcPr>
          <w:p>
            <w:pPr>
              <w:ind w:left="380"/>
              <w:spacing w:after="0"/>
              <w:rPr>
                <w:rFonts w:ascii="Arial" w:cs="Arial" w:eastAsia="Arial" w:hAnsi="Arial"/>
                <w:sz w:val="13"/>
                <w:szCs w:val="13"/>
                <w:color w:val="auto"/>
              </w:rPr>
            </w:pPr>
            <w:hyperlink w:anchor="page116">
              <w:r>
                <w:rPr>
                  <w:rFonts w:ascii="Arial" w:cs="Arial" w:eastAsia="Arial" w:hAnsi="Arial"/>
                  <w:sz w:val="13"/>
                  <w:szCs w:val="13"/>
                  <w:color w:val="auto"/>
                </w:rPr>
                <w:t>Controls and Procedures</w:t>
              </w:r>
            </w:hyperlink>
          </w:p>
        </w:tc>
      </w:tr>
      <w:tr>
        <w:trPr>
          <w:trHeight w:val="148"/>
        </w:trPr>
        <w:tc>
          <w:tcPr>
            <w:tcW w:w="2080" w:type="dxa"/>
            <w:vAlign w:val="bottom"/>
            <w:shd w:val="clear" w:color="auto" w:fill="DBDBDB"/>
          </w:tcPr>
          <w:p>
            <w:pPr>
              <w:spacing w:after="0"/>
              <w:rPr>
                <w:sz w:val="12"/>
                <w:szCs w:val="12"/>
                <w:color w:val="auto"/>
              </w:rPr>
            </w:pPr>
          </w:p>
        </w:tc>
        <w:tc>
          <w:tcPr>
            <w:tcW w:w="9160" w:type="dxa"/>
            <w:vAlign w:val="bottom"/>
            <w:shd w:val="clear" w:color="auto" w:fill="DBDBDB"/>
          </w:tcPr>
          <w:p>
            <w:pPr>
              <w:spacing w:after="0"/>
              <w:rPr>
                <w:sz w:val="12"/>
                <w:szCs w:val="12"/>
                <w:color w:val="auto"/>
              </w:rPr>
            </w:pPr>
          </w:p>
        </w:tc>
      </w:tr>
      <w:tr>
        <w:trPr>
          <w:trHeight w:val="169"/>
        </w:trPr>
        <w:tc>
          <w:tcPr>
            <w:tcW w:w="2080" w:type="dxa"/>
            <w:vAlign w:val="bottom"/>
          </w:tcPr>
          <w:p>
            <w:pPr>
              <w:ind w:left="1240"/>
              <w:spacing w:after="0"/>
              <w:rPr>
                <w:rFonts w:ascii="Arial" w:cs="Arial" w:eastAsia="Arial" w:hAnsi="Arial"/>
                <w:sz w:val="13"/>
                <w:szCs w:val="13"/>
                <w:color w:val="auto"/>
              </w:rPr>
            </w:pPr>
            <w:hyperlink w:anchor="page117">
              <w:r>
                <w:rPr>
                  <w:rFonts w:ascii="Arial" w:cs="Arial" w:eastAsia="Arial" w:hAnsi="Arial"/>
                  <w:sz w:val="13"/>
                  <w:szCs w:val="13"/>
                  <w:color w:val="auto"/>
                </w:rPr>
                <w:t>Item 9B</w:t>
              </w:r>
            </w:hyperlink>
          </w:p>
        </w:tc>
        <w:tc>
          <w:tcPr>
            <w:tcW w:w="9160" w:type="dxa"/>
            <w:vAlign w:val="bottom"/>
          </w:tcPr>
          <w:p>
            <w:pPr>
              <w:ind w:left="380"/>
              <w:spacing w:after="0"/>
              <w:rPr>
                <w:rFonts w:ascii="Arial" w:cs="Arial" w:eastAsia="Arial" w:hAnsi="Arial"/>
                <w:sz w:val="13"/>
                <w:szCs w:val="13"/>
                <w:color w:val="auto"/>
              </w:rPr>
            </w:pPr>
            <w:hyperlink w:anchor="page117">
              <w:r>
                <w:rPr>
                  <w:rFonts w:ascii="Arial" w:cs="Arial" w:eastAsia="Arial" w:hAnsi="Arial"/>
                  <w:sz w:val="13"/>
                  <w:szCs w:val="13"/>
                  <w:color w:val="auto"/>
                </w:rPr>
                <w:t>Other Information</w:t>
              </w:r>
            </w:hyperlink>
          </w:p>
        </w:tc>
      </w:tr>
      <w:tr>
        <w:trPr>
          <w:trHeight w:val="148"/>
        </w:trPr>
        <w:tc>
          <w:tcPr>
            <w:tcW w:w="2080" w:type="dxa"/>
            <w:vAlign w:val="bottom"/>
          </w:tcPr>
          <w:p>
            <w:pPr>
              <w:spacing w:after="0"/>
              <w:rPr>
                <w:sz w:val="12"/>
                <w:szCs w:val="12"/>
                <w:color w:val="auto"/>
              </w:rPr>
            </w:pPr>
          </w:p>
        </w:tc>
        <w:tc>
          <w:tcPr>
            <w:tcW w:w="9160" w:type="dxa"/>
            <w:vAlign w:val="bottom"/>
          </w:tcPr>
          <w:p>
            <w:pPr>
              <w:spacing w:after="0"/>
              <w:rPr>
                <w:sz w:val="12"/>
                <w:szCs w:val="12"/>
                <w:color w:val="auto"/>
              </w:rPr>
            </w:pPr>
          </w:p>
        </w:tc>
      </w:tr>
      <w:tr>
        <w:trPr>
          <w:trHeight w:val="173"/>
        </w:trPr>
        <w:tc>
          <w:tcPr>
            <w:tcW w:w="2080" w:type="dxa"/>
            <w:vAlign w:val="bottom"/>
            <w:shd w:val="clear" w:color="auto" w:fill="DBDBDB"/>
          </w:tcPr>
          <w:p>
            <w:pPr>
              <w:ind w:left="20"/>
              <w:spacing w:after="0"/>
              <w:rPr>
                <w:rFonts w:ascii="Arial" w:cs="Arial" w:eastAsia="Arial" w:hAnsi="Arial"/>
                <w:sz w:val="13"/>
                <w:szCs w:val="13"/>
                <w:b w:val="1"/>
                <w:bCs w:val="1"/>
                <w:color w:val="auto"/>
              </w:rPr>
            </w:pPr>
            <w:hyperlink w:anchor="page118">
              <w:r>
                <w:rPr>
                  <w:rFonts w:ascii="Arial" w:cs="Arial" w:eastAsia="Arial" w:hAnsi="Arial"/>
                  <w:sz w:val="13"/>
                  <w:szCs w:val="13"/>
                  <w:b w:val="1"/>
                  <w:bCs w:val="1"/>
                  <w:color w:val="auto"/>
                </w:rPr>
                <w:t>PART III</w:t>
              </w:r>
            </w:hyperlink>
          </w:p>
        </w:tc>
        <w:tc>
          <w:tcPr>
            <w:tcW w:w="9160" w:type="dxa"/>
            <w:vAlign w:val="bottom"/>
            <w:shd w:val="clear" w:color="auto" w:fill="DBDBDB"/>
          </w:tcPr>
          <w:p>
            <w:pPr>
              <w:spacing w:after="0"/>
              <w:rPr>
                <w:sz w:val="15"/>
                <w:szCs w:val="15"/>
                <w:color w:val="auto"/>
              </w:rPr>
            </w:pPr>
          </w:p>
        </w:tc>
      </w:tr>
      <w:tr>
        <w:trPr>
          <w:trHeight w:val="144"/>
        </w:trPr>
        <w:tc>
          <w:tcPr>
            <w:tcW w:w="2080" w:type="dxa"/>
            <w:vAlign w:val="bottom"/>
            <w:shd w:val="clear" w:color="auto" w:fill="DBDBDB"/>
          </w:tcPr>
          <w:p>
            <w:pPr>
              <w:spacing w:after="0"/>
              <w:rPr>
                <w:sz w:val="12"/>
                <w:szCs w:val="12"/>
                <w:color w:val="auto"/>
              </w:rPr>
            </w:pPr>
          </w:p>
        </w:tc>
        <w:tc>
          <w:tcPr>
            <w:tcW w:w="9160" w:type="dxa"/>
            <w:vAlign w:val="bottom"/>
            <w:shd w:val="clear" w:color="auto" w:fill="DBDBDB"/>
          </w:tcPr>
          <w:p>
            <w:pPr>
              <w:spacing w:after="0"/>
              <w:rPr>
                <w:sz w:val="12"/>
                <w:szCs w:val="12"/>
                <w:color w:val="auto"/>
              </w:rPr>
            </w:pPr>
          </w:p>
        </w:tc>
      </w:tr>
      <w:tr>
        <w:trPr>
          <w:trHeight w:val="169"/>
        </w:trPr>
        <w:tc>
          <w:tcPr>
            <w:tcW w:w="2080" w:type="dxa"/>
            <w:vAlign w:val="bottom"/>
          </w:tcPr>
          <w:p>
            <w:pPr>
              <w:ind w:left="1240"/>
              <w:spacing w:after="0"/>
              <w:rPr>
                <w:rFonts w:ascii="Arial" w:cs="Arial" w:eastAsia="Arial" w:hAnsi="Arial"/>
                <w:sz w:val="13"/>
                <w:szCs w:val="13"/>
                <w:color w:val="auto"/>
              </w:rPr>
            </w:pPr>
            <w:hyperlink w:anchor="page118">
              <w:r>
                <w:rPr>
                  <w:rFonts w:ascii="Arial" w:cs="Arial" w:eastAsia="Arial" w:hAnsi="Arial"/>
                  <w:sz w:val="13"/>
                  <w:szCs w:val="13"/>
                  <w:color w:val="auto"/>
                </w:rPr>
                <w:t>Item 10</w:t>
              </w:r>
            </w:hyperlink>
          </w:p>
        </w:tc>
        <w:tc>
          <w:tcPr>
            <w:tcW w:w="9160" w:type="dxa"/>
            <w:vAlign w:val="bottom"/>
          </w:tcPr>
          <w:p>
            <w:pPr>
              <w:ind w:left="380"/>
              <w:spacing w:after="0"/>
              <w:rPr>
                <w:rFonts w:ascii="Arial" w:cs="Arial" w:eastAsia="Arial" w:hAnsi="Arial"/>
                <w:sz w:val="13"/>
                <w:szCs w:val="13"/>
                <w:color w:val="auto"/>
              </w:rPr>
            </w:pPr>
            <w:hyperlink w:anchor="page118">
              <w:r>
                <w:rPr>
                  <w:rFonts w:ascii="Arial" w:cs="Arial" w:eastAsia="Arial" w:hAnsi="Arial"/>
                  <w:sz w:val="13"/>
                  <w:szCs w:val="13"/>
                  <w:color w:val="auto"/>
                </w:rPr>
                <w:t>Directors, Executive Officers and Corporate Governance</w:t>
              </w:r>
            </w:hyperlink>
          </w:p>
        </w:tc>
      </w:tr>
      <w:tr>
        <w:trPr>
          <w:trHeight w:val="148"/>
        </w:trPr>
        <w:tc>
          <w:tcPr>
            <w:tcW w:w="2080" w:type="dxa"/>
            <w:vAlign w:val="bottom"/>
          </w:tcPr>
          <w:p>
            <w:pPr>
              <w:spacing w:after="0"/>
              <w:rPr>
                <w:sz w:val="12"/>
                <w:szCs w:val="12"/>
                <w:color w:val="auto"/>
              </w:rPr>
            </w:pPr>
          </w:p>
        </w:tc>
        <w:tc>
          <w:tcPr>
            <w:tcW w:w="9160" w:type="dxa"/>
            <w:vAlign w:val="bottom"/>
          </w:tcPr>
          <w:p>
            <w:pPr>
              <w:spacing w:after="0"/>
              <w:rPr>
                <w:sz w:val="12"/>
                <w:szCs w:val="12"/>
                <w:color w:val="auto"/>
              </w:rPr>
            </w:pPr>
          </w:p>
        </w:tc>
      </w:tr>
      <w:tr>
        <w:trPr>
          <w:trHeight w:val="169"/>
        </w:trPr>
        <w:tc>
          <w:tcPr>
            <w:tcW w:w="2080" w:type="dxa"/>
            <w:vAlign w:val="bottom"/>
            <w:shd w:val="clear" w:color="auto" w:fill="DBDBDB"/>
          </w:tcPr>
          <w:p>
            <w:pPr>
              <w:ind w:left="1240"/>
              <w:spacing w:after="0"/>
              <w:rPr>
                <w:rFonts w:ascii="Arial" w:cs="Arial" w:eastAsia="Arial" w:hAnsi="Arial"/>
                <w:sz w:val="13"/>
                <w:szCs w:val="13"/>
                <w:color w:val="auto"/>
              </w:rPr>
            </w:pPr>
            <w:hyperlink w:anchor="page118">
              <w:r>
                <w:rPr>
                  <w:rFonts w:ascii="Arial" w:cs="Arial" w:eastAsia="Arial" w:hAnsi="Arial"/>
                  <w:sz w:val="13"/>
                  <w:szCs w:val="13"/>
                  <w:color w:val="auto"/>
                </w:rPr>
                <w:t>Item 11</w:t>
              </w:r>
            </w:hyperlink>
          </w:p>
        </w:tc>
        <w:tc>
          <w:tcPr>
            <w:tcW w:w="9160" w:type="dxa"/>
            <w:vAlign w:val="bottom"/>
            <w:shd w:val="clear" w:color="auto" w:fill="DBDBDB"/>
          </w:tcPr>
          <w:p>
            <w:pPr>
              <w:ind w:left="380"/>
              <w:spacing w:after="0"/>
              <w:rPr>
                <w:rFonts w:ascii="Arial" w:cs="Arial" w:eastAsia="Arial" w:hAnsi="Arial"/>
                <w:sz w:val="13"/>
                <w:szCs w:val="13"/>
                <w:color w:val="auto"/>
              </w:rPr>
            </w:pPr>
            <w:hyperlink w:anchor="page118">
              <w:r>
                <w:rPr>
                  <w:rFonts w:ascii="Arial" w:cs="Arial" w:eastAsia="Arial" w:hAnsi="Arial"/>
                  <w:sz w:val="13"/>
                  <w:szCs w:val="13"/>
                  <w:color w:val="auto"/>
                </w:rPr>
                <w:t>Executive Compensation</w:t>
              </w:r>
            </w:hyperlink>
          </w:p>
        </w:tc>
      </w:tr>
      <w:tr>
        <w:trPr>
          <w:trHeight w:val="148"/>
        </w:trPr>
        <w:tc>
          <w:tcPr>
            <w:tcW w:w="2080" w:type="dxa"/>
            <w:vAlign w:val="bottom"/>
            <w:shd w:val="clear" w:color="auto" w:fill="DBDBDB"/>
          </w:tcPr>
          <w:p>
            <w:pPr>
              <w:spacing w:after="0"/>
              <w:rPr>
                <w:sz w:val="12"/>
                <w:szCs w:val="12"/>
                <w:color w:val="auto"/>
              </w:rPr>
            </w:pPr>
          </w:p>
        </w:tc>
        <w:tc>
          <w:tcPr>
            <w:tcW w:w="9160" w:type="dxa"/>
            <w:vAlign w:val="bottom"/>
            <w:shd w:val="clear" w:color="auto" w:fill="DBDBDB"/>
          </w:tcPr>
          <w:p>
            <w:pPr>
              <w:spacing w:after="0"/>
              <w:rPr>
                <w:sz w:val="12"/>
                <w:szCs w:val="12"/>
                <w:color w:val="auto"/>
              </w:rPr>
            </w:pPr>
          </w:p>
        </w:tc>
      </w:tr>
      <w:tr>
        <w:trPr>
          <w:trHeight w:val="169"/>
        </w:trPr>
        <w:tc>
          <w:tcPr>
            <w:tcW w:w="2080" w:type="dxa"/>
            <w:vAlign w:val="bottom"/>
          </w:tcPr>
          <w:p>
            <w:pPr>
              <w:ind w:left="1240"/>
              <w:spacing w:after="0"/>
              <w:rPr>
                <w:rFonts w:ascii="Arial" w:cs="Arial" w:eastAsia="Arial" w:hAnsi="Arial"/>
                <w:sz w:val="13"/>
                <w:szCs w:val="13"/>
                <w:color w:val="auto"/>
              </w:rPr>
            </w:pPr>
            <w:hyperlink w:anchor="page118">
              <w:r>
                <w:rPr>
                  <w:rFonts w:ascii="Arial" w:cs="Arial" w:eastAsia="Arial" w:hAnsi="Arial"/>
                  <w:sz w:val="13"/>
                  <w:szCs w:val="13"/>
                  <w:color w:val="auto"/>
                </w:rPr>
                <w:t>Item 12</w:t>
              </w:r>
            </w:hyperlink>
          </w:p>
        </w:tc>
        <w:tc>
          <w:tcPr>
            <w:tcW w:w="9160" w:type="dxa"/>
            <w:vAlign w:val="bottom"/>
          </w:tcPr>
          <w:p>
            <w:pPr>
              <w:ind w:left="380"/>
              <w:spacing w:after="0"/>
              <w:rPr>
                <w:rFonts w:ascii="Arial" w:cs="Arial" w:eastAsia="Arial" w:hAnsi="Arial"/>
                <w:sz w:val="13"/>
                <w:szCs w:val="13"/>
                <w:color w:val="auto"/>
              </w:rPr>
            </w:pPr>
            <w:hyperlink w:anchor="page118">
              <w:r>
                <w:rPr>
                  <w:rFonts w:ascii="Arial" w:cs="Arial" w:eastAsia="Arial" w:hAnsi="Arial"/>
                  <w:sz w:val="13"/>
                  <w:szCs w:val="13"/>
                  <w:color w:val="auto"/>
                </w:rPr>
                <w:t>Security Ownership of Certain Beneficial Owners and Management Related Stockholder Matters</w:t>
              </w:r>
            </w:hyperlink>
          </w:p>
        </w:tc>
      </w:tr>
      <w:tr>
        <w:trPr>
          <w:trHeight w:val="148"/>
        </w:trPr>
        <w:tc>
          <w:tcPr>
            <w:tcW w:w="2080" w:type="dxa"/>
            <w:vAlign w:val="bottom"/>
          </w:tcPr>
          <w:p>
            <w:pPr>
              <w:spacing w:after="0"/>
              <w:rPr>
                <w:sz w:val="12"/>
                <w:szCs w:val="12"/>
                <w:color w:val="auto"/>
              </w:rPr>
            </w:pPr>
          </w:p>
        </w:tc>
        <w:tc>
          <w:tcPr>
            <w:tcW w:w="9160" w:type="dxa"/>
            <w:vAlign w:val="bottom"/>
          </w:tcPr>
          <w:p>
            <w:pPr>
              <w:spacing w:after="0"/>
              <w:rPr>
                <w:sz w:val="12"/>
                <w:szCs w:val="12"/>
                <w:color w:val="auto"/>
              </w:rPr>
            </w:pPr>
          </w:p>
        </w:tc>
      </w:tr>
      <w:tr>
        <w:trPr>
          <w:trHeight w:val="169"/>
        </w:trPr>
        <w:tc>
          <w:tcPr>
            <w:tcW w:w="2080" w:type="dxa"/>
            <w:vAlign w:val="bottom"/>
            <w:shd w:val="clear" w:color="auto" w:fill="DBDBDB"/>
          </w:tcPr>
          <w:p>
            <w:pPr>
              <w:ind w:left="1240"/>
              <w:spacing w:after="0"/>
              <w:rPr>
                <w:rFonts w:ascii="Arial" w:cs="Arial" w:eastAsia="Arial" w:hAnsi="Arial"/>
                <w:sz w:val="13"/>
                <w:szCs w:val="13"/>
                <w:color w:val="auto"/>
              </w:rPr>
            </w:pPr>
            <w:hyperlink w:anchor="page118">
              <w:r>
                <w:rPr>
                  <w:rFonts w:ascii="Arial" w:cs="Arial" w:eastAsia="Arial" w:hAnsi="Arial"/>
                  <w:sz w:val="13"/>
                  <w:szCs w:val="13"/>
                  <w:color w:val="auto"/>
                </w:rPr>
                <w:t>Item 13</w:t>
              </w:r>
            </w:hyperlink>
          </w:p>
        </w:tc>
        <w:tc>
          <w:tcPr>
            <w:tcW w:w="9160" w:type="dxa"/>
            <w:vAlign w:val="bottom"/>
            <w:shd w:val="clear" w:color="auto" w:fill="DBDBDB"/>
          </w:tcPr>
          <w:p>
            <w:pPr>
              <w:ind w:left="380"/>
              <w:spacing w:after="0"/>
              <w:rPr>
                <w:rFonts w:ascii="Arial" w:cs="Arial" w:eastAsia="Arial" w:hAnsi="Arial"/>
                <w:sz w:val="13"/>
                <w:szCs w:val="13"/>
                <w:color w:val="auto"/>
              </w:rPr>
            </w:pPr>
            <w:hyperlink w:anchor="page118">
              <w:r>
                <w:rPr>
                  <w:rFonts w:ascii="Arial" w:cs="Arial" w:eastAsia="Arial" w:hAnsi="Arial"/>
                  <w:sz w:val="13"/>
                  <w:szCs w:val="13"/>
                  <w:color w:val="auto"/>
                </w:rPr>
                <w:t>Certain Relationships and Related Transactions, and Director Independence</w:t>
              </w:r>
            </w:hyperlink>
          </w:p>
        </w:tc>
      </w:tr>
      <w:tr>
        <w:trPr>
          <w:trHeight w:val="148"/>
        </w:trPr>
        <w:tc>
          <w:tcPr>
            <w:tcW w:w="2080" w:type="dxa"/>
            <w:vAlign w:val="bottom"/>
            <w:shd w:val="clear" w:color="auto" w:fill="DBDBDB"/>
          </w:tcPr>
          <w:p>
            <w:pPr>
              <w:spacing w:after="0"/>
              <w:rPr>
                <w:sz w:val="12"/>
                <w:szCs w:val="12"/>
                <w:color w:val="auto"/>
              </w:rPr>
            </w:pPr>
          </w:p>
        </w:tc>
        <w:tc>
          <w:tcPr>
            <w:tcW w:w="9160" w:type="dxa"/>
            <w:vAlign w:val="bottom"/>
            <w:shd w:val="clear" w:color="auto" w:fill="DBDBDB"/>
          </w:tcPr>
          <w:p>
            <w:pPr>
              <w:spacing w:after="0"/>
              <w:rPr>
                <w:sz w:val="12"/>
                <w:szCs w:val="12"/>
                <w:color w:val="auto"/>
              </w:rPr>
            </w:pPr>
          </w:p>
        </w:tc>
      </w:tr>
      <w:tr>
        <w:trPr>
          <w:trHeight w:val="169"/>
        </w:trPr>
        <w:tc>
          <w:tcPr>
            <w:tcW w:w="2080" w:type="dxa"/>
            <w:vAlign w:val="bottom"/>
          </w:tcPr>
          <w:p>
            <w:pPr>
              <w:ind w:left="1240"/>
              <w:spacing w:after="0"/>
              <w:rPr>
                <w:rFonts w:ascii="Arial" w:cs="Arial" w:eastAsia="Arial" w:hAnsi="Arial"/>
                <w:sz w:val="13"/>
                <w:szCs w:val="13"/>
                <w:color w:val="auto"/>
              </w:rPr>
            </w:pPr>
            <w:hyperlink w:anchor="page118">
              <w:r>
                <w:rPr>
                  <w:rFonts w:ascii="Arial" w:cs="Arial" w:eastAsia="Arial" w:hAnsi="Arial"/>
                  <w:sz w:val="13"/>
                  <w:szCs w:val="13"/>
                  <w:color w:val="auto"/>
                </w:rPr>
                <w:t>Item 14</w:t>
              </w:r>
            </w:hyperlink>
          </w:p>
        </w:tc>
        <w:tc>
          <w:tcPr>
            <w:tcW w:w="9160" w:type="dxa"/>
            <w:vAlign w:val="bottom"/>
          </w:tcPr>
          <w:p>
            <w:pPr>
              <w:ind w:left="380"/>
              <w:spacing w:after="0"/>
              <w:rPr>
                <w:rFonts w:ascii="Arial" w:cs="Arial" w:eastAsia="Arial" w:hAnsi="Arial"/>
                <w:sz w:val="13"/>
                <w:szCs w:val="13"/>
                <w:color w:val="auto"/>
              </w:rPr>
            </w:pPr>
            <w:hyperlink w:anchor="page118">
              <w:r>
                <w:rPr>
                  <w:rFonts w:ascii="Arial" w:cs="Arial" w:eastAsia="Arial" w:hAnsi="Arial"/>
                  <w:sz w:val="13"/>
                  <w:szCs w:val="13"/>
                  <w:color w:val="auto"/>
                </w:rPr>
                <w:t>Principal Accountant Fees and Services</w:t>
              </w:r>
            </w:hyperlink>
          </w:p>
        </w:tc>
      </w:tr>
      <w:tr>
        <w:trPr>
          <w:trHeight w:val="148"/>
        </w:trPr>
        <w:tc>
          <w:tcPr>
            <w:tcW w:w="2080" w:type="dxa"/>
            <w:vAlign w:val="bottom"/>
          </w:tcPr>
          <w:p>
            <w:pPr>
              <w:spacing w:after="0"/>
              <w:rPr>
                <w:sz w:val="12"/>
                <w:szCs w:val="12"/>
                <w:color w:val="auto"/>
              </w:rPr>
            </w:pPr>
          </w:p>
        </w:tc>
        <w:tc>
          <w:tcPr>
            <w:tcW w:w="9160" w:type="dxa"/>
            <w:vAlign w:val="bottom"/>
          </w:tcPr>
          <w:p>
            <w:pPr>
              <w:spacing w:after="0"/>
              <w:rPr>
                <w:sz w:val="12"/>
                <w:szCs w:val="12"/>
                <w:color w:val="auto"/>
              </w:rPr>
            </w:pPr>
          </w:p>
        </w:tc>
      </w:tr>
      <w:tr>
        <w:trPr>
          <w:trHeight w:val="173"/>
        </w:trPr>
        <w:tc>
          <w:tcPr>
            <w:tcW w:w="2080" w:type="dxa"/>
            <w:vAlign w:val="bottom"/>
            <w:shd w:val="clear" w:color="auto" w:fill="DBDBDB"/>
          </w:tcPr>
          <w:p>
            <w:pPr>
              <w:ind w:left="20"/>
              <w:spacing w:after="0"/>
              <w:rPr>
                <w:rFonts w:ascii="Arial" w:cs="Arial" w:eastAsia="Arial" w:hAnsi="Arial"/>
                <w:sz w:val="13"/>
                <w:szCs w:val="13"/>
                <w:b w:val="1"/>
                <w:bCs w:val="1"/>
                <w:color w:val="auto"/>
              </w:rPr>
            </w:pPr>
            <w:hyperlink w:anchor="page118">
              <w:r>
                <w:rPr>
                  <w:rFonts w:ascii="Arial" w:cs="Arial" w:eastAsia="Arial" w:hAnsi="Arial"/>
                  <w:sz w:val="13"/>
                  <w:szCs w:val="13"/>
                  <w:b w:val="1"/>
                  <w:bCs w:val="1"/>
                  <w:color w:val="auto"/>
                </w:rPr>
                <w:t>PART IV</w:t>
              </w:r>
            </w:hyperlink>
          </w:p>
        </w:tc>
        <w:tc>
          <w:tcPr>
            <w:tcW w:w="9160" w:type="dxa"/>
            <w:vAlign w:val="bottom"/>
            <w:shd w:val="clear" w:color="auto" w:fill="DBDBDB"/>
          </w:tcPr>
          <w:p>
            <w:pPr>
              <w:spacing w:after="0"/>
              <w:rPr>
                <w:sz w:val="15"/>
                <w:szCs w:val="15"/>
                <w:color w:val="auto"/>
              </w:rPr>
            </w:pPr>
          </w:p>
        </w:tc>
      </w:tr>
      <w:tr>
        <w:trPr>
          <w:trHeight w:val="144"/>
        </w:trPr>
        <w:tc>
          <w:tcPr>
            <w:tcW w:w="2080" w:type="dxa"/>
            <w:vAlign w:val="bottom"/>
            <w:shd w:val="clear" w:color="auto" w:fill="DBDBDB"/>
          </w:tcPr>
          <w:p>
            <w:pPr>
              <w:spacing w:after="0"/>
              <w:rPr>
                <w:sz w:val="12"/>
                <w:szCs w:val="12"/>
                <w:color w:val="auto"/>
              </w:rPr>
            </w:pPr>
          </w:p>
        </w:tc>
        <w:tc>
          <w:tcPr>
            <w:tcW w:w="9160" w:type="dxa"/>
            <w:vAlign w:val="bottom"/>
            <w:shd w:val="clear" w:color="auto" w:fill="DBDBDB"/>
          </w:tcPr>
          <w:p>
            <w:pPr>
              <w:spacing w:after="0"/>
              <w:rPr>
                <w:sz w:val="12"/>
                <w:szCs w:val="12"/>
                <w:color w:val="auto"/>
              </w:rPr>
            </w:pPr>
          </w:p>
        </w:tc>
      </w:tr>
      <w:tr>
        <w:trPr>
          <w:trHeight w:val="169"/>
        </w:trPr>
        <w:tc>
          <w:tcPr>
            <w:tcW w:w="2080" w:type="dxa"/>
            <w:vAlign w:val="bottom"/>
          </w:tcPr>
          <w:p>
            <w:pPr>
              <w:ind w:left="1240"/>
              <w:spacing w:after="0"/>
              <w:rPr>
                <w:rFonts w:ascii="Arial" w:cs="Arial" w:eastAsia="Arial" w:hAnsi="Arial"/>
                <w:sz w:val="13"/>
                <w:szCs w:val="13"/>
                <w:color w:val="auto"/>
              </w:rPr>
            </w:pPr>
            <w:hyperlink w:anchor="page119">
              <w:r>
                <w:rPr>
                  <w:rFonts w:ascii="Arial" w:cs="Arial" w:eastAsia="Arial" w:hAnsi="Arial"/>
                  <w:sz w:val="13"/>
                  <w:szCs w:val="13"/>
                  <w:color w:val="auto"/>
                </w:rPr>
                <w:t>Item 15</w:t>
              </w:r>
            </w:hyperlink>
          </w:p>
        </w:tc>
        <w:tc>
          <w:tcPr>
            <w:tcW w:w="9160" w:type="dxa"/>
            <w:vAlign w:val="bottom"/>
          </w:tcPr>
          <w:p>
            <w:pPr>
              <w:ind w:left="380"/>
              <w:spacing w:after="0"/>
              <w:rPr>
                <w:rFonts w:ascii="Arial" w:cs="Arial" w:eastAsia="Arial" w:hAnsi="Arial"/>
                <w:sz w:val="13"/>
                <w:szCs w:val="13"/>
                <w:color w:val="auto"/>
              </w:rPr>
            </w:pPr>
            <w:hyperlink w:anchor="page119">
              <w:r>
                <w:rPr>
                  <w:rFonts w:ascii="Arial" w:cs="Arial" w:eastAsia="Arial" w:hAnsi="Arial"/>
                  <w:sz w:val="13"/>
                  <w:szCs w:val="13"/>
                  <w:color w:val="auto"/>
                </w:rPr>
                <w:t>Exhibits and Financial Statement Schedules</w:t>
              </w:r>
            </w:hyperlink>
          </w:p>
        </w:tc>
      </w:tr>
      <w:tr>
        <w:trPr>
          <w:trHeight w:val="148"/>
        </w:trPr>
        <w:tc>
          <w:tcPr>
            <w:tcW w:w="2080" w:type="dxa"/>
            <w:vAlign w:val="bottom"/>
          </w:tcPr>
          <w:p>
            <w:pPr>
              <w:spacing w:after="0"/>
              <w:rPr>
                <w:sz w:val="12"/>
                <w:szCs w:val="12"/>
                <w:color w:val="auto"/>
              </w:rPr>
            </w:pPr>
          </w:p>
        </w:tc>
        <w:tc>
          <w:tcPr>
            <w:tcW w:w="9160" w:type="dxa"/>
            <w:vAlign w:val="bottom"/>
          </w:tcPr>
          <w:p>
            <w:pPr>
              <w:spacing w:after="0"/>
              <w:rPr>
                <w:sz w:val="12"/>
                <w:szCs w:val="12"/>
                <w:color w:val="auto"/>
              </w:rPr>
            </w:pPr>
          </w:p>
        </w:tc>
      </w:tr>
      <w:tr>
        <w:trPr>
          <w:trHeight w:val="173"/>
        </w:trPr>
        <w:tc>
          <w:tcPr>
            <w:tcW w:w="2080" w:type="dxa"/>
            <w:vAlign w:val="bottom"/>
            <w:shd w:val="clear" w:color="auto" w:fill="DBDBDB"/>
          </w:tcPr>
          <w:p>
            <w:pPr>
              <w:ind w:left="20"/>
              <w:spacing w:after="0"/>
              <w:rPr>
                <w:rFonts w:ascii="Arial" w:cs="Arial" w:eastAsia="Arial" w:hAnsi="Arial"/>
                <w:sz w:val="13"/>
                <w:szCs w:val="13"/>
                <w:b w:val="1"/>
                <w:bCs w:val="1"/>
                <w:color w:val="auto"/>
              </w:rPr>
            </w:pPr>
            <w:hyperlink w:anchor="page121">
              <w:r>
                <w:rPr>
                  <w:rFonts w:ascii="Arial" w:cs="Arial" w:eastAsia="Arial" w:hAnsi="Arial"/>
                  <w:sz w:val="13"/>
                  <w:szCs w:val="13"/>
                  <w:b w:val="1"/>
                  <w:bCs w:val="1"/>
                  <w:color w:val="auto"/>
                </w:rPr>
                <w:t>SIGNATURES</w:t>
              </w:r>
            </w:hyperlink>
          </w:p>
        </w:tc>
        <w:tc>
          <w:tcPr>
            <w:tcW w:w="9160" w:type="dxa"/>
            <w:vAlign w:val="bottom"/>
            <w:shd w:val="clear" w:color="auto" w:fill="DBDBDB"/>
          </w:tcPr>
          <w:p>
            <w:pPr>
              <w:spacing w:after="0"/>
              <w:rPr>
                <w:sz w:val="15"/>
                <w:szCs w:val="15"/>
                <w:color w:val="auto"/>
              </w:rPr>
            </w:pPr>
          </w:p>
        </w:tc>
      </w:tr>
      <w:tr>
        <w:trPr>
          <w:trHeight w:val="144"/>
        </w:trPr>
        <w:tc>
          <w:tcPr>
            <w:tcW w:w="2080" w:type="dxa"/>
            <w:vAlign w:val="bottom"/>
            <w:shd w:val="clear" w:color="auto" w:fill="DBDBDB"/>
          </w:tcPr>
          <w:p>
            <w:pPr>
              <w:spacing w:after="0"/>
              <w:rPr>
                <w:sz w:val="12"/>
                <w:szCs w:val="12"/>
                <w:color w:val="auto"/>
              </w:rPr>
            </w:pPr>
          </w:p>
        </w:tc>
        <w:tc>
          <w:tcPr>
            <w:tcW w:w="9160" w:type="dxa"/>
            <w:vAlign w:val="bottom"/>
            <w:shd w:val="clear" w:color="auto" w:fill="DBDBDB"/>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36195</wp:posOffset>
            </wp:positionV>
            <wp:extent cx="7183755"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3" w:name="page4"/>
    <w:bookmarkEnd w:id="3"/>
    <w:p>
      <w:pPr>
        <w:spacing w:after="0"/>
        <w:rPr>
          <w:sz w:val="20"/>
          <w:szCs w:val="20"/>
          <w:color w:val="auto"/>
        </w:rPr>
      </w:pPr>
      <w:r>
        <w:rPr>
          <w:rFonts w:ascii="Arial" w:cs="Arial" w:eastAsia="Arial" w:hAnsi="Arial"/>
          <w:sz w:val="19"/>
          <w:szCs w:val="19"/>
          <w:color w:val="1D2758"/>
        </w:rPr>
        <w:t>Cautionary Note Regarding Forward Looking Statements</w:t>
      </w:r>
    </w:p>
    <w:p>
      <w:pPr>
        <w:spacing w:after="0" w:line="85"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This Annual Report on Form 10-K contains forward-looking statements within the meaning of the US Private Securities Litigation Reform Act of 1995 and Section 21E of the Securities Exchange Act. The words “estimates,” “expects,” “anticipates,” “believes,” “forecasts,” “plans,” “intends,” “may,” “will,” “should,” “shall,” “outlook,” “guidance” and variations of these words and similar expressions identify forward-looking statements, which are generally not historical in nature and relate to expectations for future financial performance or business strategies or objectives. Forward-looking statements are subject to a number of risks, uncertainties, assumptions and other important factors, many of which are outside our control, which could cause actual results or outcomes to differ materially from those discussed in the forward-looking statements. Although we believe that these forward-looking statements are based on reasonable assumptions, we can give no assurance that any such forward-looking statement will materialize. Important factors that may affect actual results or outcomes include, among others:</w:t>
      </w:r>
    </w:p>
    <w:p>
      <w:pPr>
        <w:spacing w:after="0" w:line="82" w:lineRule="exact"/>
        <w:rPr>
          <w:sz w:val="20"/>
          <w:szCs w:val="20"/>
          <w:color w:val="auto"/>
        </w:rPr>
      </w:pPr>
    </w:p>
    <w:p>
      <w:pPr>
        <w:ind w:left="260" w:hanging="253"/>
        <w:spacing w:after="0"/>
        <w:tabs>
          <w:tab w:leader="none" w:pos="260" w:val="left"/>
        </w:tabs>
        <w:numPr>
          <w:ilvl w:val="0"/>
          <w:numId w:val="4"/>
        </w:numPr>
        <w:rPr>
          <w:rFonts w:ascii="Arial" w:cs="Arial" w:eastAsia="Arial" w:hAnsi="Arial"/>
          <w:sz w:val="13"/>
          <w:szCs w:val="13"/>
          <w:color w:val="auto"/>
        </w:rPr>
      </w:pPr>
      <w:r>
        <w:rPr>
          <w:rFonts w:ascii="Arial" w:cs="Arial" w:eastAsia="Arial" w:hAnsi="Arial"/>
          <w:sz w:val="13"/>
          <w:szCs w:val="13"/>
          <w:color w:val="auto"/>
        </w:rPr>
        <w:t>our ability to successfully acquire and integrate new operations;</w:t>
      </w:r>
    </w:p>
    <w:p>
      <w:pPr>
        <w:spacing w:after="0" w:line="47" w:lineRule="exact"/>
        <w:rPr>
          <w:rFonts w:ascii="Arial" w:cs="Arial" w:eastAsia="Arial" w:hAnsi="Arial"/>
          <w:sz w:val="13"/>
          <w:szCs w:val="13"/>
          <w:color w:val="auto"/>
        </w:rPr>
      </w:pPr>
    </w:p>
    <w:p>
      <w:pPr>
        <w:ind w:left="260" w:hanging="253"/>
        <w:spacing w:after="0" w:line="256" w:lineRule="auto"/>
        <w:tabs>
          <w:tab w:leader="none" w:pos="251"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effect of global or local economic conditions in the industries and markets in which the Company operates and any changes therein, including financial market conditions and levels of end market demand;</w:t>
      </w:r>
    </w:p>
    <w:p>
      <w:pPr>
        <w:spacing w:after="0" w:line="30" w:lineRule="exact"/>
        <w:rPr>
          <w:rFonts w:ascii="Arial" w:cs="Arial" w:eastAsia="Arial" w:hAnsi="Arial"/>
          <w:sz w:val="13"/>
          <w:szCs w:val="13"/>
          <w:color w:val="auto"/>
        </w:rPr>
      </w:pPr>
    </w:p>
    <w:p>
      <w:pPr>
        <w:ind w:left="260" w:hanging="253"/>
        <w:spacing w:after="0"/>
        <w:tabs>
          <w:tab w:leader="none" w:pos="260" w:val="left"/>
        </w:tabs>
        <w:numPr>
          <w:ilvl w:val="0"/>
          <w:numId w:val="4"/>
        </w:numPr>
        <w:rPr>
          <w:rFonts w:ascii="Arial" w:cs="Arial" w:eastAsia="Arial" w:hAnsi="Arial"/>
          <w:sz w:val="13"/>
          <w:szCs w:val="13"/>
          <w:color w:val="auto"/>
        </w:rPr>
      </w:pPr>
      <w:r>
        <w:rPr>
          <w:rFonts w:ascii="Arial" w:cs="Arial" w:eastAsia="Arial" w:hAnsi="Arial"/>
          <w:sz w:val="13"/>
          <w:szCs w:val="13"/>
          <w:color w:val="auto"/>
        </w:rPr>
        <w:t>operational, economic, political and regulatory risks;</w:t>
      </w:r>
    </w:p>
    <w:p>
      <w:pPr>
        <w:spacing w:after="0" w:line="47" w:lineRule="exact"/>
        <w:rPr>
          <w:rFonts w:ascii="Arial" w:cs="Arial" w:eastAsia="Arial" w:hAnsi="Arial"/>
          <w:sz w:val="13"/>
          <w:szCs w:val="13"/>
          <w:color w:val="auto"/>
        </w:rPr>
      </w:pPr>
    </w:p>
    <w:p>
      <w:pPr>
        <w:ind w:left="260" w:hanging="253"/>
        <w:spacing w:after="0" w:line="256" w:lineRule="auto"/>
        <w:tabs>
          <w:tab w:leader="none" w:pos="251"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impact of public health crises, such as the global pandemic related to COVID-19, including the financial condition of the Company’s customers and suppliers and employee health and safety;</w:t>
      </w:r>
    </w:p>
    <w:p>
      <w:pPr>
        <w:spacing w:after="0" w:line="30" w:lineRule="exact"/>
        <w:rPr>
          <w:rFonts w:ascii="Arial" w:cs="Arial" w:eastAsia="Arial" w:hAnsi="Arial"/>
          <w:sz w:val="13"/>
          <w:szCs w:val="13"/>
          <w:color w:val="auto"/>
        </w:rPr>
      </w:pPr>
    </w:p>
    <w:p>
      <w:pPr>
        <w:ind w:left="260" w:hanging="253"/>
        <w:spacing w:after="0"/>
        <w:tabs>
          <w:tab w:leader="none" w:pos="260" w:val="left"/>
        </w:tabs>
        <w:numPr>
          <w:ilvl w:val="0"/>
          <w:numId w:val="4"/>
        </w:numPr>
        <w:rPr>
          <w:rFonts w:ascii="Arial" w:cs="Arial" w:eastAsia="Arial" w:hAnsi="Arial"/>
          <w:sz w:val="13"/>
          <w:szCs w:val="13"/>
          <w:color w:val="auto"/>
        </w:rPr>
      </w:pPr>
      <w:r>
        <w:rPr>
          <w:rFonts w:ascii="Arial" w:cs="Arial" w:eastAsia="Arial" w:hAnsi="Arial"/>
          <w:sz w:val="13"/>
          <w:szCs w:val="13"/>
          <w:color w:val="auto"/>
        </w:rPr>
        <w:t>risks associated with cybersecurity and IT systems disruptions, including our ability to manage the business in the event a disaster shuts down our management information systems;</w:t>
      </w:r>
    </w:p>
    <w:p>
      <w:pPr>
        <w:spacing w:after="0" w:line="47" w:lineRule="exact"/>
        <w:rPr>
          <w:rFonts w:ascii="Arial" w:cs="Arial" w:eastAsia="Arial" w:hAnsi="Arial"/>
          <w:sz w:val="13"/>
          <w:szCs w:val="13"/>
          <w:color w:val="auto"/>
        </w:rPr>
      </w:pPr>
    </w:p>
    <w:p>
      <w:pPr>
        <w:ind w:left="260" w:hanging="253"/>
        <w:spacing w:after="0"/>
        <w:tabs>
          <w:tab w:leader="none" w:pos="260" w:val="left"/>
        </w:tabs>
        <w:numPr>
          <w:ilvl w:val="0"/>
          <w:numId w:val="4"/>
        </w:numPr>
        <w:rPr>
          <w:rFonts w:ascii="Arial" w:cs="Arial" w:eastAsia="Arial" w:hAnsi="Arial"/>
          <w:sz w:val="13"/>
          <w:szCs w:val="13"/>
          <w:color w:val="auto"/>
        </w:rPr>
      </w:pPr>
      <w:r>
        <w:rPr>
          <w:rFonts w:ascii="Arial" w:cs="Arial" w:eastAsia="Arial" w:hAnsi="Arial"/>
          <w:sz w:val="13"/>
          <w:szCs w:val="13"/>
          <w:color w:val="auto"/>
        </w:rPr>
        <w:t>effective management of our rental equipment;</w:t>
      </w:r>
    </w:p>
    <w:p>
      <w:pPr>
        <w:spacing w:after="0" w:line="47" w:lineRule="exact"/>
        <w:rPr>
          <w:rFonts w:ascii="Arial" w:cs="Arial" w:eastAsia="Arial" w:hAnsi="Arial"/>
          <w:sz w:val="13"/>
          <w:szCs w:val="13"/>
          <w:color w:val="auto"/>
        </w:rPr>
      </w:pPr>
    </w:p>
    <w:p>
      <w:pPr>
        <w:ind w:left="260" w:hanging="253"/>
        <w:spacing w:after="0"/>
        <w:tabs>
          <w:tab w:leader="none" w:pos="260" w:val="left"/>
        </w:tabs>
        <w:numPr>
          <w:ilvl w:val="0"/>
          <w:numId w:val="4"/>
        </w:numPr>
        <w:rPr>
          <w:rFonts w:ascii="Arial" w:cs="Arial" w:eastAsia="Arial" w:hAnsi="Arial"/>
          <w:sz w:val="13"/>
          <w:szCs w:val="13"/>
          <w:color w:val="auto"/>
        </w:rPr>
      </w:pPr>
      <w:r>
        <w:rPr>
          <w:rFonts w:ascii="Arial" w:cs="Arial" w:eastAsia="Arial" w:hAnsi="Arial"/>
          <w:sz w:val="13"/>
          <w:szCs w:val="13"/>
          <w:color w:val="auto"/>
        </w:rPr>
        <w:t>trade policies and changes in trade policies, including the imposition of tariffs, their enforcement and downstream consequences;</w:t>
      </w:r>
    </w:p>
    <w:p>
      <w:pPr>
        <w:spacing w:after="0" w:line="47" w:lineRule="exact"/>
        <w:rPr>
          <w:rFonts w:ascii="Arial" w:cs="Arial" w:eastAsia="Arial" w:hAnsi="Arial"/>
          <w:sz w:val="13"/>
          <w:szCs w:val="13"/>
          <w:color w:val="auto"/>
        </w:rPr>
      </w:pPr>
    </w:p>
    <w:p>
      <w:pPr>
        <w:ind w:left="260" w:hanging="253"/>
        <w:spacing w:after="0"/>
        <w:tabs>
          <w:tab w:leader="none" w:pos="260" w:val="left"/>
        </w:tabs>
        <w:numPr>
          <w:ilvl w:val="0"/>
          <w:numId w:val="4"/>
        </w:numPr>
        <w:rPr>
          <w:rFonts w:ascii="Arial" w:cs="Arial" w:eastAsia="Arial" w:hAnsi="Arial"/>
          <w:sz w:val="13"/>
          <w:szCs w:val="13"/>
          <w:color w:val="auto"/>
        </w:rPr>
      </w:pPr>
      <w:r>
        <w:rPr>
          <w:rFonts w:ascii="Arial" w:cs="Arial" w:eastAsia="Arial" w:hAnsi="Arial"/>
          <w:sz w:val="13"/>
          <w:szCs w:val="13"/>
          <w:color w:val="auto"/>
        </w:rPr>
        <w:t>our ability to effectively compete in the modular space, portable storage and tank and pump industries;</w:t>
      </w:r>
    </w:p>
    <w:p>
      <w:pPr>
        <w:spacing w:after="0" w:line="47" w:lineRule="exact"/>
        <w:rPr>
          <w:rFonts w:ascii="Arial" w:cs="Arial" w:eastAsia="Arial" w:hAnsi="Arial"/>
          <w:sz w:val="13"/>
          <w:szCs w:val="13"/>
          <w:color w:val="auto"/>
        </w:rPr>
      </w:pPr>
    </w:p>
    <w:p>
      <w:pPr>
        <w:ind w:left="260" w:hanging="253"/>
        <w:spacing w:after="0"/>
        <w:tabs>
          <w:tab w:leader="none" w:pos="260" w:val="left"/>
        </w:tabs>
        <w:numPr>
          <w:ilvl w:val="0"/>
          <w:numId w:val="4"/>
        </w:numPr>
        <w:rPr>
          <w:rFonts w:ascii="Arial" w:cs="Arial" w:eastAsia="Arial" w:hAnsi="Arial"/>
          <w:sz w:val="13"/>
          <w:szCs w:val="13"/>
          <w:color w:val="auto"/>
        </w:rPr>
      </w:pPr>
      <w:r>
        <w:rPr>
          <w:rFonts w:ascii="Arial" w:cs="Arial" w:eastAsia="Arial" w:hAnsi="Arial"/>
          <w:sz w:val="13"/>
          <w:szCs w:val="13"/>
          <w:color w:val="auto"/>
        </w:rPr>
        <w:t>our ability to effectively manage our credit risk, collect on our accounts receivable, or recover our rental equipment;</w:t>
      </w:r>
    </w:p>
    <w:p>
      <w:pPr>
        <w:spacing w:after="0" w:line="47" w:lineRule="exact"/>
        <w:rPr>
          <w:rFonts w:ascii="Arial" w:cs="Arial" w:eastAsia="Arial" w:hAnsi="Arial"/>
          <w:sz w:val="13"/>
          <w:szCs w:val="13"/>
          <w:color w:val="auto"/>
        </w:rPr>
      </w:pPr>
    </w:p>
    <w:p>
      <w:pPr>
        <w:ind w:left="260" w:hanging="253"/>
        <w:spacing w:after="0"/>
        <w:tabs>
          <w:tab w:leader="none" w:pos="26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effect of changes in state building codes on our ability to remarket our buildings;</w:t>
      </w:r>
    </w:p>
    <w:p>
      <w:pPr>
        <w:spacing w:after="0" w:line="47" w:lineRule="exact"/>
        <w:rPr>
          <w:rFonts w:ascii="Arial" w:cs="Arial" w:eastAsia="Arial" w:hAnsi="Arial"/>
          <w:sz w:val="13"/>
          <w:szCs w:val="13"/>
          <w:color w:val="auto"/>
        </w:rPr>
      </w:pPr>
    </w:p>
    <w:p>
      <w:pPr>
        <w:ind w:left="260" w:hanging="253"/>
        <w:spacing w:after="0"/>
        <w:tabs>
          <w:tab w:leader="none" w:pos="260" w:val="left"/>
        </w:tabs>
        <w:numPr>
          <w:ilvl w:val="0"/>
          <w:numId w:val="4"/>
        </w:numPr>
        <w:rPr>
          <w:rFonts w:ascii="Arial" w:cs="Arial" w:eastAsia="Arial" w:hAnsi="Arial"/>
          <w:sz w:val="13"/>
          <w:szCs w:val="13"/>
          <w:color w:val="auto"/>
        </w:rPr>
      </w:pPr>
      <w:r>
        <w:rPr>
          <w:rFonts w:ascii="Arial" w:cs="Arial" w:eastAsia="Arial" w:hAnsi="Arial"/>
          <w:sz w:val="13"/>
          <w:szCs w:val="13"/>
          <w:color w:val="auto"/>
        </w:rPr>
        <w:t>foreign currency exchange rate exposure;</w:t>
      </w:r>
    </w:p>
    <w:p>
      <w:pPr>
        <w:spacing w:after="0" w:line="47" w:lineRule="exact"/>
        <w:rPr>
          <w:rFonts w:ascii="Arial" w:cs="Arial" w:eastAsia="Arial" w:hAnsi="Arial"/>
          <w:sz w:val="13"/>
          <w:szCs w:val="13"/>
          <w:color w:val="auto"/>
        </w:rPr>
      </w:pPr>
    </w:p>
    <w:p>
      <w:pPr>
        <w:ind w:left="260" w:hanging="253"/>
        <w:spacing w:after="0"/>
        <w:tabs>
          <w:tab w:leader="none" w:pos="260" w:val="left"/>
        </w:tabs>
        <w:numPr>
          <w:ilvl w:val="0"/>
          <w:numId w:val="4"/>
        </w:numPr>
        <w:rPr>
          <w:rFonts w:ascii="Arial" w:cs="Arial" w:eastAsia="Arial" w:hAnsi="Arial"/>
          <w:sz w:val="13"/>
          <w:szCs w:val="13"/>
          <w:color w:val="auto"/>
        </w:rPr>
      </w:pPr>
      <w:r>
        <w:rPr>
          <w:rFonts w:ascii="Arial" w:cs="Arial" w:eastAsia="Arial" w:hAnsi="Arial"/>
          <w:sz w:val="13"/>
          <w:szCs w:val="13"/>
          <w:color w:val="auto"/>
        </w:rPr>
        <w:t>fluctuations in interest rates and commodity prices;</w:t>
      </w:r>
    </w:p>
    <w:p>
      <w:pPr>
        <w:spacing w:after="0" w:line="47" w:lineRule="exact"/>
        <w:rPr>
          <w:rFonts w:ascii="Arial" w:cs="Arial" w:eastAsia="Arial" w:hAnsi="Arial"/>
          <w:sz w:val="13"/>
          <w:szCs w:val="13"/>
          <w:color w:val="auto"/>
        </w:rPr>
      </w:pPr>
    </w:p>
    <w:p>
      <w:pPr>
        <w:ind w:left="260" w:hanging="253"/>
        <w:spacing w:after="0"/>
        <w:tabs>
          <w:tab w:leader="none" w:pos="260" w:val="left"/>
        </w:tabs>
        <w:numPr>
          <w:ilvl w:val="0"/>
          <w:numId w:val="4"/>
        </w:numPr>
        <w:rPr>
          <w:rFonts w:ascii="Arial" w:cs="Arial" w:eastAsia="Arial" w:hAnsi="Arial"/>
          <w:sz w:val="13"/>
          <w:szCs w:val="13"/>
          <w:color w:val="auto"/>
        </w:rPr>
      </w:pPr>
      <w:r>
        <w:rPr>
          <w:rFonts w:ascii="Arial" w:cs="Arial" w:eastAsia="Arial" w:hAnsi="Arial"/>
          <w:sz w:val="13"/>
          <w:szCs w:val="13"/>
          <w:color w:val="auto"/>
        </w:rPr>
        <w:t>significant increases in the costs and restrictions on the availability of raw materials and labor;</w:t>
      </w:r>
    </w:p>
    <w:p>
      <w:pPr>
        <w:spacing w:after="0" w:line="47" w:lineRule="exact"/>
        <w:rPr>
          <w:rFonts w:ascii="Arial" w:cs="Arial" w:eastAsia="Arial" w:hAnsi="Arial"/>
          <w:sz w:val="13"/>
          <w:szCs w:val="13"/>
          <w:color w:val="auto"/>
        </w:rPr>
      </w:pPr>
    </w:p>
    <w:p>
      <w:pPr>
        <w:ind w:left="260" w:hanging="253"/>
        <w:spacing w:after="0"/>
        <w:tabs>
          <w:tab w:leader="none" w:pos="260" w:val="left"/>
        </w:tabs>
        <w:numPr>
          <w:ilvl w:val="0"/>
          <w:numId w:val="4"/>
        </w:numPr>
        <w:rPr>
          <w:rFonts w:ascii="Arial" w:cs="Arial" w:eastAsia="Arial" w:hAnsi="Arial"/>
          <w:sz w:val="13"/>
          <w:szCs w:val="13"/>
          <w:color w:val="auto"/>
        </w:rPr>
      </w:pPr>
      <w:r>
        <w:rPr>
          <w:rFonts w:ascii="Arial" w:cs="Arial" w:eastAsia="Arial" w:hAnsi="Arial"/>
          <w:sz w:val="13"/>
          <w:szCs w:val="13"/>
          <w:color w:val="auto"/>
        </w:rPr>
        <w:t>fluctuations in fuel costs or oil prices, a reduction in fuel supplies, or a sustained decline in oil prices;</w:t>
      </w:r>
    </w:p>
    <w:p>
      <w:pPr>
        <w:spacing w:after="0" w:line="47" w:lineRule="exact"/>
        <w:rPr>
          <w:rFonts w:ascii="Arial" w:cs="Arial" w:eastAsia="Arial" w:hAnsi="Arial"/>
          <w:sz w:val="13"/>
          <w:szCs w:val="13"/>
          <w:color w:val="auto"/>
        </w:rPr>
      </w:pPr>
    </w:p>
    <w:p>
      <w:pPr>
        <w:ind w:left="260" w:hanging="253"/>
        <w:spacing w:after="0"/>
        <w:tabs>
          <w:tab w:leader="none" w:pos="260" w:val="left"/>
        </w:tabs>
        <w:numPr>
          <w:ilvl w:val="0"/>
          <w:numId w:val="4"/>
        </w:numPr>
        <w:rPr>
          <w:rFonts w:ascii="Arial" w:cs="Arial" w:eastAsia="Arial" w:hAnsi="Arial"/>
          <w:sz w:val="13"/>
          <w:szCs w:val="13"/>
          <w:color w:val="auto"/>
        </w:rPr>
      </w:pPr>
      <w:r>
        <w:rPr>
          <w:rFonts w:ascii="Arial" w:cs="Arial" w:eastAsia="Arial" w:hAnsi="Arial"/>
          <w:sz w:val="13"/>
          <w:szCs w:val="13"/>
          <w:color w:val="auto"/>
        </w:rPr>
        <w:t>our reliance on third party manufacturers and suppliers;</w:t>
      </w:r>
    </w:p>
    <w:p>
      <w:pPr>
        <w:spacing w:after="0" w:line="47" w:lineRule="exact"/>
        <w:rPr>
          <w:rFonts w:ascii="Arial" w:cs="Arial" w:eastAsia="Arial" w:hAnsi="Arial"/>
          <w:sz w:val="13"/>
          <w:szCs w:val="13"/>
          <w:color w:val="auto"/>
        </w:rPr>
      </w:pPr>
    </w:p>
    <w:p>
      <w:pPr>
        <w:ind w:left="260" w:hanging="253"/>
        <w:spacing w:after="0"/>
        <w:tabs>
          <w:tab w:leader="none" w:pos="260" w:val="left"/>
        </w:tabs>
        <w:numPr>
          <w:ilvl w:val="0"/>
          <w:numId w:val="4"/>
        </w:numPr>
        <w:rPr>
          <w:rFonts w:ascii="Arial" w:cs="Arial" w:eastAsia="Arial" w:hAnsi="Arial"/>
          <w:sz w:val="13"/>
          <w:szCs w:val="13"/>
          <w:color w:val="auto"/>
        </w:rPr>
      </w:pPr>
      <w:r>
        <w:rPr>
          <w:rFonts w:ascii="Arial" w:cs="Arial" w:eastAsia="Arial" w:hAnsi="Arial"/>
          <w:sz w:val="13"/>
          <w:szCs w:val="13"/>
          <w:color w:val="auto"/>
        </w:rPr>
        <w:t>risks associated with labor relations, labor costs and labor disruptions;</w:t>
      </w:r>
    </w:p>
    <w:p>
      <w:pPr>
        <w:spacing w:after="0" w:line="47" w:lineRule="exact"/>
        <w:rPr>
          <w:rFonts w:ascii="Arial" w:cs="Arial" w:eastAsia="Arial" w:hAnsi="Arial"/>
          <w:sz w:val="13"/>
          <w:szCs w:val="13"/>
          <w:color w:val="auto"/>
        </w:rPr>
      </w:pPr>
    </w:p>
    <w:p>
      <w:pPr>
        <w:ind w:left="260" w:hanging="253"/>
        <w:spacing w:after="0"/>
        <w:tabs>
          <w:tab w:leader="none" w:pos="260" w:val="left"/>
        </w:tabs>
        <w:numPr>
          <w:ilvl w:val="0"/>
          <w:numId w:val="4"/>
        </w:numPr>
        <w:rPr>
          <w:rFonts w:ascii="Arial" w:cs="Arial" w:eastAsia="Arial" w:hAnsi="Arial"/>
          <w:sz w:val="13"/>
          <w:szCs w:val="13"/>
          <w:color w:val="auto"/>
        </w:rPr>
      </w:pPr>
      <w:r>
        <w:rPr>
          <w:rFonts w:ascii="Arial" w:cs="Arial" w:eastAsia="Arial" w:hAnsi="Arial"/>
          <w:sz w:val="13"/>
          <w:szCs w:val="13"/>
          <w:color w:val="auto"/>
        </w:rPr>
        <w:t>impairment of our goodwill, intangible assets and indefinite-life intangible assets;</w:t>
      </w:r>
    </w:p>
    <w:p>
      <w:pPr>
        <w:spacing w:after="0" w:line="47" w:lineRule="exact"/>
        <w:rPr>
          <w:rFonts w:ascii="Arial" w:cs="Arial" w:eastAsia="Arial" w:hAnsi="Arial"/>
          <w:sz w:val="13"/>
          <w:szCs w:val="13"/>
          <w:color w:val="auto"/>
        </w:rPr>
      </w:pPr>
    </w:p>
    <w:p>
      <w:pPr>
        <w:ind w:left="260" w:hanging="253"/>
        <w:spacing w:after="0"/>
        <w:tabs>
          <w:tab w:leader="none" w:pos="260" w:val="left"/>
        </w:tabs>
        <w:numPr>
          <w:ilvl w:val="0"/>
          <w:numId w:val="4"/>
        </w:numPr>
        <w:rPr>
          <w:rFonts w:ascii="Arial" w:cs="Arial" w:eastAsia="Arial" w:hAnsi="Arial"/>
          <w:sz w:val="13"/>
          <w:szCs w:val="13"/>
          <w:color w:val="auto"/>
        </w:rPr>
      </w:pPr>
      <w:r>
        <w:rPr>
          <w:rFonts w:ascii="Arial" w:cs="Arial" w:eastAsia="Arial" w:hAnsi="Arial"/>
          <w:sz w:val="13"/>
          <w:szCs w:val="13"/>
          <w:color w:val="auto"/>
        </w:rPr>
        <w:t>various laws and regulations, including those governing government contracts, corruption and the environment;</w:t>
      </w:r>
    </w:p>
    <w:p>
      <w:pPr>
        <w:spacing w:after="0" w:line="47" w:lineRule="exact"/>
        <w:rPr>
          <w:rFonts w:ascii="Arial" w:cs="Arial" w:eastAsia="Arial" w:hAnsi="Arial"/>
          <w:sz w:val="13"/>
          <w:szCs w:val="13"/>
          <w:color w:val="auto"/>
        </w:rPr>
      </w:pPr>
    </w:p>
    <w:p>
      <w:pPr>
        <w:ind w:left="260" w:hanging="253"/>
        <w:spacing w:after="0" w:line="256" w:lineRule="auto"/>
        <w:tabs>
          <w:tab w:leader="none" w:pos="251" w:val="left"/>
        </w:tabs>
        <w:numPr>
          <w:ilvl w:val="0"/>
          <w:numId w:val="4"/>
        </w:numPr>
        <w:rPr>
          <w:rFonts w:ascii="Arial" w:cs="Arial" w:eastAsia="Arial" w:hAnsi="Arial"/>
          <w:sz w:val="13"/>
          <w:szCs w:val="13"/>
          <w:color w:val="auto"/>
        </w:rPr>
      </w:pPr>
      <w:r>
        <w:rPr>
          <w:rFonts w:ascii="Arial" w:cs="Arial" w:eastAsia="Arial" w:hAnsi="Arial"/>
          <w:sz w:val="13"/>
          <w:szCs w:val="13"/>
          <w:color w:val="auto"/>
        </w:rPr>
        <w:t>changes in the competitive environment of our customer base as a result of the global, national or local economic climate in which they operate and/or economic or financial disruptions to their industry;</w:t>
      </w:r>
    </w:p>
    <w:p>
      <w:pPr>
        <w:spacing w:after="0" w:line="30" w:lineRule="exact"/>
        <w:rPr>
          <w:rFonts w:ascii="Arial" w:cs="Arial" w:eastAsia="Arial" w:hAnsi="Arial"/>
          <w:sz w:val="13"/>
          <w:szCs w:val="13"/>
          <w:color w:val="auto"/>
        </w:rPr>
      </w:pPr>
    </w:p>
    <w:p>
      <w:pPr>
        <w:ind w:left="260" w:hanging="253"/>
        <w:spacing w:after="0"/>
        <w:tabs>
          <w:tab w:leader="none" w:pos="260" w:val="left"/>
        </w:tabs>
        <w:numPr>
          <w:ilvl w:val="0"/>
          <w:numId w:val="4"/>
        </w:numPr>
        <w:rPr>
          <w:rFonts w:ascii="Arial" w:cs="Arial" w:eastAsia="Arial" w:hAnsi="Arial"/>
          <w:sz w:val="13"/>
          <w:szCs w:val="13"/>
          <w:color w:val="auto"/>
        </w:rPr>
      </w:pPr>
      <w:r>
        <w:rPr>
          <w:rFonts w:ascii="Arial" w:cs="Arial" w:eastAsia="Arial" w:hAnsi="Arial"/>
          <w:sz w:val="13"/>
          <w:szCs w:val="13"/>
          <w:color w:val="auto"/>
        </w:rPr>
        <w:t>our ability to adequately protect our intellectual property and other proprietary rights that are material to our business;</w:t>
      </w:r>
    </w:p>
    <w:p>
      <w:pPr>
        <w:spacing w:after="0" w:line="47" w:lineRule="exact"/>
        <w:rPr>
          <w:rFonts w:ascii="Arial" w:cs="Arial" w:eastAsia="Arial" w:hAnsi="Arial"/>
          <w:sz w:val="13"/>
          <w:szCs w:val="13"/>
          <w:color w:val="auto"/>
        </w:rPr>
      </w:pPr>
    </w:p>
    <w:p>
      <w:pPr>
        <w:ind w:left="260" w:hanging="253"/>
        <w:spacing w:after="0"/>
        <w:tabs>
          <w:tab w:leader="none" w:pos="260" w:val="left"/>
        </w:tabs>
        <w:numPr>
          <w:ilvl w:val="0"/>
          <w:numId w:val="4"/>
        </w:numPr>
        <w:rPr>
          <w:rFonts w:ascii="Arial" w:cs="Arial" w:eastAsia="Arial" w:hAnsi="Arial"/>
          <w:sz w:val="13"/>
          <w:szCs w:val="13"/>
          <w:color w:val="auto"/>
        </w:rPr>
      </w:pPr>
      <w:r>
        <w:rPr>
          <w:rFonts w:ascii="Arial" w:cs="Arial" w:eastAsia="Arial" w:hAnsi="Arial"/>
          <w:sz w:val="13"/>
          <w:szCs w:val="13"/>
          <w:color w:val="auto"/>
        </w:rPr>
        <w:t>natural disasters and other business disruptions such as pandemics, fires, floods, hurricanes, earthquakes and terrorism;</w:t>
      </w:r>
    </w:p>
    <w:p>
      <w:pPr>
        <w:spacing w:after="0" w:line="47" w:lineRule="exact"/>
        <w:rPr>
          <w:rFonts w:ascii="Arial" w:cs="Arial" w:eastAsia="Arial" w:hAnsi="Arial"/>
          <w:sz w:val="13"/>
          <w:szCs w:val="13"/>
          <w:color w:val="auto"/>
        </w:rPr>
      </w:pPr>
    </w:p>
    <w:p>
      <w:pPr>
        <w:ind w:left="260" w:hanging="253"/>
        <w:spacing w:after="0"/>
        <w:tabs>
          <w:tab w:leader="none" w:pos="260" w:val="left"/>
        </w:tabs>
        <w:numPr>
          <w:ilvl w:val="0"/>
          <w:numId w:val="4"/>
        </w:numPr>
        <w:rPr>
          <w:rFonts w:ascii="Arial" w:cs="Arial" w:eastAsia="Arial" w:hAnsi="Arial"/>
          <w:sz w:val="13"/>
          <w:szCs w:val="13"/>
          <w:color w:val="auto"/>
        </w:rPr>
      </w:pPr>
      <w:r>
        <w:rPr>
          <w:rFonts w:ascii="Arial" w:cs="Arial" w:eastAsia="Arial" w:hAnsi="Arial"/>
          <w:sz w:val="13"/>
          <w:szCs w:val="13"/>
          <w:color w:val="auto"/>
        </w:rPr>
        <w:t>our ability to establish and maintain the appropriate physical presence in our markets;</w:t>
      </w:r>
    </w:p>
    <w:p>
      <w:pPr>
        <w:spacing w:after="0" w:line="47" w:lineRule="exact"/>
        <w:rPr>
          <w:rFonts w:ascii="Arial" w:cs="Arial" w:eastAsia="Arial" w:hAnsi="Arial"/>
          <w:sz w:val="13"/>
          <w:szCs w:val="13"/>
          <w:color w:val="auto"/>
        </w:rPr>
      </w:pPr>
    </w:p>
    <w:p>
      <w:pPr>
        <w:ind w:left="260" w:hanging="253"/>
        <w:spacing w:after="0"/>
        <w:tabs>
          <w:tab w:leader="none" w:pos="260" w:val="left"/>
        </w:tabs>
        <w:numPr>
          <w:ilvl w:val="0"/>
          <w:numId w:val="4"/>
        </w:numPr>
        <w:rPr>
          <w:rFonts w:ascii="Arial" w:cs="Arial" w:eastAsia="Arial" w:hAnsi="Arial"/>
          <w:sz w:val="13"/>
          <w:szCs w:val="13"/>
          <w:color w:val="auto"/>
        </w:rPr>
      </w:pPr>
      <w:r>
        <w:rPr>
          <w:rFonts w:ascii="Arial" w:cs="Arial" w:eastAsia="Arial" w:hAnsi="Arial"/>
          <w:sz w:val="13"/>
          <w:szCs w:val="13"/>
          <w:color w:val="auto"/>
        </w:rPr>
        <w:t>property, casualty or other losses not covered by our insurance;</w:t>
      </w:r>
    </w:p>
    <w:p>
      <w:pPr>
        <w:spacing w:after="0" w:line="47" w:lineRule="exact"/>
        <w:rPr>
          <w:rFonts w:ascii="Arial" w:cs="Arial" w:eastAsia="Arial" w:hAnsi="Arial"/>
          <w:sz w:val="13"/>
          <w:szCs w:val="13"/>
          <w:color w:val="auto"/>
        </w:rPr>
      </w:pPr>
    </w:p>
    <w:p>
      <w:pPr>
        <w:ind w:left="260" w:hanging="253"/>
        <w:spacing w:after="0"/>
        <w:tabs>
          <w:tab w:leader="none" w:pos="260" w:val="left"/>
        </w:tabs>
        <w:numPr>
          <w:ilvl w:val="0"/>
          <w:numId w:val="4"/>
        </w:numPr>
        <w:rPr>
          <w:rFonts w:ascii="Arial" w:cs="Arial" w:eastAsia="Arial" w:hAnsi="Arial"/>
          <w:sz w:val="13"/>
          <w:szCs w:val="13"/>
          <w:color w:val="auto"/>
        </w:rPr>
      </w:pPr>
      <w:r>
        <w:rPr>
          <w:rFonts w:ascii="Arial" w:cs="Arial" w:eastAsia="Arial" w:hAnsi="Arial"/>
          <w:sz w:val="13"/>
          <w:szCs w:val="13"/>
          <w:color w:val="auto"/>
        </w:rPr>
        <w:t>our ability to close our unit sales transactions;</w:t>
      </w:r>
    </w:p>
    <w:p>
      <w:pPr>
        <w:spacing w:after="0" w:line="47" w:lineRule="exact"/>
        <w:rPr>
          <w:rFonts w:ascii="Arial" w:cs="Arial" w:eastAsia="Arial" w:hAnsi="Arial"/>
          <w:sz w:val="13"/>
          <w:szCs w:val="13"/>
          <w:color w:val="auto"/>
        </w:rPr>
      </w:pPr>
    </w:p>
    <w:p>
      <w:pPr>
        <w:ind w:left="260" w:hanging="253"/>
        <w:spacing w:after="0"/>
        <w:tabs>
          <w:tab w:leader="none" w:pos="260" w:val="left"/>
        </w:tabs>
        <w:numPr>
          <w:ilvl w:val="0"/>
          <w:numId w:val="4"/>
        </w:numPr>
        <w:rPr>
          <w:rFonts w:ascii="Arial" w:cs="Arial" w:eastAsia="Arial" w:hAnsi="Arial"/>
          <w:sz w:val="13"/>
          <w:szCs w:val="13"/>
          <w:color w:val="auto"/>
        </w:rPr>
      </w:pPr>
      <w:r>
        <w:rPr>
          <w:rFonts w:ascii="Arial" w:cs="Arial" w:eastAsia="Arial" w:hAnsi="Arial"/>
          <w:sz w:val="13"/>
          <w:szCs w:val="13"/>
          <w:color w:val="auto"/>
        </w:rPr>
        <w:t>our ability to maintain an effective system of internal controls and accurately report our financial results;</w:t>
      </w:r>
    </w:p>
    <w:p>
      <w:pPr>
        <w:spacing w:after="0" w:line="47" w:lineRule="exact"/>
        <w:rPr>
          <w:rFonts w:ascii="Arial" w:cs="Arial" w:eastAsia="Arial" w:hAnsi="Arial"/>
          <w:sz w:val="13"/>
          <w:szCs w:val="13"/>
          <w:color w:val="auto"/>
        </w:rPr>
      </w:pPr>
    </w:p>
    <w:p>
      <w:pPr>
        <w:ind w:left="260" w:hanging="253"/>
        <w:spacing w:after="0"/>
        <w:tabs>
          <w:tab w:leader="none" w:pos="260" w:val="left"/>
        </w:tabs>
        <w:numPr>
          <w:ilvl w:val="0"/>
          <w:numId w:val="4"/>
        </w:numPr>
        <w:rPr>
          <w:rFonts w:ascii="Arial" w:cs="Arial" w:eastAsia="Arial" w:hAnsi="Arial"/>
          <w:sz w:val="13"/>
          <w:szCs w:val="13"/>
          <w:color w:val="auto"/>
        </w:rPr>
      </w:pPr>
      <w:r>
        <w:rPr>
          <w:rFonts w:ascii="Arial" w:cs="Arial" w:eastAsia="Arial" w:hAnsi="Arial"/>
          <w:sz w:val="13"/>
          <w:szCs w:val="13"/>
          <w:color w:val="auto"/>
        </w:rPr>
        <w:t>evolving public disclosure, financial reporting and corporate governance expectations;</w:t>
      </w:r>
    </w:p>
    <w:p>
      <w:pPr>
        <w:spacing w:after="0" w:line="47" w:lineRule="exact"/>
        <w:rPr>
          <w:rFonts w:ascii="Arial" w:cs="Arial" w:eastAsia="Arial" w:hAnsi="Arial"/>
          <w:sz w:val="13"/>
          <w:szCs w:val="13"/>
          <w:color w:val="auto"/>
        </w:rPr>
      </w:pPr>
    </w:p>
    <w:p>
      <w:pPr>
        <w:ind w:left="260" w:hanging="253"/>
        <w:spacing w:after="0"/>
        <w:tabs>
          <w:tab w:leader="none" w:pos="260" w:val="left"/>
        </w:tabs>
        <w:numPr>
          <w:ilvl w:val="0"/>
          <w:numId w:val="4"/>
        </w:numPr>
        <w:rPr>
          <w:rFonts w:ascii="Arial" w:cs="Arial" w:eastAsia="Arial" w:hAnsi="Arial"/>
          <w:sz w:val="13"/>
          <w:szCs w:val="13"/>
          <w:color w:val="auto"/>
        </w:rPr>
      </w:pPr>
      <w:r>
        <w:rPr>
          <w:rFonts w:ascii="Arial" w:cs="Arial" w:eastAsia="Arial" w:hAnsi="Arial"/>
          <w:sz w:val="13"/>
          <w:szCs w:val="13"/>
          <w:color w:val="auto"/>
        </w:rPr>
        <w:t>our ability to achieve our environmental, social and governance goals;</w:t>
      </w:r>
    </w:p>
    <w:p>
      <w:pPr>
        <w:spacing w:after="0" w:line="47" w:lineRule="exact"/>
        <w:rPr>
          <w:rFonts w:ascii="Arial" w:cs="Arial" w:eastAsia="Arial" w:hAnsi="Arial"/>
          <w:sz w:val="13"/>
          <w:szCs w:val="13"/>
          <w:color w:val="auto"/>
        </w:rPr>
      </w:pPr>
    </w:p>
    <w:p>
      <w:pPr>
        <w:ind w:left="260" w:hanging="253"/>
        <w:spacing w:after="0"/>
        <w:tabs>
          <w:tab w:leader="none" w:pos="260" w:val="left"/>
        </w:tabs>
        <w:numPr>
          <w:ilvl w:val="0"/>
          <w:numId w:val="4"/>
        </w:numPr>
        <w:rPr>
          <w:rFonts w:ascii="Arial" w:cs="Arial" w:eastAsia="Arial" w:hAnsi="Arial"/>
          <w:sz w:val="13"/>
          <w:szCs w:val="13"/>
          <w:color w:val="auto"/>
        </w:rPr>
      </w:pPr>
      <w:r>
        <w:rPr>
          <w:rFonts w:ascii="Arial" w:cs="Arial" w:eastAsia="Arial" w:hAnsi="Arial"/>
          <w:sz w:val="13"/>
          <w:szCs w:val="13"/>
          <w:color w:val="auto"/>
        </w:rPr>
        <w:t>our ability to use our net operating loss carryforwards and other tax attributes;</w:t>
      </w:r>
    </w:p>
    <w:p>
      <w:pPr>
        <w:spacing w:after="0" w:line="47" w:lineRule="exact"/>
        <w:rPr>
          <w:rFonts w:ascii="Arial" w:cs="Arial" w:eastAsia="Arial" w:hAnsi="Arial"/>
          <w:sz w:val="13"/>
          <w:szCs w:val="13"/>
          <w:color w:val="auto"/>
        </w:rPr>
      </w:pPr>
    </w:p>
    <w:p>
      <w:pPr>
        <w:ind w:left="260" w:hanging="253"/>
        <w:spacing w:after="0"/>
        <w:tabs>
          <w:tab w:leader="none" w:pos="260" w:val="left"/>
        </w:tabs>
        <w:numPr>
          <w:ilvl w:val="0"/>
          <w:numId w:val="4"/>
        </w:numPr>
        <w:rPr>
          <w:rFonts w:ascii="Arial" w:cs="Arial" w:eastAsia="Arial" w:hAnsi="Arial"/>
          <w:sz w:val="13"/>
          <w:szCs w:val="13"/>
          <w:color w:val="auto"/>
        </w:rPr>
      </w:pPr>
      <w:r>
        <w:rPr>
          <w:rFonts w:ascii="Arial" w:cs="Arial" w:eastAsia="Arial" w:hAnsi="Arial"/>
          <w:sz w:val="13"/>
          <w:szCs w:val="13"/>
          <w:color w:val="auto"/>
        </w:rPr>
        <w:t>our ability to recognize deferred tax assets such as those related to our tax loss carryforwards and, as a result, utilize future tax savings;</w:t>
      </w:r>
    </w:p>
    <w:p>
      <w:pPr>
        <w:spacing w:after="0" w:line="47" w:lineRule="exact"/>
        <w:rPr>
          <w:rFonts w:ascii="Arial" w:cs="Arial" w:eastAsia="Arial" w:hAnsi="Arial"/>
          <w:sz w:val="13"/>
          <w:szCs w:val="13"/>
          <w:color w:val="auto"/>
        </w:rPr>
      </w:pPr>
    </w:p>
    <w:p>
      <w:pPr>
        <w:ind w:left="260" w:hanging="253"/>
        <w:spacing w:after="0"/>
        <w:tabs>
          <w:tab w:leader="none" w:pos="260" w:val="left"/>
        </w:tabs>
        <w:numPr>
          <w:ilvl w:val="0"/>
          <w:numId w:val="4"/>
        </w:numPr>
        <w:rPr>
          <w:rFonts w:ascii="Arial" w:cs="Arial" w:eastAsia="Arial" w:hAnsi="Arial"/>
          <w:sz w:val="13"/>
          <w:szCs w:val="13"/>
          <w:color w:val="auto"/>
        </w:rPr>
      </w:pPr>
      <w:r>
        <w:rPr>
          <w:rFonts w:ascii="Arial" w:cs="Arial" w:eastAsia="Arial" w:hAnsi="Arial"/>
          <w:sz w:val="13"/>
          <w:szCs w:val="13"/>
          <w:color w:val="auto"/>
        </w:rPr>
        <w:t>unanticipated changes in tax obligations, adoption of a new tax legislation, or exposure to additional income tax liabilities;</w:t>
      </w:r>
    </w:p>
    <w:p>
      <w:pPr>
        <w:spacing w:after="0" w:line="47" w:lineRule="exact"/>
        <w:rPr>
          <w:rFonts w:ascii="Arial" w:cs="Arial" w:eastAsia="Arial" w:hAnsi="Arial"/>
          <w:sz w:val="13"/>
          <w:szCs w:val="13"/>
          <w:color w:val="auto"/>
        </w:rPr>
      </w:pPr>
    </w:p>
    <w:p>
      <w:pPr>
        <w:ind w:left="260" w:hanging="253"/>
        <w:spacing w:after="0"/>
        <w:tabs>
          <w:tab w:leader="none" w:pos="260" w:val="left"/>
        </w:tabs>
        <w:numPr>
          <w:ilvl w:val="0"/>
          <w:numId w:val="4"/>
        </w:numPr>
        <w:rPr>
          <w:rFonts w:ascii="Arial" w:cs="Arial" w:eastAsia="Arial" w:hAnsi="Arial"/>
          <w:sz w:val="13"/>
          <w:szCs w:val="13"/>
          <w:color w:val="auto"/>
        </w:rPr>
      </w:pPr>
      <w:r>
        <w:rPr>
          <w:rFonts w:ascii="Arial" w:cs="Arial" w:eastAsia="Arial" w:hAnsi="Arial"/>
          <w:sz w:val="13"/>
          <w:szCs w:val="13"/>
          <w:color w:val="auto"/>
        </w:rPr>
        <w:t>our ability to access the capital and credit markets or the ability of key counterparties to perform their obligations to us: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4" w:name="page5"/>
    <w:bookmarkEnd w:id="4"/>
    <w:p>
      <w:pPr>
        <w:ind w:left="260" w:hanging="253"/>
        <w:spacing w:after="0"/>
        <w:tabs>
          <w:tab w:leader="none" w:pos="26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ability to service our debt and operate our business;</w:t>
      </w:r>
    </w:p>
    <w:p>
      <w:pPr>
        <w:spacing w:after="0" w:line="47" w:lineRule="exact"/>
        <w:rPr>
          <w:rFonts w:ascii="Arial" w:cs="Arial" w:eastAsia="Arial" w:hAnsi="Arial"/>
          <w:sz w:val="13"/>
          <w:szCs w:val="13"/>
          <w:color w:val="auto"/>
        </w:rPr>
      </w:pPr>
    </w:p>
    <w:p>
      <w:pPr>
        <w:ind w:left="260" w:hanging="253"/>
        <w:spacing w:after="0"/>
        <w:tabs>
          <w:tab w:leader="none" w:pos="26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ability to incur significant additional amounts of debt, which could further exacerbate the risks associated with our substantial indebtedness;</w:t>
      </w:r>
    </w:p>
    <w:p>
      <w:pPr>
        <w:spacing w:after="0" w:line="47" w:lineRule="exact"/>
        <w:rPr>
          <w:rFonts w:ascii="Arial" w:cs="Arial" w:eastAsia="Arial" w:hAnsi="Arial"/>
          <w:sz w:val="13"/>
          <w:szCs w:val="13"/>
          <w:color w:val="auto"/>
        </w:rPr>
      </w:pPr>
    </w:p>
    <w:p>
      <w:pPr>
        <w:ind w:left="260" w:hanging="253"/>
        <w:spacing w:after="0"/>
        <w:tabs>
          <w:tab w:leader="none" w:pos="260" w:val="left"/>
        </w:tabs>
        <w:numPr>
          <w:ilvl w:val="0"/>
          <w:numId w:val="5"/>
        </w:numPr>
        <w:rPr>
          <w:rFonts w:ascii="Arial" w:cs="Arial" w:eastAsia="Arial" w:hAnsi="Arial"/>
          <w:sz w:val="13"/>
          <w:szCs w:val="13"/>
          <w:color w:val="auto"/>
        </w:rPr>
      </w:pPr>
      <w:r>
        <w:rPr>
          <w:rFonts w:ascii="Arial" w:cs="Arial" w:eastAsia="Arial" w:hAnsi="Arial"/>
          <w:sz w:val="13"/>
          <w:szCs w:val="13"/>
          <w:color w:val="auto"/>
        </w:rPr>
        <w:t>covenants that limit our operating and financial flexibility;</w:t>
      </w:r>
    </w:p>
    <w:p>
      <w:pPr>
        <w:spacing w:after="0" w:line="47" w:lineRule="exact"/>
        <w:rPr>
          <w:rFonts w:ascii="Arial" w:cs="Arial" w:eastAsia="Arial" w:hAnsi="Arial"/>
          <w:sz w:val="13"/>
          <w:szCs w:val="13"/>
          <w:color w:val="auto"/>
        </w:rPr>
      </w:pPr>
    </w:p>
    <w:p>
      <w:pPr>
        <w:ind w:left="260" w:hanging="253"/>
        <w:spacing w:after="0"/>
        <w:tabs>
          <w:tab w:leader="none" w:pos="260" w:val="left"/>
        </w:tabs>
        <w:numPr>
          <w:ilvl w:val="0"/>
          <w:numId w:val="5"/>
        </w:numPr>
        <w:rPr>
          <w:rFonts w:ascii="Arial" w:cs="Arial" w:eastAsia="Arial" w:hAnsi="Arial"/>
          <w:sz w:val="13"/>
          <w:szCs w:val="13"/>
          <w:color w:val="auto"/>
        </w:rPr>
      </w:pPr>
      <w:r>
        <w:rPr>
          <w:rFonts w:ascii="Arial" w:cs="Arial" w:eastAsia="Arial" w:hAnsi="Arial"/>
          <w:sz w:val="13"/>
          <w:szCs w:val="13"/>
          <w:color w:val="auto"/>
        </w:rPr>
        <w:t>uncertainty regarding the phase-out of LIBOR;</w:t>
      </w:r>
    </w:p>
    <w:p>
      <w:pPr>
        <w:spacing w:after="0" w:line="47" w:lineRule="exact"/>
        <w:rPr>
          <w:rFonts w:ascii="Arial" w:cs="Arial" w:eastAsia="Arial" w:hAnsi="Arial"/>
          <w:sz w:val="13"/>
          <w:szCs w:val="13"/>
          <w:color w:val="auto"/>
        </w:rPr>
      </w:pPr>
    </w:p>
    <w:p>
      <w:pPr>
        <w:ind w:left="260" w:hanging="253"/>
        <w:spacing w:after="0"/>
        <w:tabs>
          <w:tab w:leader="none" w:pos="26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stock price volatility; and</w:t>
      </w:r>
    </w:p>
    <w:p>
      <w:pPr>
        <w:spacing w:after="0" w:line="47" w:lineRule="exact"/>
        <w:rPr>
          <w:rFonts w:ascii="Arial" w:cs="Arial" w:eastAsia="Arial" w:hAnsi="Arial"/>
          <w:sz w:val="13"/>
          <w:szCs w:val="13"/>
          <w:color w:val="auto"/>
        </w:rPr>
      </w:pPr>
    </w:p>
    <w:p>
      <w:pPr>
        <w:ind w:left="260" w:hanging="253"/>
        <w:spacing w:after="0"/>
        <w:tabs>
          <w:tab w:leader="none" w:pos="260" w:val="left"/>
        </w:tabs>
        <w:numPr>
          <w:ilvl w:val="0"/>
          <w:numId w:val="5"/>
        </w:numPr>
        <w:rPr>
          <w:rFonts w:ascii="Arial" w:cs="Arial" w:eastAsia="Arial" w:hAnsi="Arial"/>
          <w:sz w:val="13"/>
          <w:szCs w:val="13"/>
          <w:color w:val="auto"/>
        </w:rPr>
      </w:pPr>
      <w:r>
        <w:rPr>
          <w:rFonts w:ascii="Arial" w:cs="Arial" w:eastAsia="Arial" w:hAnsi="Arial"/>
          <w:sz w:val="13"/>
          <w:szCs w:val="13"/>
          <w:color w:val="auto"/>
        </w:rPr>
        <w:t>other factors detailed under the section entitled "Risk Factors."</w:t>
      </w:r>
    </w:p>
    <w:p>
      <w:pPr>
        <w:spacing w:after="0" w:line="47"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Any forward-looking statement speaks only at the date which it is made, and we undertake no obligation, and disclaim any obligation, to update or revise any forward-looking statements, whether as a result of new information, future events or otherwise, except as required by law.</w:t>
      </w:r>
    </w:p>
    <w:p>
      <w:pPr>
        <w:spacing w:after="0" w:line="245" w:lineRule="exact"/>
        <w:rPr>
          <w:sz w:val="20"/>
          <w:szCs w:val="20"/>
          <w:color w:val="auto"/>
        </w:rPr>
      </w:pPr>
    </w:p>
    <w:p>
      <w:pPr>
        <w:jc w:val="center"/>
        <w:ind w:left="520"/>
        <w:spacing w:after="0"/>
        <w:rPr>
          <w:sz w:val="20"/>
          <w:szCs w:val="20"/>
          <w:color w:val="auto"/>
        </w:rPr>
      </w:pPr>
      <w:r>
        <w:rPr>
          <w:rFonts w:ascii="Arial" w:cs="Arial" w:eastAsia="Arial" w:hAnsi="Arial"/>
          <w:sz w:val="32"/>
          <w:szCs w:val="32"/>
          <w:b w:val="1"/>
          <w:bCs w:val="1"/>
          <w:color w:val="1D2758"/>
        </w:rPr>
        <w:t>PART I</w:t>
      </w:r>
    </w:p>
    <w:p>
      <w:pPr>
        <w:spacing w:after="0" w:line="102" w:lineRule="exact"/>
        <w:rPr>
          <w:sz w:val="20"/>
          <w:szCs w:val="20"/>
          <w:color w:val="auto"/>
        </w:rPr>
      </w:pPr>
    </w:p>
    <w:p>
      <w:pPr>
        <w:spacing w:after="0"/>
        <w:tabs>
          <w:tab w:leader="none" w:pos="1460" w:val="left"/>
        </w:tabs>
        <w:rPr>
          <w:sz w:val="20"/>
          <w:szCs w:val="20"/>
          <w:color w:val="auto"/>
        </w:rPr>
      </w:pPr>
      <w:r>
        <w:rPr>
          <w:rFonts w:ascii="Arial" w:cs="Arial" w:eastAsia="Arial" w:hAnsi="Arial"/>
          <w:sz w:val="32"/>
          <w:szCs w:val="32"/>
          <w:b w:val="1"/>
          <w:bCs w:val="1"/>
          <w:color w:val="auto"/>
        </w:rPr>
        <w:t>ITEM 1.</w:t>
      </w:r>
      <w:r>
        <w:rPr>
          <w:sz w:val="20"/>
          <w:szCs w:val="20"/>
          <w:color w:val="auto"/>
        </w:rPr>
        <w:tab/>
      </w:r>
      <w:r>
        <w:rPr>
          <w:rFonts w:ascii="Arial" w:cs="Arial" w:eastAsia="Arial" w:hAnsi="Arial"/>
          <w:sz w:val="31"/>
          <w:szCs w:val="31"/>
          <w:b w:val="1"/>
          <w:bCs w:val="1"/>
          <w:color w:val="auto"/>
        </w:rPr>
        <w:t>Business</w:t>
      </w:r>
    </w:p>
    <w:p>
      <w:pPr>
        <w:spacing w:after="0" w:line="127" w:lineRule="exact"/>
        <w:rPr>
          <w:sz w:val="20"/>
          <w:szCs w:val="20"/>
          <w:color w:val="auto"/>
        </w:rPr>
      </w:pPr>
    </w:p>
    <w:p>
      <w:pPr>
        <w:ind w:left="540"/>
        <w:spacing w:after="0"/>
        <w:rPr>
          <w:sz w:val="20"/>
          <w:szCs w:val="20"/>
          <w:color w:val="auto"/>
        </w:rPr>
      </w:pPr>
      <w:r>
        <w:rPr>
          <w:rFonts w:ascii="Arial" w:cs="Arial" w:eastAsia="Arial" w:hAnsi="Arial"/>
          <w:sz w:val="13"/>
          <w:szCs w:val="13"/>
          <w:color w:val="auto"/>
        </w:rPr>
        <w:t>Unless the context otherwise requires, “we,” “us,” “our” and the “Company” refers to WillScot Mobile Mini Holdings Corp. ("WillScot Mobile Mini") and its subsidiaries.</w:t>
      </w:r>
    </w:p>
    <w:p>
      <w:pPr>
        <w:spacing w:after="0" w:line="93" w:lineRule="exact"/>
        <w:rPr>
          <w:sz w:val="20"/>
          <w:szCs w:val="20"/>
          <w:color w:val="auto"/>
        </w:rPr>
      </w:pPr>
    </w:p>
    <w:p>
      <w:pPr>
        <w:spacing w:after="0"/>
        <w:rPr>
          <w:sz w:val="20"/>
          <w:szCs w:val="20"/>
          <w:color w:val="auto"/>
        </w:rPr>
      </w:pPr>
      <w:r>
        <w:rPr>
          <w:rFonts w:ascii="Arial" w:cs="Arial" w:eastAsia="Arial" w:hAnsi="Arial"/>
          <w:sz w:val="19"/>
          <w:szCs w:val="19"/>
          <w:color w:val="1D2758"/>
        </w:rPr>
        <w:t>Our Company</w:t>
      </w:r>
    </w:p>
    <w:p>
      <w:pPr>
        <w:spacing w:after="0" w:line="42"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Headquartered in Phoenix, Arizona, we are a leading business services provider specializing in innovative flexible work space and portable storage solutions. We service diverse end markets across all sectors of the economy from a network of approximately 275 branch locations and additional drop lots throughout the United States (“US”), Canada, Mexico, and the United Kingdom ("UK"). We are also a leading provider of specialty containment solutions in the US.</w:t>
      </w:r>
    </w:p>
    <w:p>
      <w:pPr>
        <w:spacing w:after="0" w:line="33"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With roots dating back more than 60 years, we lease modular space and portable storage units (our “lease fleet”) to customers in the commercial and industrial, construction, education, energy and natural resources, government, and other end markets. We offer our customers an extensive selection of “Ready to Work” solutions. As part of our "Ready to Work" solutions, we offer value-added products and services, such as the rental of steps, ramps, and furniture packages, damage waivers, and other amenities to improve the overall customer experience. These turnkey solutions offer customers flexible, low-cost, and timely solutions to meet their flexible work space and storage needs on an outsourced basis.</w:t>
      </w:r>
    </w:p>
    <w:p>
      <w:pPr>
        <w:spacing w:after="0" w:line="35" w:lineRule="exact"/>
        <w:rPr>
          <w:sz w:val="20"/>
          <w:szCs w:val="20"/>
          <w:color w:val="auto"/>
        </w:rPr>
      </w:pPr>
    </w:p>
    <w:p>
      <w:pPr>
        <w:jc w:val="both"/>
        <w:ind w:firstLine="524"/>
        <w:spacing w:after="0" w:line="246" w:lineRule="auto"/>
        <w:rPr>
          <w:sz w:val="20"/>
          <w:szCs w:val="20"/>
          <w:color w:val="auto"/>
        </w:rPr>
      </w:pPr>
      <w:r>
        <w:rPr>
          <w:rFonts w:ascii="Arial" w:cs="Arial" w:eastAsia="Arial" w:hAnsi="Arial"/>
          <w:sz w:val="13"/>
          <w:szCs w:val="13"/>
          <w:color w:val="auto"/>
        </w:rPr>
        <w:t xml:space="preserve">On July 1, 2020, WillScot Corporation ("WillScot") combined with Mobile Mini, Inc. ("Mobile Mini") in a stock-for-stock merger (the "Merger"), and WillScot changed its name to WillScot Mobile Mini Holdings Corp. WillScot Mobile Mini is the holding company for the Williams Scotsman and Mobile Mini families of companies. The Company operates in four reportable segments as follows: North America Modular Solutions ("NA Modular"), North America Storage Solutions ("NA Storage"), United Kingdom Storage Solutions ("UK Storage"), and Tank and Pump Solutions ("Tank and Pump"). Prior to the third quarter of 2021, the NA Modular segment aligned with the WillScot legacy business prior to the Merger, and the NA Storage, UK Storage, and Tank and Pump segments aligned with the Mobile Mini segments prior to the Merger. During the third quarter of 2021, the majority of the portable storage product business within the NA Modular segment was transitioned to the NA Storage segment, and associated revenues, expenses, and operating metrics beginning in the third quarter of 2021 were transferred to the NA Storage segment. Within this Annual Report on Form 10-K, we have presented certain financial information on a pro forma basis and supplemental pro forma financial statements within </w:t>
      </w:r>
      <w:r>
        <w:rPr>
          <w:rFonts w:ascii="Arial" w:cs="Arial" w:eastAsia="Arial" w:hAnsi="Arial"/>
          <w:sz w:val="13"/>
          <w:szCs w:val="13"/>
          <w:i w:val="1"/>
          <w:iCs w:val="1"/>
          <w:color w:val="auto"/>
        </w:rPr>
        <w:t>Management’s Discussion</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and Analysis of Financial Condition and Results of Operations </w:t>
      </w:r>
      <w:r>
        <w:rPr>
          <w:rFonts w:ascii="Arial" w:cs="Arial" w:eastAsia="Arial" w:hAnsi="Arial"/>
          <w:sz w:val="13"/>
          <w:szCs w:val="13"/>
          <w:color w:val="auto"/>
        </w:rPr>
        <w:t>to include Mobile Mini's results as if the Merger and related financing transactions had occurred on January 1, 2019, as we believe</w:t>
      </w:r>
      <w:r>
        <w:rPr>
          <w:rFonts w:ascii="Arial" w:cs="Arial" w:eastAsia="Arial" w:hAnsi="Arial"/>
          <w:sz w:val="13"/>
          <w:szCs w:val="13"/>
          <w:i w:val="1"/>
          <w:iCs w:val="1"/>
          <w:color w:val="auto"/>
        </w:rPr>
        <w:t xml:space="preserve"> </w:t>
      </w:r>
      <w:r>
        <w:rPr>
          <w:rFonts w:ascii="Arial" w:cs="Arial" w:eastAsia="Arial" w:hAnsi="Arial"/>
          <w:sz w:val="13"/>
          <w:szCs w:val="13"/>
          <w:color w:val="auto"/>
        </w:rPr>
        <w:t>this is a better representation of the go-forward operations of the combined company, and we believe this information is useful to investors in order for them to better understand the combined historical financial results of the legacy businesses for comparative purposes.</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color w:val="1D2758"/>
        </w:rPr>
        <w:t>Products and Services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Modular Space Solutions</w:t>
      </w:r>
    </w:p>
    <w:p>
      <w:pPr>
        <w:spacing w:after="0" w:line="66"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Our modular space units meet a broad range of customer needs. Our modular units are typically made of steel and aluminum frames, as well as traditional building materials, and range from standalone portable units as small as 24 square feet to large complex units that can be coupled together or stacked to create versatile work spaces in excess of 10,000 square feet. In all cases, we deploy modular units to customers rapidly from our extensive branch network using our hybrid in-house and outsourced logistics and service infrastructure. We specialize in turnkey ‘Ready to Work’ solutions, which means our units can arrive fully equipped with air conditioning, heating, and filtration units, electrical and Ethernet ports, plumbing and utility hookups, as well as our proprietary line of furnishings and appliances, which we together refer to as Value-Added Products and Services (“VAPS”). Our units are transported by truck, either towed (if fitted with axles and hitches) or mounted on flat-bed trailers.</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3"/>
          <w:szCs w:val="13"/>
          <w:color w:val="auto"/>
        </w:rPr>
        <w:t>Modular space units have attractive economic characteristics, and our ability to lease and maintain our assets’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28" w:right="319" w:bottom="1440" w:gutter="0" w:footer="0" w:header="0"/>
        </w:sectPr>
      </w:pPr>
    </w:p>
    <w:bookmarkStart w:id="5" w:name="page6"/>
    <w:bookmarkEnd w:id="5"/>
    <w:p>
      <w:pPr>
        <w:jc w:val="both"/>
        <w:spacing w:after="0" w:line="249" w:lineRule="auto"/>
        <w:rPr>
          <w:sz w:val="20"/>
          <w:szCs w:val="20"/>
          <w:color w:val="auto"/>
        </w:rPr>
      </w:pPr>
      <w:r>
        <w:rPr>
          <w:rFonts w:ascii="Arial" w:cs="Arial" w:eastAsia="Arial" w:hAnsi="Arial"/>
          <w:sz w:val="13"/>
          <w:szCs w:val="13"/>
          <w:color w:val="auto"/>
        </w:rPr>
        <w:t>profitability over economic lives, which often exceed 20 years, is a unique capability and competitive advantage. We utilize standard fleet maintenance procedures across the branch network, monitor fleet condition and allocate capital expenditures centrally, and ensure all units meet consistent quality and condition requirements, regardless of unit age, prior to delivery to a customer. Modular leasing is complemented by new unit sales and sales of rental units. In connection with our leasing and sales activities, we provide services including delivery and installation, maintenance and ad hoc services, and removal services at the end of lease transactions.</w:t>
      </w:r>
    </w:p>
    <w:p>
      <w:pPr>
        <w:spacing w:after="0" w:line="19" w:lineRule="exact"/>
        <w:rPr>
          <w:sz w:val="20"/>
          <w:szCs w:val="20"/>
          <w:color w:val="auto"/>
        </w:rPr>
      </w:pPr>
    </w:p>
    <w:p>
      <w:pPr>
        <w:jc w:val="both"/>
        <w:ind w:firstLine="524"/>
        <w:spacing w:after="0" w:line="232" w:lineRule="auto"/>
        <w:rPr>
          <w:sz w:val="20"/>
          <w:szCs w:val="20"/>
          <w:color w:val="auto"/>
        </w:rPr>
      </w:pPr>
      <w:r>
        <w:rPr>
          <w:rFonts w:ascii="Arial" w:cs="Arial" w:eastAsia="Arial" w:hAnsi="Arial"/>
          <w:sz w:val="13"/>
          <w:szCs w:val="13"/>
          <w:b w:val="1"/>
          <w:bCs w:val="1"/>
          <w:i w:val="1"/>
          <w:iCs w:val="1"/>
          <w:color w:val="1D2758"/>
        </w:rPr>
        <w:t xml:space="preserve">Panelized and Stackable Offices. </w:t>
      </w:r>
      <w:r>
        <w:rPr>
          <w:rFonts w:ascii="Arial" w:cs="Arial" w:eastAsia="Arial" w:hAnsi="Arial"/>
          <w:sz w:val="13"/>
          <w:szCs w:val="13"/>
          <w:color w:val="000000"/>
        </w:rPr>
        <w:t>Our Flex</w:t>
      </w:r>
      <w:r>
        <w:rPr>
          <w:rFonts w:ascii="Arial" w:cs="Arial" w:eastAsia="Arial" w:hAnsi="Arial"/>
          <w:sz w:val="17"/>
          <w:szCs w:val="17"/>
          <w:color w:val="000000"/>
          <w:vertAlign w:val="superscript"/>
        </w:rPr>
        <w:t>TM</w:t>
      </w:r>
      <w:r>
        <w:rPr>
          <w:rFonts w:ascii="Arial" w:cs="Arial" w:eastAsia="Arial" w:hAnsi="Arial"/>
          <w:sz w:val="13"/>
          <w:szCs w:val="13"/>
          <w:b w:val="1"/>
          <w:bCs w:val="1"/>
          <w:i w:val="1"/>
          <w:iCs w:val="1"/>
          <w:color w:val="1D2758"/>
        </w:rPr>
        <w:t xml:space="preserve"> </w:t>
      </w:r>
      <w:r>
        <w:rPr>
          <w:rFonts w:ascii="Arial" w:cs="Arial" w:eastAsia="Arial" w:hAnsi="Arial"/>
          <w:sz w:val="13"/>
          <w:szCs w:val="13"/>
          <w:color w:val="000000"/>
        </w:rPr>
        <w:t>panelized and stackable offices are the next generation of modular space technology and offer maximum flexibility and design</w:t>
      </w:r>
      <w:r>
        <w:rPr>
          <w:rFonts w:ascii="Arial" w:cs="Arial" w:eastAsia="Arial" w:hAnsi="Arial"/>
          <w:sz w:val="13"/>
          <w:szCs w:val="13"/>
          <w:b w:val="1"/>
          <w:bCs w:val="1"/>
          <w:i w:val="1"/>
          <w:iCs w:val="1"/>
          <w:color w:val="1D2758"/>
        </w:rPr>
        <w:t xml:space="preserve"> </w:t>
      </w:r>
      <w:r>
        <w:rPr>
          <w:rFonts w:ascii="Arial" w:cs="Arial" w:eastAsia="Arial" w:hAnsi="Arial"/>
          <w:sz w:val="13"/>
          <w:szCs w:val="13"/>
          <w:color w:val="000000"/>
        </w:rPr>
        <w:t>configurations. These units provide a modern, innovative design, smaller footprint, ground level access, and interchangeable panels, including all glass panels that allow customers to configure the space to their precise requirements. These units have the ability to expand upwards (up to three stories) and outwards, providing maximum versatility.</w:t>
      </w:r>
    </w:p>
    <w:p>
      <w:pPr>
        <w:spacing w:after="0" w:line="25" w:lineRule="exact"/>
        <w:rPr>
          <w:sz w:val="20"/>
          <w:szCs w:val="20"/>
          <w:color w:val="auto"/>
        </w:rPr>
      </w:pPr>
    </w:p>
    <w:p>
      <w:pPr>
        <w:jc w:val="both"/>
        <w:ind w:firstLine="524"/>
        <w:spacing w:after="0" w:line="264" w:lineRule="auto"/>
        <w:rPr>
          <w:sz w:val="20"/>
          <w:szCs w:val="20"/>
          <w:color w:val="auto"/>
        </w:rPr>
      </w:pPr>
      <w:r>
        <w:rPr>
          <w:rFonts w:ascii="Arial" w:cs="Arial" w:eastAsia="Arial" w:hAnsi="Arial"/>
          <w:sz w:val="13"/>
          <w:szCs w:val="13"/>
          <w:b w:val="1"/>
          <w:bCs w:val="1"/>
          <w:i w:val="1"/>
          <w:iCs w:val="1"/>
          <w:color w:val="1D2758"/>
        </w:rPr>
        <w:t xml:space="preserve">Single-Wide Modular Space Units. </w:t>
      </w:r>
      <w:r>
        <w:rPr>
          <w:rFonts w:ascii="Arial" w:cs="Arial" w:eastAsia="Arial" w:hAnsi="Arial"/>
          <w:sz w:val="13"/>
          <w:szCs w:val="13"/>
          <w:color w:val="000000"/>
        </w:rPr>
        <w:t>Single-wide modular space units include mobile offices and sales offices. These units offer maximum ease of installation and removal and are</w:t>
      </w:r>
      <w:r>
        <w:rPr>
          <w:rFonts w:ascii="Arial" w:cs="Arial" w:eastAsia="Arial" w:hAnsi="Arial"/>
          <w:sz w:val="13"/>
          <w:szCs w:val="13"/>
          <w:b w:val="1"/>
          <w:bCs w:val="1"/>
          <w:i w:val="1"/>
          <w:iCs w:val="1"/>
          <w:color w:val="1D2758"/>
        </w:rPr>
        <w:t xml:space="preserve"> </w:t>
      </w:r>
      <w:r>
        <w:rPr>
          <w:rFonts w:ascii="Arial" w:cs="Arial" w:eastAsia="Arial" w:hAnsi="Arial"/>
          <w:sz w:val="13"/>
          <w:szCs w:val="13"/>
          <w:color w:val="000000"/>
        </w:rPr>
        <w:t>deployed across the broadest range of applications in our fleet. These units typically have “open interiors,” which can be modified using movable partitions, and include tile floors, air conditioning, heating, and filtration units, partitions and toilet facilities.</w:t>
      </w:r>
    </w:p>
    <w:p>
      <w:pPr>
        <w:spacing w:after="0" w:line="9" w:lineRule="exact"/>
        <w:rPr>
          <w:sz w:val="20"/>
          <w:szCs w:val="20"/>
          <w:color w:val="auto"/>
        </w:rPr>
      </w:pPr>
    </w:p>
    <w:p>
      <w:pPr>
        <w:jc w:val="both"/>
        <w:ind w:firstLine="524"/>
        <w:spacing w:after="0" w:line="254" w:lineRule="auto"/>
        <w:rPr>
          <w:sz w:val="20"/>
          <w:szCs w:val="20"/>
          <w:color w:val="auto"/>
        </w:rPr>
      </w:pPr>
      <w:r>
        <w:rPr>
          <w:rFonts w:ascii="Arial" w:cs="Arial" w:eastAsia="Arial" w:hAnsi="Arial"/>
          <w:sz w:val="13"/>
          <w:szCs w:val="13"/>
          <w:b w:val="1"/>
          <w:bCs w:val="1"/>
          <w:i w:val="1"/>
          <w:iCs w:val="1"/>
          <w:color w:val="1D2758"/>
        </w:rPr>
        <w:t xml:space="preserve">Section Modulars and Redi-Plex. </w:t>
      </w:r>
      <w:r>
        <w:rPr>
          <w:rFonts w:ascii="Arial" w:cs="Arial" w:eastAsia="Arial" w:hAnsi="Arial"/>
          <w:sz w:val="13"/>
          <w:szCs w:val="13"/>
          <w:color w:val="000000"/>
        </w:rPr>
        <w:t>Section modulars are two or more units combined into one structure. Redi-Plex complexes offer advanced versatility for large, open floor plans or</w:t>
      </w:r>
      <w:r>
        <w:rPr>
          <w:rFonts w:ascii="Arial" w:cs="Arial" w:eastAsia="Arial" w:hAnsi="Arial"/>
          <w:sz w:val="13"/>
          <w:szCs w:val="13"/>
          <w:b w:val="1"/>
          <w:bCs w:val="1"/>
          <w:i w:val="1"/>
          <w:iCs w:val="1"/>
          <w:color w:val="1D2758"/>
        </w:rPr>
        <w:t xml:space="preserve"> </w:t>
      </w:r>
      <w:r>
        <w:rPr>
          <w:rFonts w:ascii="Arial" w:cs="Arial" w:eastAsia="Arial" w:hAnsi="Arial"/>
          <w:sz w:val="13"/>
          <w:szCs w:val="13"/>
          <w:color w:val="000000"/>
        </w:rPr>
        <w:t>custom layouts with private offices. Redi-Plex is built with clearspan construction, which eliminates interference from support columns and allows for up to sixty feet of open building width and building lengths that increase in twelve-foot increments based on the number of units coupled together. Our proprietary design meets a wide range of national and state building, electrical, mechanical, and plumbing codes, which creates versatility in fleet management. Examples of section modular units include hospital diagnostic annexes, special events headquarters, temporary data centers, and larger general commercial offices.</w:t>
      </w:r>
    </w:p>
    <w:p>
      <w:pPr>
        <w:spacing w:after="0" w:line="17" w:lineRule="exact"/>
        <w:rPr>
          <w:sz w:val="20"/>
          <w:szCs w:val="20"/>
          <w:color w:val="auto"/>
        </w:rPr>
      </w:pPr>
    </w:p>
    <w:p>
      <w:pPr>
        <w:jc w:val="both"/>
        <w:ind w:firstLine="524"/>
        <w:spacing w:after="0" w:line="280" w:lineRule="auto"/>
        <w:rPr>
          <w:sz w:val="20"/>
          <w:szCs w:val="20"/>
          <w:color w:val="auto"/>
        </w:rPr>
      </w:pPr>
      <w:r>
        <w:rPr>
          <w:rFonts w:ascii="Arial" w:cs="Arial" w:eastAsia="Arial" w:hAnsi="Arial"/>
          <w:sz w:val="13"/>
          <w:szCs w:val="13"/>
          <w:b w:val="1"/>
          <w:bCs w:val="1"/>
          <w:i w:val="1"/>
          <w:iCs w:val="1"/>
          <w:color w:val="1D2758"/>
        </w:rPr>
        <w:t xml:space="preserve">Classrooms. </w:t>
      </w:r>
      <w:r>
        <w:rPr>
          <w:rFonts w:ascii="Arial" w:cs="Arial" w:eastAsia="Arial" w:hAnsi="Arial"/>
          <w:sz w:val="13"/>
          <w:szCs w:val="13"/>
          <w:color w:val="000000"/>
        </w:rPr>
        <w:t>Classroom units are generally double-wide units or Flex panelized units adapted specifically for use by school systems or universities. Classroom units usually feature</w:t>
      </w:r>
      <w:r>
        <w:rPr>
          <w:rFonts w:ascii="Arial" w:cs="Arial" w:eastAsia="Arial" w:hAnsi="Arial"/>
          <w:sz w:val="13"/>
          <w:szCs w:val="13"/>
          <w:b w:val="1"/>
          <w:bCs w:val="1"/>
          <w:i w:val="1"/>
          <w:iCs w:val="1"/>
          <w:color w:val="1D2758"/>
        </w:rPr>
        <w:t xml:space="preserve"> </w:t>
      </w:r>
      <w:r>
        <w:rPr>
          <w:rFonts w:ascii="Arial" w:cs="Arial" w:eastAsia="Arial" w:hAnsi="Arial"/>
          <w:sz w:val="13"/>
          <w:szCs w:val="13"/>
          <w:color w:val="000000"/>
        </w:rPr>
        <w:t>teaching aids, air conditioning, heating, and filtration units, windows and, if requested, toilet facilities.</w:t>
      </w:r>
    </w:p>
    <w:p>
      <w:pPr>
        <w:spacing w:after="0" w:line="1" w:lineRule="exact"/>
        <w:rPr>
          <w:sz w:val="20"/>
          <w:szCs w:val="20"/>
          <w:color w:val="auto"/>
        </w:rPr>
      </w:pPr>
    </w:p>
    <w:p>
      <w:pPr>
        <w:jc w:val="both"/>
        <w:ind w:firstLine="524"/>
        <w:spacing w:after="0" w:line="160" w:lineRule="exact"/>
        <w:rPr>
          <w:sz w:val="20"/>
          <w:szCs w:val="20"/>
          <w:color w:val="auto"/>
        </w:rPr>
      </w:pPr>
      <w:r>
        <w:rPr>
          <w:rFonts w:ascii="Arial" w:cs="Arial" w:eastAsia="Arial" w:hAnsi="Arial"/>
          <w:sz w:val="13"/>
          <w:szCs w:val="13"/>
          <w:b w:val="1"/>
          <w:bCs w:val="1"/>
          <w:i w:val="1"/>
          <w:iCs w:val="1"/>
          <w:color w:val="1D2758"/>
        </w:rPr>
        <w:t xml:space="preserve">Ground Level Offices and Container Offices. </w:t>
      </w:r>
      <w:r>
        <w:rPr>
          <w:rFonts w:ascii="Arial" w:cs="Arial" w:eastAsia="Arial" w:hAnsi="Arial"/>
          <w:sz w:val="13"/>
          <w:szCs w:val="13"/>
          <w:color w:val="000000"/>
        </w:rPr>
        <w:t>We also offer steel ground level offices from 10 to 40 feet in length and 8 or 10 feet in width. Many of these units are converted to office</w:t>
      </w:r>
      <w:r>
        <w:rPr>
          <w:rFonts w:ascii="Arial" w:cs="Arial" w:eastAsia="Arial" w:hAnsi="Arial"/>
          <w:sz w:val="13"/>
          <w:szCs w:val="13"/>
          <w:b w:val="1"/>
          <w:bCs w:val="1"/>
          <w:i w:val="1"/>
          <w:iCs w:val="1"/>
          <w:color w:val="1D2758"/>
        </w:rPr>
        <w:t xml:space="preserve"> </w:t>
      </w:r>
      <w:r>
        <w:rPr>
          <w:rFonts w:ascii="Arial" w:cs="Arial" w:eastAsia="Arial" w:hAnsi="Arial"/>
          <w:sz w:val="13"/>
          <w:szCs w:val="13"/>
          <w:color w:val="000000"/>
        </w:rPr>
        <w:t>use from International Organization for Standardization ("ISO") certified shipping containers. These offices are available in various configurations, including all-office floor plans or office and storage combination units that provide a 10</w:t>
      </w:r>
      <w:r>
        <w:rPr>
          <w:rFonts w:ascii="MS PGothic" w:cs="MS PGothic" w:eastAsia="MS PGothic" w:hAnsi="MS PGothic"/>
          <w:sz w:val="13"/>
          <w:szCs w:val="13"/>
          <w:color w:val="000000"/>
        </w:rPr>
        <w:t>‑</w:t>
      </w:r>
      <w:r>
        <w:rPr>
          <w:rFonts w:ascii="Arial" w:cs="Arial" w:eastAsia="Arial" w:hAnsi="Arial"/>
          <w:sz w:val="13"/>
          <w:szCs w:val="13"/>
          <w:color w:val="000000"/>
        </w:rPr>
        <w:t xml:space="preserve"> or 15</w:t>
      </w:r>
      <w:r>
        <w:rPr>
          <w:rFonts w:ascii="MS PGothic" w:cs="MS PGothic" w:eastAsia="MS PGothic" w:hAnsi="MS PGothic"/>
          <w:sz w:val="13"/>
          <w:szCs w:val="13"/>
          <w:color w:val="000000"/>
        </w:rPr>
        <w:t>‑</w:t>
      </w:r>
      <w:r>
        <w:rPr>
          <w:rFonts w:ascii="Arial" w:cs="Arial" w:eastAsia="Arial" w:hAnsi="Arial"/>
          <w:sz w:val="13"/>
          <w:szCs w:val="13"/>
          <w:color w:val="000000"/>
        </w:rPr>
        <w:t>foot office with the remaining area available for storage. Ground level offices provide the advantage of ground accessibility for ease of access and high security in an all</w:t>
      </w:r>
      <w:r>
        <w:rPr>
          <w:rFonts w:ascii="MS PGothic" w:cs="MS PGothic" w:eastAsia="MS PGothic" w:hAnsi="MS PGothic"/>
          <w:sz w:val="13"/>
          <w:szCs w:val="13"/>
          <w:color w:val="000000"/>
        </w:rPr>
        <w:t>‑</w:t>
      </w:r>
      <w:r>
        <w:rPr>
          <w:rFonts w:ascii="Arial" w:cs="Arial" w:eastAsia="Arial" w:hAnsi="Arial"/>
          <w:sz w:val="13"/>
          <w:szCs w:val="13"/>
          <w:color w:val="000000"/>
        </w:rPr>
        <w:t>steel design. These office units are equipped with electrical wiring, air conditioning, heating, filtration units, phone jacks, carpet or tile, high security doors, and windows with security bars or shutters. Some of these offices are also equipped with sinks, hot water heaters, cabinets, and toilet facilities</w:t>
      </w:r>
      <w:r>
        <w:rPr>
          <w:rFonts w:ascii="Arial" w:cs="Arial" w:eastAsia="Arial" w:hAnsi="Arial"/>
          <w:sz w:val="14"/>
          <w:szCs w:val="14"/>
          <w:color w:val="000000"/>
        </w:rPr>
        <w:t>.</w:t>
      </w:r>
    </w:p>
    <w:p>
      <w:pPr>
        <w:spacing w:after="0" w:line="33" w:lineRule="exact"/>
        <w:rPr>
          <w:sz w:val="20"/>
          <w:szCs w:val="20"/>
          <w:color w:val="auto"/>
        </w:rPr>
      </w:pPr>
    </w:p>
    <w:p>
      <w:pPr>
        <w:jc w:val="both"/>
        <w:ind w:firstLine="524"/>
        <w:spacing w:after="0" w:line="282" w:lineRule="auto"/>
        <w:rPr>
          <w:sz w:val="20"/>
          <w:szCs w:val="20"/>
          <w:color w:val="auto"/>
        </w:rPr>
      </w:pPr>
      <w:r>
        <w:rPr>
          <w:rFonts w:ascii="Arial" w:cs="Arial" w:eastAsia="Arial" w:hAnsi="Arial"/>
          <w:sz w:val="13"/>
          <w:szCs w:val="13"/>
          <w:b w:val="1"/>
          <w:bCs w:val="1"/>
          <w:i w:val="1"/>
          <w:iCs w:val="1"/>
          <w:color w:val="1D2758"/>
        </w:rPr>
        <w:t xml:space="preserve">Other Modular Space. </w:t>
      </w:r>
      <w:r>
        <w:rPr>
          <w:rFonts w:ascii="Arial" w:cs="Arial" w:eastAsia="Arial" w:hAnsi="Arial"/>
          <w:sz w:val="13"/>
          <w:szCs w:val="13"/>
          <w:color w:val="000000"/>
        </w:rPr>
        <w:t>We offer a range of other specialty products that vary across regions and provide flexibility to serve demands for local markets. Examples include workforce</w:t>
      </w:r>
      <w:r>
        <w:rPr>
          <w:rFonts w:ascii="Arial" w:cs="Arial" w:eastAsia="Arial" w:hAnsi="Arial"/>
          <w:sz w:val="13"/>
          <w:szCs w:val="13"/>
          <w:b w:val="1"/>
          <w:bCs w:val="1"/>
          <w:i w:val="1"/>
          <w:iCs w:val="1"/>
          <w:color w:val="1D2758"/>
        </w:rPr>
        <w:t xml:space="preserve"> </w:t>
      </w:r>
      <w:r>
        <w:rPr>
          <w:rFonts w:ascii="Arial" w:cs="Arial" w:eastAsia="Arial" w:hAnsi="Arial"/>
          <w:sz w:val="13"/>
          <w:szCs w:val="13"/>
          <w:color w:val="000000"/>
        </w:rPr>
        <w:t>accommodation units with dining facilities used to house workers, often in remote locations, blast-resistant units, and toilet facilities to complement office and classroom units.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Portable Storage Solutions</w:t>
      </w:r>
    </w:p>
    <w:p>
      <w:pPr>
        <w:spacing w:after="0" w:line="50" w:lineRule="exact"/>
        <w:rPr>
          <w:sz w:val="20"/>
          <w:szCs w:val="20"/>
          <w:color w:val="auto"/>
        </w:rPr>
      </w:pPr>
    </w:p>
    <w:p>
      <w:pPr>
        <w:jc w:val="both"/>
        <w:ind w:firstLine="524"/>
        <w:spacing w:after="0" w:line="156" w:lineRule="exact"/>
        <w:rPr>
          <w:sz w:val="20"/>
          <w:szCs w:val="20"/>
          <w:color w:val="auto"/>
        </w:rPr>
      </w:pPr>
      <w:r>
        <w:rPr>
          <w:rFonts w:ascii="Arial" w:cs="Arial" w:eastAsia="Arial" w:hAnsi="Arial"/>
          <w:sz w:val="13"/>
          <w:szCs w:val="13"/>
          <w:b w:val="1"/>
          <w:bCs w:val="1"/>
          <w:i w:val="1"/>
          <w:iCs w:val="1"/>
          <w:color w:val="1D2758"/>
        </w:rPr>
        <w:t xml:space="preserve">Portable Storage Containers. </w:t>
      </w:r>
      <w:r>
        <w:rPr>
          <w:rFonts w:ascii="Arial" w:cs="Arial" w:eastAsia="Arial" w:hAnsi="Arial"/>
          <w:sz w:val="13"/>
          <w:szCs w:val="13"/>
          <w:color w:val="000000"/>
        </w:rPr>
        <w:t>Our portable storage containers offer an assortment of differentiated features such as patented locking systems, premium and multiple door options,</w:t>
      </w:r>
      <w:r>
        <w:rPr>
          <w:rFonts w:ascii="Arial" w:cs="Arial" w:eastAsia="Arial" w:hAnsi="Arial"/>
          <w:sz w:val="13"/>
          <w:szCs w:val="13"/>
          <w:b w:val="1"/>
          <w:bCs w:val="1"/>
          <w:i w:val="1"/>
          <w:iCs w:val="1"/>
          <w:color w:val="1D2758"/>
        </w:rPr>
        <w:t xml:space="preserve"> </w:t>
      </w:r>
      <w:r>
        <w:rPr>
          <w:rFonts w:ascii="Arial" w:cs="Arial" w:eastAsia="Arial" w:hAnsi="Arial"/>
          <w:sz w:val="13"/>
          <w:szCs w:val="13"/>
          <w:color w:val="000000"/>
        </w:rPr>
        <w:t>optional climate control, and numerous configuration options. Standard portable storage containers are made from weather</w:t>
      </w:r>
      <w:r>
        <w:rPr>
          <w:rFonts w:ascii="MS PGothic" w:cs="MS PGothic" w:eastAsia="MS PGothic" w:hAnsi="MS PGothic"/>
          <w:sz w:val="13"/>
          <w:szCs w:val="13"/>
          <w:color w:val="000000"/>
        </w:rPr>
        <w:t>‑</w:t>
      </w:r>
      <w:r>
        <w:rPr>
          <w:rFonts w:ascii="Arial" w:cs="Arial" w:eastAsia="Arial" w:hAnsi="Arial"/>
          <w:sz w:val="13"/>
          <w:szCs w:val="13"/>
          <w:color w:val="000000"/>
        </w:rPr>
        <w:t>resistant corrugated steel and are available in lengths ranging from 5 to 48 feet, widths of either 8 feet or 10 feet, and a variety of configuration options. Doors can be placed at the front, front and back, or the sides of containers. Other options include partitions and shelving. Storage containers can be equipped with our patented Tri</w:t>
      </w:r>
      <w:r>
        <w:rPr>
          <w:rFonts w:ascii="MS PGothic" w:cs="MS PGothic" w:eastAsia="MS PGothic" w:hAnsi="MS PGothic"/>
          <w:sz w:val="13"/>
          <w:szCs w:val="13"/>
          <w:color w:val="000000"/>
        </w:rPr>
        <w:t>‑</w:t>
      </w:r>
      <w:r>
        <w:rPr>
          <w:rFonts w:ascii="Arial" w:cs="Arial" w:eastAsia="Arial" w:hAnsi="Arial"/>
          <w:sz w:val="13"/>
          <w:szCs w:val="13"/>
          <w:color w:val="000000"/>
        </w:rPr>
        <w:t>Cam Locking System®, which features a waist</w:t>
      </w:r>
      <w:r>
        <w:rPr>
          <w:rFonts w:ascii="MS PGothic" w:cs="MS PGothic" w:eastAsia="MS PGothic" w:hAnsi="MS PGothic"/>
          <w:sz w:val="13"/>
          <w:szCs w:val="13"/>
          <w:color w:val="000000"/>
        </w:rPr>
        <w:t>‑</w:t>
      </w:r>
      <w:r>
        <w:rPr>
          <w:rFonts w:ascii="Arial" w:cs="Arial" w:eastAsia="Arial" w:hAnsi="Arial"/>
          <w:sz w:val="13"/>
          <w:szCs w:val="13"/>
          <w:color w:val="000000"/>
        </w:rPr>
        <w:t>level opening lever and interlocking bars to provide easy access for the owner without sacrificing security. We also offer ContainerGuardLock®, an optional security device, which features a hidden six</w:t>
      </w:r>
      <w:r>
        <w:rPr>
          <w:rFonts w:ascii="MS PGothic" w:cs="MS PGothic" w:eastAsia="MS PGothic" w:hAnsi="MS PGothic"/>
          <w:sz w:val="13"/>
          <w:szCs w:val="13"/>
          <w:color w:val="000000"/>
        </w:rPr>
        <w:t>‑</w:t>
      </w:r>
      <w:r>
        <w:rPr>
          <w:rFonts w:ascii="Arial" w:cs="Arial" w:eastAsia="Arial" w:hAnsi="Arial"/>
          <w:sz w:val="13"/>
          <w:szCs w:val="13"/>
          <w:color w:val="000000"/>
        </w:rPr>
        <w:t>pin tumbler system and is made from drill</w:t>
      </w:r>
      <w:r>
        <w:rPr>
          <w:rFonts w:ascii="MS PGothic" w:cs="MS PGothic" w:eastAsia="MS PGothic" w:hAnsi="MS PGothic"/>
          <w:sz w:val="13"/>
          <w:szCs w:val="13"/>
          <w:color w:val="000000"/>
        </w:rPr>
        <w:t>‑</w:t>
      </w:r>
      <w:r>
        <w:rPr>
          <w:rFonts w:ascii="Arial" w:cs="Arial" w:eastAsia="Arial" w:hAnsi="Arial"/>
          <w:sz w:val="13"/>
          <w:szCs w:val="13"/>
          <w:color w:val="000000"/>
        </w:rPr>
        <w:t>resistant hardened steel. We believe these steel storage containers are a cost</w:t>
      </w:r>
      <w:r>
        <w:rPr>
          <w:rFonts w:ascii="MS PGothic" w:cs="MS PGothic" w:eastAsia="MS PGothic" w:hAnsi="MS PGothic"/>
          <w:sz w:val="13"/>
          <w:szCs w:val="13"/>
          <w:color w:val="000000"/>
        </w:rPr>
        <w:t>‑</w:t>
      </w:r>
      <w:r>
        <w:rPr>
          <w:rFonts w:ascii="Arial" w:cs="Arial" w:eastAsia="Arial" w:hAnsi="Arial"/>
          <w:sz w:val="13"/>
          <w:szCs w:val="13"/>
          <w:color w:val="000000"/>
        </w:rPr>
        <w:t>effective alternative to mass warehouse storage, with a high level of security to protect our customers' goods.</w:t>
      </w:r>
    </w:p>
    <w:p>
      <w:pPr>
        <w:spacing w:after="0" w:line="43" w:lineRule="exact"/>
        <w:rPr>
          <w:sz w:val="20"/>
          <w:szCs w:val="20"/>
          <w:color w:val="auto"/>
        </w:rPr>
      </w:pPr>
    </w:p>
    <w:p>
      <w:pPr>
        <w:jc w:val="both"/>
        <w:ind w:firstLine="524"/>
        <w:spacing w:after="0" w:line="154" w:lineRule="exact"/>
        <w:rPr>
          <w:sz w:val="20"/>
          <w:szCs w:val="20"/>
          <w:color w:val="auto"/>
        </w:rPr>
      </w:pPr>
      <w:r>
        <w:rPr>
          <w:rFonts w:ascii="Arial" w:cs="Arial" w:eastAsia="Arial" w:hAnsi="Arial"/>
          <w:sz w:val="13"/>
          <w:szCs w:val="13"/>
          <w:color w:val="auto"/>
        </w:rPr>
        <w:t>Steel containers have a long useful life with no technical obsolescence. Our portable storage containers generally have estimated useful lives of 30 years from the date we build or acquire and remanufacture them, with average residual values in excess of 50%. We maintain our steel containers on a regular basis by removing rust, painting them with rust inhibiting paint, plug</w:t>
      </w:r>
      <w:r>
        <w:rPr>
          <w:rFonts w:ascii="MS PGothic" w:cs="MS PGothic" w:eastAsia="MS PGothic" w:hAnsi="MS PGothic"/>
          <w:sz w:val="13"/>
          <w:szCs w:val="13"/>
          <w:color w:val="auto"/>
        </w:rPr>
        <w:t>‑</w:t>
      </w:r>
      <w:r>
        <w:rPr>
          <w:rFonts w:ascii="Arial" w:cs="Arial" w:eastAsia="Arial" w:hAnsi="Arial"/>
          <w:sz w:val="13"/>
          <w:szCs w:val="13"/>
          <w:color w:val="auto"/>
        </w:rPr>
        <w:t>welding holes, and occasionally replacing the wooden floor or a rusted steel panel. Repainting the outside of storage units is the most common maintenance item. A properly maintained container is essentially in the same condition as when it was initially remanufactured.</w:t>
      </w:r>
    </w:p>
    <w:p>
      <w:pPr>
        <w:spacing w:after="0" w:line="40"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The remanufacturing process begins with the purchase of used ISO containers from leasing companies, shipping lines, and brokers. These containers were originally built to ISO standards and are 8 feet wide, up to 9.5 feet high and 20, 40 or 45 feet long. After acquisition, we remanufacture and modify these ISO containers. Remanufacturing typically involves cleaning, removing rust and dents, repairing floors and sidewalls, painting, adding our signs, and further customizing units by adding our proprietary easy opening door system and our patented locking system. Modification typically involves splitting some containers into differing lengths.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28" w:right="319" w:bottom="1440" w:gutter="0" w:footer="0" w:header="0"/>
        </w:sectPr>
      </w:pPr>
    </w:p>
    <w:bookmarkStart w:id="6" w:name="page7"/>
    <w:bookmarkEnd w:id="6"/>
    <w:p>
      <w:pPr>
        <w:spacing w:after="0"/>
        <w:rPr>
          <w:sz w:val="20"/>
          <w:szCs w:val="20"/>
          <w:color w:val="auto"/>
        </w:rPr>
      </w:pPr>
      <w:r>
        <w:rPr>
          <w:rFonts w:ascii="Arial" w:cs="Arial" w:eastAsia="Arial" w:hAnsi="Arial"/>
          <w:sz w:val="15"/>
          <w:szCs w:val="15"/>
          <w:b w:val="1"/>
          <w:bCs w:val="1"/>
          <w:color w:val="auto"/>
        </w:rPr>
        <w:t>VAPS</w:t>
      </w:r>
    </w:p>
    <w:p>
      <w:pPr>
        <w:spacing w:after="0" w:line="66" w:lineRule="exact"/>
        <w:rPr>
          <w:sz w:val="20"/>
          <w:szCs w:val="20"/>
          <w:color w:val="auto"/>
        </w:rPr>
      </w:pPr>
    </w:p>
    <w:p>
      <w:pPr>
        <w:jc w:val="both"/>
        <w:ind w:firstLine="524"/>
        <w:spacing w:after="0" w:line="248" w:lineRule="auto"/>
        <w:rPr>
          <w:sz w:val="20"/>
          <w:szCs w:val="20"/>
          <w:color w:val="auto"/>
        </w:rPr>
      </w:pPr>
      <w:r>
        <w:rPr>
          <w:rFonts w:ascii="Arial" w:cs="Arial" w:eastAsia="Arial" w:hAnsi="Arial"/>
          <w:sz w:val="13"/>
          <w:szCs w:val="13"/>
          <w:color w:val="auto"/>
        </w:rPr>
        <w:t>We offer a thoughtfully curated portfolio of VAPS that make modular space and portable storage units more productive, comfortable, secure, and “Ready to Work” for our customers. We lease furniture, steps, ramps, basic appliances, internet connectivity devices, and other items to our customers for use in connection with our products. We also offer our lease customers a damage waiver program that protects them in case the leased unit is damaged. For customers who do not select the damage waiver program, we bill them for the cost of repairs above and beyond normal wear and tear. Importantly, management believes that our scale, branch network, supply chain, and sales performance management tools give us a significant advantage in delivering “Ready to Work” solutions and growing VAPS revenue relative to our competitors.</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Delivery, Installation and Removal</w:t>
      </w:r>
    </w:p>
    <w:p>
      <w:pPr>
        <w:spacing w:after="0" w:line="66" w:lineRule="exact"/>
        <w:rPr>
          <w:sz w:val="20"/>
          <w:szCs w:val="20"/>
          <w:color w:val="auto"/>
        </w:rPr>
      </w:pPr>
    </w:p>
    <w:p>
      <w:pPr>
        <w:jc w:val="both"/>
        <w:ind w:firstLine="524"/>
        <w:spacing w:after="0" w:line="154" w:lineRule="exact"/>
        <w:rPr>
          <w:sz w:val="20"/>
          <w:szCs w:val="20"/>
          <w:color w:val="auto"/>
        </w:rPr>
      </w:pPr>
      <w:r>
        <w:rPr>
          <w:rFonts w:ascii="Arial" w:cs="Arial" w:eastAsia="Arial" w:hAnsi="Arial"/>
          <w:sz w:val="13"/>
          <w:szCs w:val="13"/>
          <w:color w:val="auto"/>
        </w:rPr>
        <w:t>We operate a hybrid in-house and outsourced logistics and service infrastructure that provides delivery, site work, installation, disassembly, unhooking and removal, and other services to our customers for an additional fee as part of our leasing and sales operations. Revenue from delivery, site work, and installation results from the transportation of units to a customer's location, as well as site work required prior to installation, and installation of the units which have been leased or sold. Typically, modular units are placed on temporary foundations constructed by our in</w:t>
      </w:r>
      <w:r>
        <w:rPr>
          <w:rFonts w:ascii="MS PGothic" w:cs="MS PGothic" w:eastAsia="MS PGothic" w:hAnsi="MS PGothic"/>
          <w:sz w:val="13"/>
          <w:szCs w:val="13"/>
          <w:color w:val="auto"/>
        </w:rPr>
        <w:t>‑</w:t>
      </w:r>
      <w:r>
        <w:rPr>
          <w:rFonts w:ascii="Arial" w:cs="Arial" w:eastAsia="Arial" w:hAnsi="Arial"/>
          <w:sz w:val="13"/>
          <w:szCs w:val="13"/>
          <w:color w:val="auto"/>
        </w:rPr>
        <w:t>house service technicians or subcontractors. These in</w:t>
      </w:r>
      <w:r>
        <w:rPr>
          <w:rFonts w:ascii="MS PGothic" w:cs="MS PGothic" w:eastAsia="MS PGothic" w:hAnsi="MS PGothic"/>
          <w:sz w:val="13"/>
          <w:szCs w:val="13"/>
          <w:color w:val="auto"/>
        </w:rPr>
        <w:t>‑</w:t>
      </w:r>
      <w:r>
        <w:rPr>
          <w:rFonts w:ascii="Arial" w:cs="Arial" w:eastAsia="Arial" w:hAnsi="Arial"/>
          <w:sz w:val="13"/>
          <w:szCs w:val="13"/>
          <w:color w:val="auto"/>
        </w:rPr>
        <w:t>house service technicians or subcontractors also generally install any ancillary products and VAPS. We also derive revenue from disassembling, unhooking, and removing units once a lease expires. We believe that our logistics and service capabilities are unrivaled in the industry, differentiate us from competitors, and enhance our value proposition to our customers.</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Tank and Pump Solutions</w:t>
      </w:r>
    </w:p>
    <w:p>
      <w:pPr>
        <w:spacing w:after="0" w:line="55" w:lineRule="exact"/>
        <w:rPr>
          <w:sz w:val="20"/>
          <w:szCs w:val="20"/>
          <w:color w:val="auto"/>
        </w:rPr>
      </w:pPr>
    </w:p>
    <w:p>
      <w:pPr>
        <w:jc w:val="both"/>
        <w:ind w:firstLine="524"/>
        <w:spacing w:after="0" w:line="154" w:lineRule="exact"/>
        <w:rPr>
          <w:sz w:val="20"/>
          <w:szCs w:val="20"/>
          <w:color w:val="auto"/>
        </w:rPr>
      </w:pPr>
      <w:r>
        <w:rPr>
          <w:rFonts w:ascii="Arial" w:cs="Arial" w:eastAsia="Arial" w:hAnsi="Arial"/>
          <w:sz w:val="13"/>
          <w:szCs w:val="13"/>
          <w:color w:val="auto"/>
        </w:rPr>
        <w:t>Our Tank and Pump Solutions business offers a broad range of liquid and solid specialty containment equipment and services complemented by an assortment of pumps, filtration units, and waste hauling services. In addition, ancillary products for rental and for sale are available, such as hoses, pipes, filters, and spill containment. Our principal products and services within our Tank and Pump Solutions business include steel tanks, stainless steel tank trailers, roll</w:t>
      </w:r>
      <w:r>
        <w:rPr>
          <w:rFonts w:ascii="MS PGothic" w:cs="MS PGothic" w:eastAsia="MS PGothic" w:hAnsi="MS PGothic"/>
          <w:sz w:val="13"/>
          <w:szCs w:val="13"/>
          <w:color w:val="auto"/>
        </w:rPr>
        <w:t>‑</w:t>
      </w:r>
      <w:r>
        <w:rPr>
          <w:rFonts w:ascii="Arial" w:cs="Arial" w:eastAsia="Arial" w:hAnsi="Arial"/>
          <w:sz w:val="13"/>
          <w:szCs w:val="13"/>
          <w:color w:val="auto"/>
        </w:rPr>
        <w:t>off boxes, vacuum boxes, dewatering boxes, pumps and filtration equipment, and value</w:t>
      </w:r>
      <w:r>
        <w:rPr>
          <w:rFonts w:ascii="MS PGothic" w:cs="MS PGothic" w:eastAsia="MS PGothic" w:hAnsi="MS PGothic"/>
          <w:sz w:val="13"/>
          <w:szCs w:val="13"/>
          <w:color w:val="auto"/>
        </w:rPr>
        <w:t>‑</w:t>
      </w:r>
      <w:r>
        <w:rPr>
          <w:rFonts w:ascii="Arial" w:cs="Arial" w:eastAsia="Arial" w:hAnsi="Arial"/>
          <w:sz w:val="13"/>
          <w:szCs w:val="13"/>
          <w:color w:val="auto"/>
        </w:rPr>
        <w:t>added services.</w:t>
      </w:r>
    </w:p>
    <w:p>
      <w:pPr>
        <w:spacing w:after="0" w:line="41" w:lineRule="exact"/>
        <w:rPr>
          <w:sz w:val="20"/>
          <w:szCs w:val="20"/>
          <w:color w:val="auto"/>
        </w:rPr>
      </w:pPr>
    </w:p>
    <w:p>
      <w:pPr>
        <w:jc w:val="both"/>
        <w:ind w:firstLine="524"/>
        <w:spacing w:after="0" w:line="154" w:lineRule="exact"/>
        <w:rPr>
          <w:sz w:val="20"/>
          <w:szCs w:val="20"/>
          <w:color w:val="auto"/>
        </w:rPr>
      </w:pPr>
      <w:r>
        <w:rPr>
          <w:rFonts w:ascii="Arial" w:cs="Arial" w:eastAsia="Arial" w:hAnsi="Arial"/>
          <w:sz w:val="13"/>
          <w:szCs w:val="13"/>
          <w:color w:val="auto"/>
        </w:rPr>
        <w:t>Our fleet of steel tanks offers flexible sizes and other options such as weir, gas buster, and open top steel tanks for applications ranging from temporary storage of chemicals, water, and other liquids, thorough mixing, agitation, and circulation of stored liquids with other products, and removal of gas from fluids circulated in the wellbore—such as mud used during drilling operations and settling of solids in liquids prior to filtration or discharge. Our stainless-steel tankers meet Department of Transportation specifications for use in the storage and transportation of chemical, caustics, and other liquids and are offered insulated or non</w:t>
      </w:r>
      <w:r>
        <w:rPr>
          <w:rFonts w:ascii="MS PGothic" w:cs="MS PGothic" w:eastAsia="MS PGothic" w:hAnsi="MS PGothic"/>
          <w:sz w:val="13"/>
          <w:szCs w:val="13"/>
          <w:color w:val="auto"/>
        </w:rPr>
        <w:t>‑</w:t>
      </w:r>
      <w:r>
        <w:rPr>
          <w:rFonts w:ascii="Arial" w:cs="Arial" w:eastAsia="Arial" w:hAnsi="Arial"/>
          <w:sz w:val="13"/>
          <w:szCs w:val="13"/>
          <w:color w:val="auto"/>
        </w:rPr>
        <w:t>insulated with level indication and vapor recovery capability. Roll</w:t>
      </w:r>
      <w:r>
        <w:rPr>
          <w:rFonts w:ascii="MS PGothic" w:cs="MS PGothic" w:eastAsia="MS PGothic" w:hAnsi="MS PGothic"/>
          <w:sz w:val="13"/>
          <w:szCs w:val="13"/>
          <w:color w:val="auto"/>
        </w:rPr>
        <w:t>‑</w:t>
      </w:r>
      <w:r>
        <w:rPr>
          <w:rFonts w:ascii="Arial" w:cs="Arial" w:eastAsia="Arial" w:hAnsi="Arial"/>
          <w:sz w:val="13"/>
          <w:szCs w:val="13"/>
          <w:color w:val="auto"/>
        </w:rPr>
        <w:t>off boxes provide simple, leak</w:t>
      </w:r>
      <w:r>
        <w:rPr>
          <w:rFonts w:ascii="MS PGothic" w:cs="MS PGothic" w:eastAsia="MS PGothic" w:hAnsi="MS PGothic"/>
          <w:sz w:val="13"/>
          <w:szCs w:val="13"/>
          <w:color w:val="auto"/>
        </w:rPr>
        <w:t>‑</w:t>
      </w:r>
      <w:r>
        <w:rPr>
          <w:rFonts w:ascii="Arial" w:cs="Arial" w:eastAsia="Arial" w:hAnsi="Arial"/>
          <w:sz w:val="13"/>
          <w:szCs w:val="13"/>
          <w:color w:val="auto"/>
        </w:rPr>
        <w:t>proof storage and transportation of solid industrial byproducts and are utilized for a variety of containment applications where it is necessary to maintain the homogeneity of the contents. Roll-tarps or rolling metal lids are available to protect the contents from the elements during transport or storage. Vacuum roll</w:t>
      </w:r>
      <w:r>
        <w:rPr>
          <w:rFonts w:ascii="MS PGothic" w:cs="MS PGothic" w:eastAsia="MS PGothic" w:hAnsi="MS PGothic"/>
          <w:sz w:val="13"/>
          <w:szCs w:val="13"/>
          <w:color w:val="auto"/>
        </w:rPr>
        <w:t>‑</w:t>
      </w:r>
      <w:r>
        <w:rPr>
          <w:rFonts w:ascii="Arial" w:cs="Arial" w:eastAsia="Arial" w:hAnsi="Arial"/>
          <w:sz w:val="13"/>
          <w:szCs w:val="13"/>
          <w:color w:val="auto"/>
        </w:rPr>
        <w:t>off boxes are also offered to pair with a vacuum truck for containment, storage, or transportation of pressurized contents. Dewatering boxes are configured to provide for the draining of excess liquid from slurry or sludge which reduces storage, transportation, and disposal costs. Upon completion of dewatering, the container is generally picked up by a roll</w:t>
      </w:r>
      <w:r>
        <w:rPr>
          <w:rFonts w:ascii="MS PGothic" w:cs="MS PGothic" w:eastAsia="MS PGothic" w:hAnsi="MS PGothic"/>
          <w:sz w:val="13"/>
          <w:szCs w:val="13"/>
          <w:color w:val="auto"/>
        </w:rPr>
        <w:t>‑</w:t>
      </w:r>
      <w:r>
        <w:rPr>
          <w:rFonts w:ascii="Arial" w:cs="Arial" w:eastAsia="Arial" w:hAnsi="Arial"/>
          <w:sz w:val="13"/>
          <w:szCs w:val="13"/>
          <w:color w:val="auto"/>
        </w:rPr>
        <w:t>off truck for content disposal. Vacuum dewatering boxes are also offered. In addition, we offer a variety of pumps and filtration equipment that can be used primarily for liquid circulation and filtration in municipal and industrial applications.</w:t>
      </w:r>
    </w:p>
    <w:p>
      <w:pPr>
        <w:spacing w:after="0" w:line="41"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Additional services performed by our specialty containment employees include transportation of containers for waste management between multiple locations or in-plant, waste management oversight and service provision by an on-site dedicated team, system design including assessment of pumping, filtration and temporary storage needs, and field services to correctly install and connect customer containment equipment.</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1D2758"/>
        </w:rPr>
        <w:t>Product Leases</w:t>
      </w:r>
    </w:p>
    <w:p>
      <w:pPr>
        <w:spacing w:after="0" w:line="42" w:lineRule="exact"/>
        <w:rPr>
          <w:sz w:val="20"/>
          <w:szCs w:val="20"/>
          <w:color w:val="auto"/>
        </w:rPr>
      </w:pPr>
    </w:p>
    <w:p>
      <w:pPr>
        <w:jc w:val="both"/>
        <w:ind w:firstLine="524"/>
        <w:spacing w:after="0" w:line="248" w:lineRule="auto"/>
        <w:rPr>
          <w:sz w:val="20"/>
          <w:szCs w:val="20"/>
          <w:color w:val="auto"/>
        </w:rPr>
      </w:pPr>
      <w:r>
        <w:rPr>
          <w:rFonts w:ascii="Arial" w:cs="Arial" w:eastAsia="Arial" w:hAnsi="Arial"/>
          <w:sz w:val="13"/>
          <w:szCs w:val="13"/>
          <w:color w:val="auto"/>
        </w:rPr>
        <w:t>We primarily lease, rather than sell, our modular and portable storage units to customers, which results in a highly diversified and predictable recurring revenue stream. For the year ended December 31, 2021, over 90% of new lease orders were on our standard lease agreement, pre-negotiated master lease, or national account agreements. The initial lease periods vary, and our leases are customarily renewable on a month-to-month basis after their initial term. For the year ended December 31, 2021, the average effective duration of our consolidated lease portfolio for modular space and portable storage units was over 31 months. As a result, our lease revenue is highly predictable due to its recurring nature and the underlying stability and diversification of our lease portfolio.</w:t>
      </w:r>
    </w:p>
    <w:p>
      <w:pPr>
        <w:spacing w:after="0" w:line="36" w:lineRule="exact"/>
        <w:rPr>
          <w:sz w:val="20"/>
          <w:szCs w:val="20"/>
          <w:color w:val="auto"/>
        </w:rPr>
      </w:pPr>
    </w:p>
    <w:p>
      <w:pPr>
        <w:jc w:val="both"/>
        <w:ind w:firstLine="524"/>
        <w:spacing w:after="0" w:line="248" w:lineRule="auto"/>
        <w:rPr>
          <w:sz w:val="20"/>
          <w:szCs w:val="20"/>
          <w:color w:val="auto"/>
        </w:rPr>
      </w:pPr>
      <w:r>
        <w:rPr>
          <w:rFonts w:ascii="Arial" w:cs="Arial" w:eastAsia="Arial" w:hAnsi="Arial"/>
          <w:sz w:val="13"/>
          <w:szCs w:val="13"/>
          <w:color w:val="auto"/>
        </w:rPr>
        <w:t>For the year ended December 31, 2021, our average minimum contractual lease term at the time of delivery in our NA Modular segment for modular space units was 11 months. However, given that our customers value flexibility, they consistently extend their leases or renew on a month-to-month basis such that the average effective duration of our NA Modular segment lease portfolio was over 35 months. Customers are responsible for the costs of delivery and set-up, dismantling and pick-up, customer-specified modifications, costs to return custom modifications back to standard configuration at end of lease, and any loss or damage beyond normal wear and tear. Our leases generally require customers to maintain liability and property insurance covering the units during the lease term and to indemnify us from losses caused by the negligence of the customer or their employees.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07" w:right="319" w:bottom="1440" w:gutter="0" w:footer="0" w:header="0"/>
        </w:sectPr>
      </w:pPr>
    </w:p>
    <w:bookmarkStart w:id="7" w:name="page8"/>
    <w:bookmarkEnd w:id="7"/>
    <w:p>
      <w:pPr>
        <w:jc w:val="both"/>
        <w:ind w:firstLine="524"/>
        <w:spacing w:after="0" w:line="154" w:lineRule="exact"/>
        <w:rPr>
          <w:sz w:val="20"/>
          <w:szCs w:val="20"/>
          <w:color w:val="auto"/>
        </w:rPr>
      </w:pPr>
      <w:r>
        <w:rPr>
          <w:rFonts w:ascii="Arial" w:cs="Arial" w:eastAsia="Arial" w:hAnsi="Arial"/>
          <w:sz w:val="13"/>
          <w:szCs w:val="13"/>
          <w:color w:val="auto"/>
        </w:rPr>
        <w:t>Rental contracts with customers within our NA Storage and UK Storage segments are generally based on a 28</w:t>
      </w:r>
      <w:r>
        <w:rPr>
          <w:rFonts w:ascii="MS PGothic" w:cs="MS PGothic" w:eastAsia="MS PGothic" w:hAnsi="MS PGothic"/>
          <w:sz w:val="13"/>
          <w:szCs w:val="13"/>
          <w:color w:val="auto"/>
        </w:rPr>
        <w:t>‑</w:t>
      </w:r>
      <w:r>
        <w:rPr>
          <w:rFonts w:ascii="Arial" w:cs="Arial" w:eastAsia="Arial" w:hAnsi="Arial"/>
          <w:sz w:val="13"/>
          <w:szCs w:val="13"/>
          <w:color w:val="auto"/>
        </w:rPr>
        <w:t>day rate and billing cycle. The rental continues until cancelled by the customer or us. On average, steel storage containers on rent in our NA Storage and UK Storage segments for the year ended December 31, 2021 had been in place for over 31 months, and the steel ground level offices on rent for the year ended December 31, 2021 had been in place for over 15 months. Rental contracts provide that the customer is responsible for the cost of delivery and pickup and specify that the customer is liable for any damage done to the unit beyond ordinary wear and tear. Customers may purchase a damage waiver to avoid damage liability in certain circumstances, which provides an additional source of recurring revenue. Customer possessions stored within a portable storage unit are the responsibility of that customer.</w:t>
      </w:r>
    </w:p>
    <w:p>
      <w:pPr>
        <w:spacing w:after="0" w:line="42" w:lineRule="exact"/>
        <w:rPr>
          <w:sz w:val="20"/>
          <w:szCs w:val="20"/>
          <w:color w:val="auto"/>
        </w:rPr>
      </w:pPr>
    </w:p>
    <w:p>
      <w:pPr>
        <w:jc w:val="both"/>
        <w:ind w:firstLine="524"/>
        <w:spacing w:after="0" w:line="248" w:lineRule="auto"/>
        <w:rPr>
          <w:sz w:val="20"/>
          <w:szCs w:val="20"/>
          <w:color w:val="auto"/>
        </w:rPr>
      </w:pPr>
      <w:r>
        <w:rPr>
          <w:rFonts w:ascii="Arial" w:cs="Arial" w:eastAsia="Arial" w:hAnsi="Arial"/>
          <w:sz w:val="13"/>
          <w:szCs w:val="13"/>
          <w:color w:val="auto"/>
        </w:rPr>
        <w:t>Rental contracts with Tank and Pump Solutions customers typically offer daily, weekly, or monthly rates. Certain larger customers have multi-year agreements that limit rate increases during the term of the contract. The rental duration varies widely by application, and the rental continues until the unit is returned in clean condition to us. On average, contracts in our Tank and Pump Solutions segments for the year ended December 31, 2021 had been in place for over 8 months. Rental contracts specify that the customer is responsible for carrying commercial general liability insurance, is liable for any damage to the unit beyond ordinary wear and tear, and for all materials the customer contains in rented equipment. The customer is contractually responsible for the cost of delivery and pickup, as well as thoroughly emptying and cleaning the equipment before return.</w:t>
      </w:r>
    </w:p>
    <w:p>
      <w:pPr>
        <w:spacing w:after="0" w:line="36"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Demand for our products varies by end market. Construction customers typically reflect higher demand during months with more temperate weather, while demand from large retailers is stronger from September through December, when more space is needed to store holiday inventories. Retail customers usually return these rented units in December and early in the following year, but also undertake ongoing rolling store renovations which present consistent recurring demand throughout the year. In our Tank and Pump Solutions business, demand from customers is typically higher in the middle of the year from March to October, driven by the timing of customer maintenance projects.</w:t>
      </w:r>
    </w:p>
    <w:p>
      <w:pPr>
        <w:spacing w:after="0" w:line="35"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As of December 31, 2021, we had approximately 390,000 total units including over 162,000 modular space units, over 213,000 portable storage units, over 13,000 tank and pump units, and other value-added products representing fleet net book value of $3.1 billion. Approximately 111,000 of our modular space units, or 68% and 180,000 of our portable storage units, or 84% were on rent as of December 31, 2021, and tank and pump Original Equipment Cost ("OEC") utilization was 73.5% as of December 31, 2021.</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1D2758"/>
        </w:rPr>
        <w:t>Product Sales</w:t>
      </w:r>
    </w:p>
    <w:p>
      <w:pPr>
        <w:spacing w:after="0" w:line="42" w:lineRule="exact"/>
        <w:rPr>
          <w:sz w:val="20"/>
          <w:szCs w:val="20"/>
          <w:color w:val="auto"/>
        </w:rPr>
      </w:pPr>
    </w:p>
    <w:p>
      <w:pPr>
        <w:jc w:val="both"/>
        <w:ind w:firstLine="524"/>
        <w:spacing w:after="0" w:line="248" w:lineRule="auto"/>
        <w:rPr>
          <w:sz w:val="20"/>
          <w:szCs w:val="20"/>
          <w:color w:val="auto"/>
        </w:rPr>
      </w:pPr>
      <w:r>
        <w:rPr>
          <w:rFonts w:ascii="Arial" w:cs="Arial" w:eastAsia="Arial" w:hAnsi="Arial"/>
          <w:sz w:val="13"/>
          <w:szCs w:val="13"/>
          <w:color w:val="auto"/>
        </w:rPr>
        <w:t>We complement our core leasing business by selling both new and used units, allowing us to leverage our scale, achieve purchasing benefits, and redeploy capital employed in our lease fleet. Generally, we purchase new units from a broad network of third-party manufacturers. We only purchase new modular space units for resale when we have obtained firm purchase orders (which normally are non-cancelable and include up-front deposits) for such units. Buying units directly for resale adds scale to our purchasing, which is beneficial to our overall supplier relationships and purchasing terms. New unit sales are a natural extension of our leasing operations in situations where customers have long-lived or permanent projects, making it more cost-effective to purchase rather than to lease a standard unit, and our customers benefit from our product expertise and delivery and installation capabilities.</w:t>
      </w:r>
    </w:p>
    <w:p>
      <w:pPr>
        <w:spacing w:after="0" w:line="36"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In the normal course of managing our business, we also sell idle, used rental units at fair market value and units that are already on rent if the customer expresses interest in owning, rather than continuing to rent, the unit. The sale of units from our rental equipment has historically been both a profitable and cost-effective method to finance the replenishment and upgrade of our lease fleet, as well as to generate free cash flow during periods of lower rental demand and utilization. Our sales business may include modifying or customizing units to meet customer requirements. We also offer delivery, installation, and removal-related services for an additional fee as part of our sales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1D2758"/>
        </w:rPr>
        <w:t>Customers</w:t>
      </w:r>
    </w:p>
    <w:p>
      <w:pPr>
        <w:spacing w:after="0" w:line="42" w:lineRule="exact"/>
        <w:rPr>
          <w:sz w:val="20"/>
          <w:szCs w:val="20"/>
          <w:color w:val="auto"/>
        </w:rPr>
      </w:pPr>
    </w:p>
    <w:p>
      <w:pPr>
        <w:jc w:val="both"/>
        <w:ind w:firstLine="524"/>
        <w:spacing w:after="0" w:line="154" w:lineRule="exact"/>
        <w:rPr>
          <w:sz w:val="20"/>
          <w:szCs w:val="20"/>
          <w:color w:val="auto"/>
        </w:rPr>
      </w:pPr>
      <w:r>
        <w:rPr>
          <w:rFonts w:ascii="Arial" w:cs="Arial" w:eastAsia="Arial" w:hAnsi="Arial"/>
          <w:sz w:val="13"/>
          <w:szCs w:val="13"/>
          <w:color w:val="auto"/>
        </w:rPr>
        <w:t>Our customers operate in a diversified set of end markets, including construction, commercial and industrial, retail and wholesale trade, energy and natural resources, education, government and institutions, and healthcare. Core to our operating model is the ability to redeploy standardized assets across end markets, as we did in 2020 and 2021 to service emerging demand in the healthcare and government sectors related to COVID</w:t>
      </w:r>
      <w:r>
        <w:rPr>
          <w:rFonts w:ascii="MS PGothic" w:cs="MS PGothic" w:eastAsia="MS PGothic" w:hAnsi="MS PGothic"/>
          <w:sz w:val="13"/>
          <w:szCs w:val="13"/>
          <w:color w:val="auto"/>
        </w:rPr>
        <w:t>‑</w:t>
      </w:r>
      <w:r>
        <w:rPr>
          <w:rFonts w:ascii="Arial" w:cs="Arial" w:eastAsia="Arial" w:hAnsi="Arial"/>
          <w:sz w:val="13"/>
          <w:szCs w:val="13"/>
          <w:color w:val="auto"/>
        </w:rPr>
        <w:t>19, as well as expanded space requirements related to social distancing. We track several market leading indicators in order to predict demand, including those related to our two largest end markets, the commercial and industrial segment and the construction segment, which collectively accounted for approximately 47% and 40% of our revenues, respectively, for the year ended December 31, 2021. In order to optimize the use of fleet assets across our branch network, we centrally manage fleet rebalancing across our end markets. This allows us to serve 15 distinct end markets in which no one customer accounted for more than 2% of revenues for the year ended December 31, 2021.</w:t>
      </w:r>
    </w:p>
    <w:p>
      <w:pPr>
        <w:spacing w:after="0" w:line="42"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For the year ended December 31, 2021, our top 10 customers accounted for approximately 5% of revenues, and our top 50 customers accounted for less than 13% of revenues, reflecting low customer concentration and significant project diversification within our portfolio.</w:t>
      </w:r>
    </w:p>
    <w:p>
      <w:pPr>
        <w:spacing w:after="0" w:line="31"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Our logistics and service infrastructure is designed to meet or exceed our customers’ expectations by reacting quickly, efficiently, and with consistent service levels. As a result, we have established strong relationships with a diverse customer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28" w:right="319" w:bottom="1440" w:gutter="0" w:footer="0" w:header="0"/>
        </w:sectPr>
      </w:pPr>
    </w:p>
    <w:bookmarkStart w:id="8" w:name="page9"/>
    <w:bookmarkEnd w:id="8"/>
    <w:p>
      <w:pPr>
        <w:jc w:val="both"/>
        <w:spacing w:after="0" w:line="256" w:lineRule="auto"/>
        <w:rPr>
          <w:sz w:val="20"/>
          <w:szCs w:val="20"/>
          <w:color w:val="auto"/>
        </w:rPr>
      </w:pPr>
      <w:r>
        <w:rPr>
          <w:rFonts w:ascii="Arial" w:cs="Arial" w:eastAsia="Arial" w:hAnsi="Arial"/>
          <w:sz w:val="13"/>
          <w:szCs w:val="13"/>
          <w:color w:val="auto"/>
        </w:rPr>
        <w:t>base, ranging from large multinational companies to local sole proprietors. We served over 85,000 unique customers in 2021. We believe that our customers prefer our modular space and portable storage products over fixed, on-site built space because they are a quick, flexible, cost-effective, and low-risk solution for temporary or permanent expansion or storage.</w:t>
      </w:r>
    </w:p>
    <w:p>
      <w:pPr>
        <w:spacing w:after="0" w:line="31"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Our strategy involves operating standardized rental equipment and "Ready to Work" solutions that can be redeployed across our diversified customer base and branch network in 15 discrete end markets. Key customer end markets include:</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Construction and Infrastructure</w:t>
      </w:r>
    </w:p>
    <w:p>
      <w:pPr>
        <w:spacing w:after="0" w:line="66" w:lineRule="exact"/>
        <w:rPr>
          <w:sz w:val="20"/>
          <w:szCs w:val="20"/>
          <w:color w:val="auto"/>
        </w:rPr>
      </w:pPr>
    </w:p>
    <w:p>
      <w:pPr>
        <w:jc w:val="both"/>
        <w:ind w:firstLine="524"/>
        <w:spacing w:after="0" w:line="248" w:lineRule="auto"/>
        <w:rPr>
          <w:sz w:val="20"/>
          <w:szCs w:val="20"/>
          <w:color w:val="auto"/>
        </w:rPr>
      </w:pPr>
      <w:r>
        <w:rPr>
          <w:rFonts w:ascii="Arial" w:cs="Arial" w:eastAsia="Arial" w:hAnsi="Arial"/>
          <w:sz w:val="13"/>
          <w:szCs w:val="13"/>
          <w:color w:val="auto"/>
        </w:rPr>
        <w:t>We provide office and storage space to a broad array of contractors associated with non-residential buildings and non-building infrastructure. Our client portfolio includes many of the largest general contractors and engineering, architecture, procurement, and construction companies in North America, as well as home builders, developers, and subcontractors. Examples include highway, street, bridge, and tunnel contractors; water, sewer, communication, and power line contractors; and special construction trades, including glass, glazing, and demolition. Our construction and infrastructure customer base is characterized by a wide variety of contractors that are associated with original construction as well as capital improvements in the private, institutional, and municipal arenas. Units are used as offices, break rooms, accommodations, security offices, and other applications.</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Commercial and Industrial</w:t>
      </w:r>
    </w:p>
    <w:p>
      <w:pPr>
        <w:spacing w:after="0" w:line="66"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Customers in this category use our products as their primary office or retail space, to expand their existing commercial workspace, to increase their storage capabilities, or as temporary space for festivals, sporting, and other events. Customers in this category span a variety of industries ranging from commercial offices; chemicals and other manufacturing; agriculture, forestry and fishing; arts, media, hotels, and entertainment; and other industrial end markets.</w:t>
      </w:r>
    </w:p>
    <w:p>
      <w:pPr>
        <w:spacing w:after="0" w:line="33" w:lineRule="exact"/>
        <w:rPr>
          <w:sz w:val="20"/>
          <w:szCs w:val="20"/>
          <w:color w:val="auto"/>
        </w:rPr>
      </w:pPr>
    </w:p>
    <w:p>
      <w:pPr>
        <w:jc w:val="both"/>
        <w:ind w:firstLine="524"/>
        <w:spacing w:after="0" w:line="154" w:lineRule="exact"/>
        <w:rPr>
          <w:sz w:val="20"/>
          <w:szCs w:val="20"/>
          <w:color w:val="auto"/>
        </w:rPr>
      </w:pPr>
      <w:r>
        <w:rPr>
          <w:rFonts w:ascii="Arial" w:cs="Arial" w:eastAsia="Arial" w:hAnsi="Arial"/>
          <w:sz w:val="13"/>
          <w:szCs w:val="13"/>
          <w:color w:val="auto"/>
        </w:rPr>
        <w:t>The commercial and industrial segment also includes customers in retail and wholesale trade. These include department, drug, grocery, and strip mall stores, logistics, warehousing and distribution services, as well as restaurants, service stations, and dry cleaners. Our customers in retail and wholesale trade include big</w:t>
      </w:r>
      <w:r>
        <w:rPr>
          <w:rFonts w:ascii="MS PGothic" w:cs="MS PGothic" w:eastAsia="MS PGothic" w:hAnsi="MS PGothic"/>
          <w:sz w:val="13"/>
          <w:szCs w:val="13"/>
          <w:color w:val="auto"/>
        </w:rPr>
        <w:t>‑</w:t>
      </w:r>
      <w:r>
        <w:rPr>
          <w:rFonts w:ascii="Arial" w:cs="Arial" w:eastAsia="Arial" w:hAnsi="Arial"/>
          <w:sz w:val="13"/>
          <w:szCs w:val="13"/>
          <w:color w:val="auto"/>
        </w:rPr>
        <w:t>box retailers who have storage needs during renovations or other large on-site projects. On a stand</w:t>
      </w:r>
      <w:r>
        <w:rPr>
          <w:rFonts w:ascii="MS PGothic" w:cs="MS PGothic" w:eastAsia="MS PGothic" w:hAnsi="MS PGothic"/>
          <w:sz w:val="13"/>
          <w:szCs w:val="13"/>
          <w:color w:val="auto"/>
        </w:rPr>
        <w:t>‑</w:t>
      </w:r>
      <w:r>
        <w:rPr>
          <w:rFonts w:ascii="Arial" w:cs="Arial" w:eastAsia="Arial" w:hAnsi="Arial"/>
          <w:sz w:val="13"/>
          <w:szCs w:val="13"/>
          <w:color w:val="auto"/>
        </w:rPr>
        <w:t>alone basis, retail and wholesale trade customers comprised approximately 11% of fiscal year 2021 rental revenue.</w:t>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Energy and Natural Resources</w:t>
      </w:r>
    </w:p>
    <w:p>
      <w:pPr>
        <w:spacing w:after="0" w:line="66"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Our products are leased to companies involved in electricity generation and transmission, utilities, up- mid- and down-stream oil and gas, mining exploration and extraction, and other related sectors. Units are used as temporary offices, break rooms, accommodations, security offices, and other applications.</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Education</w:t>
      </w:r>
    </w:p>
    <w:p>
      <w:pPr>
        <w:spacing w:after="0" w:line="66"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Rapid shifts in populations within regions, as well as recent needs to expand square footage per student in in-person education settings, often necessitate quick expansion of education facilities, particularly in elementary and secondary schools and universities and colleges. Regional and local governmental budgetary pressures, classroom size reduction legislation, refurbishment of existing facilities, and the expansion of charter schools have made modular classrooms a convenient and cost-effective way to expand capacity in education settings. In addition, our products are used as classrooms when schools are undergoing large scale modernization, which allows continuous operation of a school while modernization progresses.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Government and Institutions</w:t>
      </w:r>
    </w:p>
    <w:p>
      <w:pPr>
        <w:spacing w:after="0" w:line="66"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Government customers consist of national, state, provincial, and local public sector organizations. Modular space and portable storage solutions are particularly attractive to focused niches such as healthcare facilities, small municipal buildings, courthouses, military installations, national security buildings, and offices during building modernization, as well as disaster relief.</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color w:val="1D2758"/>
        </w:rPr>
        <w:t>Competitive Strengths</w:t>
      </w:r>
    </w:p>
    <w:p>
      <w:pPr>
        <w:spacing w:after="0" w:line="42" w:lineRule="exact"/>
        <w:rPr>
          <w:sz w:val="20"/>
          <w:szCs w:val="20"/>
          <w:color w:val="auto"/>
        </w:rPr>
      </w:pPr>
    </w:p>
    <w:p>
      <w:pPr>
        <w:ind w:left="540"/>
        <w:spacing w:after="0"/>
        <w:rPr>
          <w:sz w:val="20"/>
          <w:szCs w:val="20"/>
          <w:color w:val="auto"/>
        </w:rPr>
      </w:pPr>
      <w:r>
        <w:rPr>
          <w:rFonts w:ascii="Arial" w:cs="Arial" w:eastAsia="Arial" w:hAnsi="Arial"/>
          <w:sz w:val="13"/>
          <w:szCs w:val="13"/>
          <w:color w:val="auto"/>
        </w:rPr>
        <w:t>We believe that the following competitive strengths have been instrumental to our success and position us for future growth:</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North American Leader in Turnkey Modular Space and Portable Storage Solutions</w:t>
      </w:r>
    </w:p>
    <w:p>
      <w:pPr>
        <w:spacing w:after="0" w:line="66"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The Mobile Mini Merger brought together WillScot’s leading modular space capabilities and Mobile Mini’s leading portable storage solutions to create an industry-leading business services provider specializing in innovative flexible work space and portable storage solutions. We benefit from complementary capabilities, a diverse customer base with over 85,000 customers across different end markets, and a geographic footprint of approximately 275 branch locations and additional drop lots.</w:t>
      </w:r>
    </w:p>
    <w:p>
      <w:pPr>
        <w:spacing w:after="0" w:line="33" w:lineRule="exact"/>
        <w:rPr>
          <w:sz w:val="20"/>
          <w:szCs w:val="20"/>
          <w:color w:val="auto"/>
        </w:rPr>
      </w:pPr>
    </w:p>
    <w:p>
      <w:pPr>
        <w:jc w:val="both"/>
        <w:ind w:firstLine="524"/>
        <w:spacing w:after="0" w:line="154" w:lineRule="exact"/>
        <w:rPr>
          <w:sz w:val="20"/>
          <w:szCs w:val="20"/>
          <w:color w:val="auto"/>
        </w:rPr>
      </w:pPr>
      <w:r>
        <w:rPr>
          <w:rFonts w:ascii="Arial" w:cs="Arial" w:eastAsia="Arial" w:hAnsi="Arial"/>
          <w:sz w:val="13"/>
          <w:szCs w:val="13"/>
          <w:color w:val="auto"/>
        </w:rPr>
        <w:t>Our broad and complementary network serves the largest North American metropolitan areas with local teams who are experts in their respective markets. Our cost</w:t>
      </w:r>
      <w:r>
        <w:rPr>
          <w:rFonts w:ascii="MS PGothic" w:cs="MS PGothic" w:eastAsia="MS PGothic" w:hAnsi="MS PGothic"/>
          <w:sz w:val="13"/>
          <w:szCs w:val="13"/>
          <w:color w:val="auto"/>
        </w:rPr>
        <w:t>‑</w:t>
      </w:r>
      <w:r>
        <w:rPr>
          <w:rFonts w:ascii="Arial" w:cs="Arial" w:eastAsia="Arial" w:hAnsi="Arial"/>
          <w:sz w:val="13"/>
          <w:szCs w:val="13"/>
          <w:color w:val="auto"/>
        </w:rPr>
        <w:t>effective coverage model serves smaller customers at the local and regional level, while also addressing the needs of larger national customers looking for a full suite of high-quality services that can be provided on a consistent basis throughout North America. Since geographic proximity to customers is a competitive advantage in the modular space and portable storage industry, we believe that our extensive branch network allows us to better serve existing customers and attract new customers.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28" w:right="319" w:bottom="1440" w:gutter="0" w:footer="0" w:header="0"/>
        </w:sectPr>
      </w:pPr>
    </w:p>
    <w:bookmarkStart w:id="9" w:name="page10"/>
    <w:bookmarkEnd w:id="9"/>
    <w:p>
      <w:pPr>
        <w:jc w:val="both"/>
        <w:ind w:firstLine="524"/>
        <w:spacing w:after="0" w:line="256" w:lineRule="auto"/>
        <w:rPr>
          <w:sz w:val="20"/>
          <w:szCs w:val="20"/>
          <w:color w:val="auto"/>
        </w:rPr>
      </w:pPr>
      <w:r>
        <w:rPr>
          <w:rFonts w:ascii="Arial" w:cs="Arial" w:eastAsia="Arial" w:hAnsi="Arial"/>
          <w:sz w:val="13"/>
          <w:szCs w:val="13"/>
          <w:color w:val="auto"/>
        </w:rPr>
        <w:t>We believe our extensive scale results in significant operational benefits, such as optimization of fleet yield and utilization, efficient capital allocation, superior service capabilities, and the ability to offer consistent "Ready to Work" solutions across all of our branch locations.</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VAPS</w:t>
      </w:r>
    </w:p>
    <w:p>
      <w:pPr>
        <w:spacing w:after="0" w:line="66" w:lineRule="exact"/>
        <w:rPr>
          <w:sz w:val="20"/>
          <w:szCs w:val="20"/>
          <w:color w:val="auto"/>
        </w:rPr>
      </w:pPr>
    </w:p>
    <w:p>
      <w:pPr>
        <w:jc w:val="both"/>
        <w:ind w:firstLine="524"/>
        <w:spacing w:after="0" w:line="154" w:lineRule="exact"/>
        <w:rPr>
          <w:sz w:val="20"/>
          <w:szCs w:val="20"/>
          <w:color w:val="auto"/>
        </w:rPr>
      </w:pPr>
      <w:r>
        <w:rPr>
          <w:rFonts w:ascii="Arial" w:cs="Arial" w:eastAsia="Arial" w:hAnsi="Arial"/>
          <w:sz w:val="13"/>
          <w:szCs w:val="13"/>
          <w:color w:val="auto"/>
        </w:rPr>
        <w:t>We deliver "Ready to Work" solutions through our growing offering of VAPS, such as the rental of steps, ramps, furniture packages, damage waivers, and other amenities. This thoughtfully curated portfolio of VAPS makes modular space and portable storage units more productive, comfortable, and secure for our customers and allows us to generate higher revenue per transaction and return on capital, and differentiates us from our competitors. These turnkey solutions offer customers flexible, low</w:t>
      </w:r>
      <w:r>
        <w:rPr>
          <w:rFonts w:ascii="MS PGothic" w:cs="MS PGothic" w:eastAsia="MS PGothic" w:hAnsi="MS PGothic"/>
          <w:sz w:val="13"/>
          <w:szCs w:val="13"/>
          <w:color w:val="auto"/>
        </w:rPr>
        <w:t>‑</w:t>
      </w:r>
      <w:r>
        <w:rPr>
          <w:rFonts w:ascii="Arial" w:cs="Arial" w:eastAsia="Arial" w:hAnsi="Arial"/>
          <w:sz w:val="13"/>
          <w:szCs w:val="13"/>
          <w:color w:val="auto"/>
        </w:rPr>
        <w:t>cost, capital efficient, and timely solutions to meet their space needs on an outsourced basis.</w:t>
      </w:r>
    </w:p>
    <w:p>
      <w:pPr>
        <w:spacing w:after="0" w:line="40"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VAPS have been a substantial source of revenue growth in our NA Modular segment. We have been able to successfully drive a material increase in customer VAPS spend into our recently acquired businesses, which generates highly tangible revenue synergies. We believe our ability to drive VAPS growth following our historical acquisitions highlights the value proposition our VAPS provide to our customers.</w:t>
      </w:r>
    </w:p>
    <w:p>
      <w:pPr>
        <w:spacing w:after="0" w:line="33"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During 2021, we introduced a similar cross-selling opportunity within ground level offices in the NA Storage segment. We are also introducing an innovative "Ready to Work" storage solution with VAPS such as integral tool racking, storage desks and charging stations, shelving, lighting and locks.</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Sophisticated Logistics and Service Capabilities</w:t>
      </w:r>
    </w:p>
    <w:p>
      <w:pPr>
        <w:spacing w:after="0" w:line="66" w:lineRule="exact"/>
        <w:rPr>
          <w:sz w:val="20"/>
          <w:szCs w:val="20"/>
          <w:color w:val="auto"/>
        </w:rPr>
      </w:pPr>
    </w:p>
    <w:p>
      <w:pPr>
        <w:jc w:val="both"/>
        <w:ind w:firstLine="524"/>
        <w:spacing w:after="0" w:line="248" w:lineRule="auto"/>
        <w:rPr>
          <w:sz w:val="20"/>
          <w:szCs w:val="20"/>
          <w:color w:val="auto"/>
        </w:rPr>
      </w:pPr>
      <w:r>
        <w:rPr>
          <w:rFonts w:ascii="Arial" w:cs="Arial" w:eastAsia="Arial" w:hAnsi="Arial"/>
          <w:sz w:val="13"/>
          <w:szCs w:val="13"/>
          <w:color w:val="auto"/>
        </w:rPr>
        <w:t>Building from the largest branch network in the industry, we operate a sophisticated hybrid in-house and outsourced logistics and service infrastructure that we believe is highly differentiated from our competitors and enhances the value proposition we provide to customers. Precise scheduling of installations and removals, same-day delivery capabilities on certain products, and ability to mobilize large volumes of equipment in any geography serviced by our branch network are all unique capabilities that differentiate WillScot Mobile Mini, particularly among more demanding customer segments. We believe that continuing to further optimize our logistics and service capabilities through the deployment of technology and in-sourcing our services is an opportunity for further cost efficiency and differentiation with our customers.</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Investments in Technology</w:t>
      </w:r>
    </w:p>
    <w:p>
      <w:pPr>
        <w:spacing w:after="0" w:line="55" w:lineRule="exact"/>
        <w:rPr>
          <w:sz w:val="20"/>
          <w:szCs w:val="20"/>
          <w:color w:val="auto"/>
        </w:rPr>
      </w:pPr>
    </w:p>
    <w:p>
      <w:pPr>
        <w:jc w:val="both"/>
        <w:ind w:firstLine="524"/>
        <w:spacing w:after="0" w:line="154" w:lineRule="exact"/>
        <w:rPr>
          <w:sz w:val="20"/>
          <w:szCs w:val="20"/>
          <w:color w:val="auto"/>
        </w:rPr>
      </w:pPr>
      <w:r>
        <w:rPr>
          <w:rFonts w:ascii="Arial" w:cs="Arial" w:eastAsia="Arial" w:hAnsi="Arial"/>
          <w:sz w:val="13"/>
          <w:szCs w:val="13"/>
          <w:color w:val="auto"/>
        </w:rPr>
        <w:t>We believe our technology serves as a primary differentiator relative to our competition and is a key component of our customer value proposition. Initiatives underway to further leverage our state of the art SAP enterprise resource planning platform will result in further operating efficiencies and enhance the overall customer experience. Effective use of real</w:t>
      </w:r>
      <w:r>
        <w:rPr>
          <w:rFonts w:ascii="MS PGothic" w:cs="MS PGothic" w:eastAsia="MS PGothic" w:hAnsi="MS PGothic"/>
          <w:sz w:val="13"/>
          <w:szCs w:val="13"/>
          <w:color w:val="auto"/>
        </w:rPr>
        <w:t>‑</w:t>
      </w:r>
      <w:r>
        <w:rPr>
          <w:rFonts w:ascii="Arial" w:cs="Arial" w:eastAsia="Arial" w:hAnsi="Arial"/>
          <w:sz w:val="13"/>
          <w:szCs w:val="13"/>
          <w:color w:val="auto"/>
        </w:rPr>
        <w:t>time information allows us to monitor and optimize the utilization of our fleet, allocate our fleet to the highest demand markets, optimize pricing, and determine the best allocation of our capital to invest in fleet and branches.</w:t>
      </w:r>
    </w:p>
    <w:p>
      <w:pPr>
        <w:spacing w:after="0" w:line="40"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We are able to dynamically price and approach customer accounts in a strategic and statistically informed manner. We also believe our ability to leverage this data helps us to increase our market share and effectively manage supply and demand dynamics in our fleet in order to maximize cash flow in all phases of the economic cycle, including identifying opportunities where underutilized lease fleet can be sold to generate cash.</w:t>
      </w:r>
    </w:p>
    <w:p>
      <w:pPr>
        <w:spacing w:after="0" w:line="33" w:lineRule="exact"/>
        <w:rPr>
          <w:sz w:val="20"/>
          <w:szCs w:val="20"/>
          <w:color w:val="auto"/>
        </w:rPr>
      </w:pPr>
    </w:p>
    <w:p>
      <w:pPr>
        <w:jc w:val="both"/>
        <w:ind w:firstLine="524"/>
        <w:spacing w:after="0" w:line="154" w:lineRule="exact"/>
        <w:rPr>
          <w:sz w:val="20"/>
          <w:szCs w:val="20"/>
          <w:color w:val="auto"/>
        </w:rPr>
      </w:pPr>
      <w:r>
        <w:rPr>
          <w:rFonts w:ascii="Arial" w:cs="Arial" w:eastAsia="Arial" w:hAnsi="Arial"/>
          <w:sz w:val="13"/>
          <w:szCs w:val="13"/>
          <w:color w:val="auto"/>
        </w:rPr>
        <w:t>Similarly, technology is continuing to develop related to our fleet to offer an enhanced experience for our customers. Unit tracking, customer service portals, and other customer</w:t>
      </w:r>
      <w:r>
        <w:rPr>
          <w:rFonts w:ascii="MS PGothic" w:cs="MS PGothic" w:eastAsia="MS PGothic" w:hAnsi="MS PGothic"/>
          <w:sz w:val="13"/>
          <w:szCs w:val="13"/>
          <w:color w:val="auto"/>
        </w:rPr>
        <w:t>‑</w:t>
      </w:r>
      <w:r>
        <w:rPr>
          <w:rFonts w:ascii="Arial" w:cs="Arial" w:eastAsia="Arial" w:hAnsi="Arial"/>
          <w:sz w:val="13"/>
          <w:szCs w:val="13"/>
          <w:color w:val="auto"/>
        </w:rPr>
        <w:t>facing technological benefits differentiate our offering from competitors who have not invested in these capabilities. We believe we possess superior technology infrastructure relative to our competition and we intend to extend this advantage further by leveraging our infrastructure investments.</w:t>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Diversified Revenue Base by End Market, Product, Service and Geography</w:t>
      </w:r>
    </w:p>
    <w:p>
      <w:pPr>
        <w:spacing w:after="0" w:line="66" w:lineRule="exact"/>
        <w:rPr>
          <w:sz w:val="20"/>
          <w:szCs w:val="20"/>
          <w:color w:val="auto"/>
        </w:rPr>
      </w:pPr>
    </w:p>
    <w:p>
      <w:pPr>
        <w:jc w:val="both"/>
        <w:ind w:firstLine="524"/>
        <w:spacing w:after="0" w:line="154" w:lineRule="exact"/>
        <w:rPr>
          <w:sz w:val="20"/>
          <w:szCs w:val="20"/>
          <w:color w:val="auto"/>
        </w:rPr>
      </w:pPr>
      <w:r>
        <w:rPr>
          <w:rFonts w:ascii="Arial" w:cs="Arial" w:eastAsia="Arial" w:hAnsi="Arial"/>
          <w:sz w:val="13"/>
          <w:szCs w:val="13"/>
          <w:color w:val="auto"/>
        </w:rPr>
        <w:t>We have established strong relationships with a diverse customer base, ranging from large national accounts to small local businesses. Our customers operate in a diversified set of end markets, including commercial and industrial, construction, education, energy and natural resources, government, and other end markets. For the year ended December 31, 2021, the top 50 customers for WillScot Mobile Mini accounted for less than 13% of total revenues. We believe that the diversity of our customer end markets reduces our exposure to changes related to a given customer, shifts within an industry or geographic region, and end market industry seasonality, while also providing significant opportunities to grow our business. Furthermore, the nature of our products is such that their use is generally agnostic to industry. This flexibility insulates utilization from exposure to industry</w:t>
      </w:r>
      <w:r>
        <w:rPr>
          <w:rFonts w:ascii="MS PGothic" w:cs="MS PGothic" w:eastAsia="MS PGothic" w:hAnsi="MS PGothic"/>
          <w:sz w:val="13"/>
          <w:szCs w:val="13"/>
          <w:color w:val="auto"/>
        </w:rPr>
        <w:t>‑</w:t>
      </w:r>
      <w:r>
        <w:rPr>
          <w:rFonts w:ascii="Arial" w:cs="Arial" w:eastAsia="Arial" w:hAnsi="Arial"/>
          <w:sz w:val="13"/>
          <w:szCs w:val="13"/>
          <w:color w:val="auto"/>
        </w:rPr>
        <w:t>specific shocks, provided there are other needs and applications for these products within a reasonable distance. Accordingly, our business has been able to support front</w:t>
      </w:r>
      <w:r>
        <w:rPr>
          <w:rFonts w:ascii="MS PGothic" w:cs="MS PGothic" w:eastAsia="MS PGothic" w:hAnsi="MS PGothic"/>
          <w:sz w:val="13"/>
          <w:szCs w:val="13"/>
          <w:color w:val="auto"/>
        </w:rPr>
        <w:t>‑</w:t>
      </w:r>
      <w:r>
        <w:rPr>
          <w:rFonts w:ascii="Arial" w:cs="Arial" w:eastAsia="Arial" w:hAnsi="Arial"/>
          <w:sz w:val="13"/>
          <w:szCs w:val="13"/>
          <w:color w:val="auto"/>
        </w:rPr>
        <w:t>line workers and other essential businesses during the COVID</w:t>
      </w:r>
      <w:r>
        <w:rPr>
          <w:rFonts w:ascii="MS PGothic" w:cs="MS PGothic" w:eastAsia="MS PGothic" w:hAnsi="MS PGothic"/>
          <w:sz w:val="13"/>
          <w:szCs w:val="13"/>
          <w:color w:val="auto"/>
        </w:rPr>
        <w:t>‑</w:t>
      </w:r>
      <w:r>
        <w:rPr>
          <w:rFonts w:ascii="Arial" w:cs="Arial" w:eastAsia="Arial" w:hAnsi="Arial"/>
          <w:sz w:val="13"/>
          <w:szCs w:val="13"/>
          <w:color w:val="auto"/>
        </w:rPr>
        <w:t>19 crisis by providing temporary testing sites, treatment centers, exam rooms, hospital swing space, temperature screening checkpoints, office space to support social distancing, and storage for related supplies.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28" w:right="319" w:bottom="1440" w:gutter="0" w:footer="0" w:header="0"/>
        </w:sectPr>
      </w:pPr>
    </w:p>
    <w:bookmarkStart w:id="10" w:name="page11"/>
    <w:bookmarkEnd w:id="10"/>
    <w:p>
      <w:pPr>
        <w:jc w:val="both"/>
        <w:ind w:firstLine="524"/>
        <w:spacing w:after="0" w:line="251" w:lineRule="auto"/>
        <w:rPr>
          <w:sz w:val="20"/>
          <w:szCs w:val="20"/>
          <w:color w:val="auto"/>
        </w:rPr>
      </w:pPr>
      <w:r>
        <w:rPr>
          <w:rFonts w:ascii="Arial" w:cs="Arial" w:eastAsia="Arial" w:hAnsi="Arial"/>
          <w:sz w:val="13"/>
          <w:szCs w:val="13"/>
          <w:color w:val="auto"/>
        </w:rPr>
        <w:t>The following chart illustrates the breakdown of our customers and revenue by end markets as of December 31, 2021. In order to optimize the use of fleet assets across our branch network, we centrally manage fleet rebalancing across our end markets. This allows us to serve 15 distinct end markets in which no customer accounted for more than 2% of revenue for the year ended December 31, 2021.</w:t>
      </w:r>
    </w:p>
    <w:p>
      <w:pPr>
        <w:spacing w:after="0" w:line="37" w:lineRule="exact"/>
        <w:rPr>
          <w:sz w:val="20"/>
          <w:szCs w:val="20"/>
          <w:color w:val="auto"/>
        </w:rPr>
      </w:pPr>
    </w:p>
    <w:p>
      <w:pPr>
        <w:ind w:left="2280"/>
        <w:spacing w:after="0"/>
        <w:tabs>
          <w:tab w:leader="none" w:pos="7840" w:val="left"/>
        </w:tabs>
        <w:rPr>
          <w:sz w:val="20"/>
          <w:szCs w:val="20"/>
          <w:color w:val="auto"/>
        </w:rPr>
      </w:pPr>
      <w:r>
        <w:rPr>
          <w:rFonts w:ascii="Arial" w:cs="Arial" w:eastAsia="Arial" w:hAnsi="Arial"/>
          <w:sz w:val="17"/>
          <w:szCs w:val="17"/>
          <w:b w:val="1"/>
          <w:bCs w:val="1"/>
          <w:color w:val="auto"/>
        </w:rPr>
        <w:t>REVENUE MIX BY END MARKET</w:t>
      </w:r>
      <w:r>
        <w:rPr>
          <w:sz w:val="20"/>
          <w:szCs w:val="20"/>
          <w:color w:val="auto"/>
        </w:rPr>
        <w:tab/>
      </w:r>
      <w:r>
        <w:rPr>
          <w:rFonts w:ascii="Arial" w:cs="Arial" w:eastAsia="Arial" w:hAnsi="Arial"/>
          <w:sz w:val="17"/>
          <w:szCs w:val="17"/>
          <w:b w:val="1"/>
          <w:bCs w:val="1"/>
          <w:color w:val="auto"/>
        </w:rPr>
        <w:t>CUSTOMER CONCENTRATION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4654550" cy="2261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654550" cy="2261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Proven Track Record Realizing Acquisition Synergies and Deploying Best Practices</w:t>
      </w:r>
    </w:p>
    <w:p>
      <w:pPr>
        <w:spacing w:after="0" w:line="66" w:lineRule="exact"/>
        <w:rPr>
          <w:sz w:val="20"/>
          <w:szCs w:val="20"/>
          <w:color w:val="auto"/>
        </w:rPr>
      </w:pPr>
    </w:p>
    <w:p>
      <w:pPr>
        <w:jc w:val="both"/>
        <w:ind w:firstLine="524"/>
        <w:spacing w:after="0" w:line="248" w:lineRule="auto"/>
        <w:rPr>
          <w:sz w:val="20"/>
          <w:szCs w:val="20"/>
          <w:color w:val="auto"/>
        </w:rPr>
      </w:pPr>
      <w:r>
        <w:rPr>
          <w:rFonts w:ascii="Arial" w:cs="Arial" w:eastAsia="Arial" w:hAnsi="Arial"/>
          <w:sz w:val="13"/>
          <w:szCs w:val="13"/>
          <w:color w:val="auto"/>
        </w:rPr>
        <w:t>We have a strong track record of integrations generating significant synergies with our acquisitions of Mobile Mini, Modular Space Holdings, Inc. ("ModSpace"), Onsite Space LLC ("Tyson"), and Acton Mobile Holdings LLC ("Acton"). During the year ended December 31, 2021, the Company acquired certain assets and liabilities of seven regional modular space and storage businesses and quickly integrated these assets into our leasing portfolio and branch network. Opportunities such as these allow us to reach new customers, expand our product and service offering, and provide further opportunities for revenue and cost synergies. See “Risk Factors—We may be unable to successfully acquire and integrate new operations, which could cause our business to suffer."</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Asset Base Provides Highly Attractive Asset-Level Returns with Long Useful Lives</w:t>
      </w:r>
    </w:p>
    <w:p>
      <w:pPr>
        <w:spacing w:after="0" w:line="66"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The combination of long, predictable lease durations, long asset lives, and attractive unit economics underpins the compelling cash generation capability in our business model. As such, we have made significant investments in our lease fleet and consolidated several competitors. For the year ended December 31, 2021, our modular space and portable storage lease fleet consisted of over 129 million square feet of relocatable space, comprising over 162,000 office units and over 213,000 steel container units.</w:t>
      </w:r>
    </w:p>
    <w:p>
      <w:pPr>
        <w:spacing w:after="0" w:line="33"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We generate an attractive internal rate of return ("IRR") in our modular space portfolio driven by the long economic life of our fleet, exceeding 20 years on average, inclusive of any capital expenditure ("capex") required to maintain the fleet to its value maximizing earning potential. On average, the IRR for a modular unit, including VAPS, is over 25%.</w:t>
      </w:r>
    </w:p>
    <w:p>
      <w:pPr>
        <w:spacing w:after="0" w:line="31"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Similarly, portable storage containers are able to generate an IRR of approximately 30%. These units require minimal maintenance capex. The stability of cash flows combined with strong economic returns make both modular space and portable storage containers highly attractive specialty rental asset classes, and our logistics and service capabilities and investments in technology further enhance the returns we can generate from these assets.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28" w:right="319" w:bottom="1440" w:gutter="0" w:footer="0" w:header="0"/>
        </w:sectPr>
      </w:pPr>
    </w:p>
    <w:bookmarkStart w:id="11" w:name="page12"/>
    <w:bookmarkEnd w:id="11"/>
    <w:p>
      <w:pPr>
        <w:jc w:val="both"/>
        <w:ind w:firstLine="524"/>
        <w:spacing w:after="0" w:line="256" w:lineRule="auto"/>
        <w:rPr>
          <w:sz w:val="20"/>
          <w:szCs w:val="20"/>
          <w:color w:val="auto"/>
        </w:rPr>
      </w:pPr>
      <w:r>
        <w:rPr>
          <w:rFonts w:ascii="Arial" w:cs="Arial" w:eastAsia="Arial" w:hAnsi="Arial"/>
          <w:sz w:val="13"/>
          <w:szCs w:val="13"/>
          <w:color w:val="auto"/>
        </w:rPr>
        <w:t>The following chart illustrates the breakdown of the net book value ("NBV") of our rental equipment between the various modular space product types, portable storage and VAPS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1503045</wp:posOffset>
            </wp:positionH>
            <wp:positionV relativeFrom="paragraph">
              <wp:posOffset>18415</wp:posOffset>
            </wp:positionV>
            <wp:extent cx="4161790" cy="18726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161790" cy="1872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Business Generates Predictable Recurring Cash Flow Due to Our Long-Term Leases and Flexible Capex Requirements</w:t>
      </w:r>
    </w:p>
    <w:p>
      <w:pPr>
        <w:spacing w:after="0" w:line="66"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Our recurring revenue, combined with our flexible capex requirements and efficient use of working capital has allowed us to generate substantial free cash flow, both in periods of growth and economic downturn. The long term nature of our leases, with average lease durations in excess of 31 months as of December 31, 2021, produces strong operating income and predictable cash flow.</w:t>
      </w:r>
    </w:p>
    <w:p>
      <w:pPr>
        <w:spacing w:after="0" w:line="33" w:lineRule="exact"/>
        <w:rPr>
          <w:sz w:val="20"/>
          <w:szCs w:val="20"/>
          <w:color w:val="auto"/>
        </w:rPr>
      </w:pPr>
    </w:p>
    <w:p>
      <w:pPr>
        <w:jc w:val="both"/>
        <w:ind w:firstLine="524"/>
        <w:spacing w:after="0" w:line="154" w:lineRule="exact"/>
        <w:rPr>
          <w:sz w:val="20"/>
          <w:szCs w:val="20"/>
          <w:color w:val="auto"/>
        </w:rPr>
      </w:pPr>
      <w:r>
        <w:rPr>
          <w:rFonts w:ascii="Arial" w:cs="Arial" w:eastAsia="Arial" w:hAnsi="Arial"/>
          <w:sz w:val="13"/>
          <w:szCs w:val="13"/>
          <w:color w:val="auto"/>
        </w:rPr>
        <w:t>We exercise control and discretion over capex, due to the longevity and relative simplicity of our products, the ability to invest only where needed and when needed to meet demand, and the ability to sell excess fleet during lower utilization periods. During periods of economic stress, we have the ability to substantially reduce capex throughout the portfolio in order to maximize cash flow, resulting in a counter</w:t>
      </w:r>
      <w:r>
        <w:rPr>
          <w:rFonts w:ascii="MS PGothic" w:cs="MS PGothic" w:eastAsia="MS PGothic" w:hAnsi="MS PGothic"/>
          <w:sz w:val="13"/>
          <w:szCs w:val="13"/>
          <w:color w:val="auto"/>
        </w:rPr>
        <w:t>‑</w:t>
      </w:r>
      <w:r>
        <w:rPr>
          <w:rFonts w:ascii="Arial" w:cs="Arial" w:eastAsia="Arial" w:hAnsi="Arial"/>
          <w:sz w:val="13"/>
          <w:szCs w:val="13"/>
          <w:color w:val="auto"/>
        </w:rPr>
        <w:t>cyclical free cash flow profile. See discussion of “COVID</w:t>
      </w:r>
      <w:r>
        <w:rPr>
          <w:rFonts w:ascii="MS PGothic" w:cs="MS PGothic" w:eastAsia="MS PGothic" w:hAnsi="MS PGothic"/>
          <w:sz w:val="13"/>
          <w:szCs w:val="13"/>
          <w:color w:val="auto"/>
        </w:rPr>
        <w:t>‑</w:t>
      </w:r>
      <w:r>
        <w:rPr>
          <w:rFonts w:ascii="Arial" w:cs="Arial" w:eastAsia="Arial" w:hAnsi="Arial"/>
          <w:sz w:val="13"/>
          <w:szCs w:val="13"/>
          <w:color w:val="auto"/>
        </w:rPr>
        <w:t>19 impact on business" within our "Recent Developments" section below.</w:t>
      </w:r>
    </w:p>
    <w:p>
      <w:pPr>
        <w:spacing w:after="0" w:line="327" w:lineRule="exact"/>
        <w:rPr>
          <w:sz w:val="20"/>
          <w:szCs w:val="20"/>
          <w:color w:val="auto"/>
        </w:rPr>
      </w:pPr>
    </w:p>
    <w:p>
      <w:pPr>
        <w:spacing w:after="0"/>
        <w:rPr>
          <w:sz w:val="20"/>
          <w:szCs w:val="20"/>
          <w:color w:val="auto"/>
        </w:rPr>
      </w:pPr>
      <w:r>
        <w:rPr>
          <w:rFonts w:ascii="Arial" w:cs="Arial" w:eastAsia="Arial" w:hAnsi="Arial"/>
          <w:sz w:val="19"/>
          <w:szCs w:val="19"/>
          <w:color w:val="1D2758"/>
        </w:rPr>
        <w:t>Our Industry</w:t>
      </w:r>
    </w:p>
    <w:p>
      <w:pPr>
        <w:spacing w:after="0" w:line="42"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We primarily operate within the modular space, portable storage, and specialty containment markets. Our services also span across a variety of related sectors, including furniture rental, transportation and logistics, facilities rental services, job site services and commercial real estate.</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Modular Space Market</w:t>
      </w:r>
    </w:p>
    <w:p>
      <w:pPr>
        <w:spacing w:after="0" w:line="66"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The modular space market is fragmented. Modular space units are non-residential structures designed to meet federal, provincial, state, and local building codes and, in most cases, are designed to be relocatable. Modular space units are constructed offsite, utilizing manufacturing techniques to prefabricate single or multi-story whole building solutions in deliverable modular sections. Units are typically constructed of steel, wood and conventional building materials and can be permanent or relocatable.</w:t>
      </w:r>
    </w:p>
    <w:p>
      <w:pPr>
        <w:spacing w:after="0" w:line="33"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The modular space market has evolved in recent years as businesses and other potential customers increasingly recognize the value of modular space. The key growth drivers in this market are similar to portable storage and include:</w:t>
      </w:r>
    </w:p>
    <w:p>
      <w:pPr>
        <w:spacing w:after="0" w:line="15" w:lineRule="exact"/>
        <w:rPr>
          <w:sz w:val="20"/>
          <w:szCs w:val="20"/>
          <w:color w:val="auto"/>
        </w:rPr>
      </w:pPr>
    </w:p>
    <w:p>
      <w:pPr>
        <w:ind w:left="540"/>
        <w:spacing w:after="0" w:line="280" w:lineRule="auto"/>
        <w:rPr>
          <w:sz w:val="20"/>
          <w:szCs w:val="20"/>
          <w:color w:val="auto"/>
        </w:rPr>
      </w:pPr>
      <w:r>
        <w:rPr>
          <w:rFonts w:ascii="Arial" w:cs="Arial" w:eastAsia="Arial" w:hAnsi="Arial"/>
          <w:sz w:val="13"/>
          <w:szCs w:val="13"/>
          <w:b w:val="1"/>
          <w:bCs w:val="1"/>
          <w:i w:val="1"/>
          <w:iCs w:val="1"/>
          <w:color w:val="auto"/>
        </w:rPr>
        <w:t xml:space="preserve">Growing need and demand for space: </w:t>
      </w:r>
      <w:r>
        <w:rPr>
          <w:rFonts w:ascii="Arial" w:cs="Arial" w:eastAsia="Arial" w:hAnsi="Arial"/>
          <w:sz w:val="13"/>
          <w:szCs w:val="13"/>
          <w:color w:val="auto"/>
        </w:rPr>
        <w:t>driven by general economic activity, including gross domestic product growth, industrial production, mining and natural resources activity, non-residential construction, urbanization, public and education spending, and the scale and frequency of special events.</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3"/>
          <w:szCs w:val="13"/>
          <w:b w:val="1"/>
          <w:bCs w:val="1"/>
          <w:i w:val="1"/>
          <w:iCs w:val="1"/>
          <w:color w:val="auto"/>
        </w:rPr>
        <w:t xml:space="preserve">Shift from traditional fixed, on-site built space to modular space solutions: </w:t>
      </w:r>
      <w:r>
        <w:rPr>
          <w:rFonts w:ascii="Arial" w:cs="Arial" w:eastAsia="Arial" w:hAnsi="Arial"/>
          <w:sz w:val="13"/>
          <w:szCs w:val="13"/>
          <w:color w:val="auto"/>
        </w:rPr>
        <w:t>driven by several advantages as compared with fixed, on-site built space, including:</w:t>
      </w:r>
    </w:p>
    <w:p>
      <w:pPr>
        <w:spacing w:after="0" w:line="47" w:lineRule="exact"/>
        <w:rPr>
          <w:sz w:val="20"/>
          <w:szCs w:val="20"/>
          <w:color w:val="auto"/>
        </w:rPr>
      </w:pPr>
    </w:p>
    <w:p>
      <w:pPr>
        <w:ind w:left="800" w:hanging="268"/>
        <w:spacing w:after="0" w:line="261" w:lineRule="auto"/>
        <w:tabs>
          <w:tab w:leader="none" w:pos="791" w:val="left"/>
        </w:tabs>
        <w:numPr>
          <w:ilvl w:val="0"/>
          <w:numId w:val="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Quick to install: </w:t>
      </w:r>
      <w:r>
        <w:rPr>
          <w:rFonts w:ascii="Arial" w:cs="Arial" w:eastAsia="Arial" w:hAnsi="Arial"/>
          <w:sz w:val="13"/>
          <w:szCs w:val="13"/>
          <w:color w:val="auto"/>
        </w:rPr>
        <w:t>the pre-fabrication of modular space units allows them to be put in place rapidly, providing potential long-term solutions to needs that may have materialized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quickly.</w:t>
      </w:r>
    </w:p>
    <w:p>
      <w:pPr>
        <w:spacing w:after="0" w:line="186" w:lineRule="exact"/>
        <w:rPr>
          <w:rFonts w:ascii="Arial" w:cs="Arial" w:eastAsia="Arial" w:hAnsi="Arial"/>
          <w:sz w:val="13"/>
          <w:szCs w:val="13"/>
          <w:color w:val="auto"/>
        </w:rPr>
      </w:pPr>
    </w:p>
    <w:p>
      <w:pPr>
        <w:ind w:left="800" w:hanging="268"/>
        <w:spacing w:after="0" w:line="261" w:lineRule="auto"/>
        <w:tabs>
          <w:tab w:leader="none" w:pos="791" w:val="left"/>
        </w:tabs>
        <w:numPr>
          <w:ilvl w:val="0"/>
          <w:numId w:val="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Flexibility: </w:t>
      </w:r>
      <w:r>
        <w:rPr>
          <w:rFonts w:ascii="Arial" w:cs="Arial" w:eastAsia="Arial" w:hAnsi="Arial"/>
          <w:sz w:val="13"/>
          <w:szCs w:val="13"/>
          <w:color w:val="auto"/>
        </w:rPr>
        <w:t>flexible assembly design allows modular space units to be built to suit a customer’s needs while offering customers the ability to adjust their space as their needs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change.</w:t>
      </w:r>
    </w:p>
    <w:p>
      <w:pPr>
        <w:spacing w:after="0" w:line="186" w:lineRule="exact"/>
        <w:rPr>
          <w:rFonts w:ascii="Arial" w:cs="Arial" w:eastAsia="Arial" w:hAnsi="Arial"/>
          <w:sz w:val="13"/>
          <w:szCs w:val="13"/>
          <w:color w:val="auto"/>
        </w:rPr>
      </w:pPr>
    </w:p>
    <w:p>
      <w:pPr>
        <w:ind w:left="800" w:hanging="268"/>
        <w:spacing w:after="0" w:line="282" w:lineRule="auto"/>
        <w:tabs>
          <w:tab w:leader="none" w:pos="791" w:val="left"/>
        </w:tabs>
        <w:numPr>
          <w:ilvl w:val="0"/>
          <w:numId w:val="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Cost effectiveness: </w:t>
      </w:r>
      <w:r>
        <w:rPr>
          <w:rFonts w:ascii="Arial" w:cs="Arial" w:eastAsia="Arial" w:hAnsi="Arial"/>
          <w:sz w:val="13"/>
          <w:szCs w:val="13"/>
          <w:color w:val="auto"/>
        </w:rPr>
        <w:t>modular space units provide a cost-effective solution for temporary and permanent space requirements and allow customers to improve returns on capital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their core business.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28" w:right="319" w:bottom="1440" w:gutter="0" w:footer="0" w:header="0"/>
        </w:sectPr>
      </w:pPr>
    </w:p>
    <w:bookmarkStart w:id="12" w:name="page13"/>
    <w:bookmarkEnd w:id="12"/>
    <w:p>
      <w:pPr>
        <w:ind w:left="780" w:hanging="248"/>
        <w:spacing w:after="0"/>
        <w:tabs>
          <w:tab w:leader="none" w:pos="780" w:val="left"/>
        </w:tabs>
        <w:numPr>
          <w:ilvl w:val="0"/>
          <w:numId w:val="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Quality: </w:t>
      </w:r>
      <w:r>
        <w:rPr>
          <w:rFonts w:ascii="Arial" w:cs="Arial" w:eastAsia="Arial" w:hAnsi="Arial"/>
          <w:sz w:val="13"/>
          <w:szCs w:val="13"/>
          <w:color w:val="auto"/>
        </w:rPr>
        <w:t>the pre-fabrication of modular space units is based on a repeatable process in a controlled environment, resulting in more consistent quality.</w:t>
      </w:r>
    </w:p>
    <w:p>
      <w:pPr>
        <w:spacing w:after="0" w:line="47" w:lineRule="exact"/>
        <w:rPr>
          <w:rFonts w:ascii="Arial" w:cs="Arial" w:eastAsia="Arial" w:hAnsi="Arial"/>
          <w:sz w:val="13"/>
          <w:szCs w:val="13"/>
          <w:color w:val="auto"/>
        </w:rPr>
      </w:pPr>
    </w:p>
    <w:p>
      <w:pPr>
        <w:ind w:left="780" w:hanging="248"/>
        <w:spacing w:after="0"/>
        <w:tabs>
          <w:tab w:leader="none" w:pos="780" w:val="left"/>
        </w:tabs>
        <w:numPr>
          <w:ilvl w:val="0"/>
          <w:numId w:val="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Mobility: </w:t>
      </w:r>
      <w:r>
        <w:rPr>
          <w:rFonts w:ascii="Arial" w:cs="Arial" w:eastAsia="Arial" w:hAnsi="Arial"/>
          <w:sz w:val="13"/>
          <w:szCs w:val="13"/>
          <w:color w:val="auto"/>
        </w:rPr>
        <w:t>modular space units can easily be disassembled, transported to a new location and re-assembled.</w:t>
      </w:r>
    </w:p>
    <w:p>
      <w:pPr>
        <w:spacing w:after="0" w:line="47" w:lineRule="exact"/>
        <w:rPr>
          <w:rFonts w:ascii="Arial" w:cs="Arial" w:eastAsia="Arial" w:hAnsi="Arial"/>
          <w:sz w:val="13"/>
          <w:szCs w:val="13"/>
          <w:color w:val="auto"/>
        </w:rPr>
      </w:pPr>
    </w:p>
    <w:p>
      <w:pPr>
        <w:ind w:left="780" w:hanging="248"/>
        <w:spacing w:after="0"/>
        <w:tabs>
          <w:tab w:leader="none" w:pos="780" w:val="left"/>
        </w:tabs>
        <w:numPr>
          <w:ilvl w:val="0"/>
          <w:numId w:val="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Environmentally friendly: </w:t>
      </w:r>
      <w:r>
        <w:rPr>
          <w:rFonts w:ascii="Arial" w:cs="Arial" w:eastAsia="Arial" w:hAnsi="Arial"/>
          <w:sz w:val="13"/>
          <w:szCs w:val="13"/>
          <w:color w:val="auto"/>
        </w:rPr>
        <w:t>relocatable buildings promote the reuse of facilities, on an as-needed basis, by the occupants.</w:t>
      </w:r>
    </w:p>
    <w:p>
      <w:pPr>
        <w:spacing w:after="0" w:line="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Portable Storage Market</w:t>
      </w:r>
    </w:p>
    <w:p>
      <w:pPr>
        <w:spacing w:after="0" w:line="66" w:lineRule="exact"/>
        <w:rPr>
          <w:sz w:val="20"/>
          <w:szCs w:val="20"/>
          <w:color w:val="auto"/>
        </w:rPr>
      </w:pPr>
    </w:p>
    <w:p>
      <w:pPr>
        <w:jc w:val="both"/>
        <w:ind w:firstLine="524"/>
        <w:spacing w:after="0" w:line="154" w:lineRule="exact"/>
        <w:rPr>
          <w:sz w:val="20"/>
          <w:szCs w:val="20"/>
          <w:color w:val="auto"/>
        </w:rPr>
      </w:pPr>
      <w:r>
        <w:rPr>
          <w:rFonts w:ascii="Arial" w:cs="Arial" w:eastAsia="Arial" w:hAnsi="Arial"/>
          <w:sz w:val="13"/>
          <w:szCs w:val="13"/>
          <w:color w:val="auto"/>
        </w:rPr>
        <w:t>The portable storage market, like the modular space market, is highly fragmented and remains primarily local in nature. Portable storage units are typically ground</w:t>
      </w:r>
      <w:r>
        <w:rPr>
          <w:rFonts w:ascii="MS PGothic" w:cs="MS PGothic" w:eastAsia="MS PGothic" w:hAnsi="MS PGothic"/>
          <w:sz w:val="13"/>
          <w:szCs w:val="13"/>
          <w:color w:val="auto"/>
        </w:rPr>
        <w:t>‑</w:t>
      </w:r>
      <w:r>
        <w:rPr>
          <w:rFonts w:ascii="Arial" w:cs="Arial" w:eastAsia="Arial" w:hAnsi="Arial"/>
          <w:sz w:val="13"/>
          <w:szCs w:val="13"/>
          <w:color w:val="auto"/>
        </w:rPr>
        <w:t>level entry, windowless storage containers made of heavy exterior metals for secure storage and water tightness. Portable storage units can be built to specification or can be remanufactured from existing storage products, such as ISO shipping containers. Remanufacturing typically involves cleaning, removing rust and dents, repairing floors and sidewalls, painting, and adding company logos or signs as well as our patented Tri</w:t>
      </w:r>
      <w:r>
        <w:rPr>
          <w:rFonts w:ascii="MS PGothic" w:cs="MS PGothic" w:eastAsia="MS PGothic" w:hAnsi="MS PGothic"/>
          <w:sz w:val="13"/>
          <w:szCs w:val="13"/>
          <w:color w:val="auto"/>
        </w:rPr>
        <w:t>‑</w:t>
      </w:r>
      <w:r>
        <w:rPr>
          <w:rFonts w:ascii="Arial" w:cs="Arial" w:eastAsia="Arial" w:hAnsi="Arial"/>
          <w:sz w:val="13"/>
          <w:szCs w:val="13"/>
          <w:color w:val="auto"/>
        </w:rPr>
        <w:t>Cam Locking System®.</w:t>
      </w:r>
    </w:p>
    <w:p>
      <w:pPr>
        <w:spacing w:after="0" w:line="29" w:lineRule="exact"/>
        <w:rPr>
          <w:sz w:val="20"/>
          <w:szCs w:val="20"/>
          <w:color w:val="auto"/>
        </w:rPr>
      </w:pPr>
    </w:p>
    <w:p>
      <w:pPr>
        <w:ind w:left="540"/>
        <w:spacing w:after="0"/>
        <w:rPr>
          <w:sz w:val="20"/>
          <w:szCs w:val="20"/>
          <w:color w:val="auto"/>
        </w:rPr>
      </w:pPr>
      <w:r>
        <w:rPr>
          <w:rFonts w:ascii="Arial" w:cs="Arial" w:eastAsia="Arial" w:hAnsi="Arial"/>
          <w:sz w:val="13"/>
          <w:szCs w:val="13"/>
          <w:color w:val="auto"/>
        </w:rPr>
        <w:t>Portable storage units continue to find new applications as business needs change and develop. Demand for portable storage is driven by a number of factors, including:</w:t>
      </w:r>
    </w:p>
    <w:p>
      <w:pPr>
        <w:spacing w:after="0" w:line="31" w:lineRule="exact"/>
        <w:rPr>
          <w:sz w:val="20"/>
          <w:szCs w:val="20"/>
          <w:color w:val="auto"/>
        </w:rPr>
      </w:pPr>
    </w:p>
    <w:p>
      <w:pPr>
        <w:ind w:left="540" w:hanging="270"/>
        <w:spacing w:after="0" w:line="163" w:lineRule="exact"/>
        <w:tabs>
          <w:tab w:leader="none" w:pos="531" w:val="left"/>
        </w:tabs>
        <w:numPr>
          <w:ilvl w:val="0"/>
          <w:numId w:val="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Versatility: </w:t>
      </w:r>
      <w:r>
        <w:rPr>
          <w:rFonts w:ascii="Arial" w:cs="Arial" w:eastAsia="Arial" w:hAnsi="Arial"/>
          <w:sz w:val="13"/>
          <w:szCs w:val="13"/>
          <w:color w:val="auto"/>
        </w:rPr>
        <w:t>portable storage units can be easily customized to suit customer specifications. While standard applications include locking double</w:t>
      </w:r>
      <w:r>
        <w:rPr>
          <w:rFonts w:ascii="MS PGothic" w:cs="MS PGothic" w:eastAsia="MS PGothic" w:hAnsi="MS PGothic"/>
          <w:sz w:val="13"/>
          <w:szCs w:val="13"/>
          <w:color w:val="auto"/>
        </w:rPr>
        <w:t>‑</w:t>
      </w:r>
      <w:r>
        <w:rPr>
          <w:rFonts w:ascii="Arial" w:cs="Arial" w:eastAsia="Arial" w:hAnsi="Arial"/>
          <w:sz w:val="13"/>
          <w:szCs w:val="13"/>
          <w:color w:val="auto"/>
        </w:rPr>
        <w:t>door systems to facilitate loading.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However, custom entrances, such as rolling or sliding doors, can be added for personnel access.</w:t>
      </w:r>
    </w:p>
    <w:p>
      <w:pPr>
        <w:spacing w:after="0" w:line="24" w:lineRule="exact"/>
        <w:rPr>
          <w:rFonts w:ascii="Arial" w:cs="Arial" w:eastAsia="Arial" w:hAnsi="Arial"/>
          <w:sz w:val="13"/>
          <w:szCs w:val="13"/>
          <w:color w:val="auto"/>
        </w:rPr>
      </w:pPr>
    </w:p>
    <w:p>
      <w:pPr>
        <w:ind w:left="520" w:hanging="250"/>
        <w:spacing w:after="0" w:line="150" w:lineRule="exact"/>
        <w:tabs>
          <w:tab w:leader="none" w:pos="520" w:val="left"/>
        </w:tabs>
        <w:numPr>
          <w:ilvl w:val="0"/>
          <w:numId w:val="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Affordability: </w:t>
      </w:r>
      <w:r>
        <w:rPr>
          <w:rFonts w:ascii="Arial" w:cs="Arial" w:eastAsia="Arial" w:hAnsi="Arial"/>
          <w:sz w:val="13"/>
          <w:szCs w:val="13"/>
          <w:color w:val="auto"/>
        </w:rPr>
        <w:t>portable storage provides customers with a flexible and low</w:t>
      </w:r>
      <w:r>
        <w:rPr>
          <w:rFonts w:ascii="MS PGothic" w:cs="MS PGothic" w:eastAsia="MS PGothic" w:hAnsi="MS PGothic"/>
          <w:sz w:val="13"/>
          <w:szCs w:val="13"/>
          <w:color w:val="auto"/>
        </w:rPr>
        <w:t>‑</w:t>
      </w:r>
      <w:r>
        <w:rPr>
          <w:rFonts w:ascii="Arial" w:cs="Arial" w:eastAsia="Arial" w:hAnsi="Arial"/>
          <w:sz w:val="13"/>
          <w:szCs w:val="13"/>
          <w:color w:val="auto"/>
        </w:rPr>
        <w:t>cost storage alternative to permanent warehouse space and fixed</w:t>
      </w:r>
      <w:r>
        <w:rPr>
          <w:rFonts w:ascii="MS PGothic" w:cs="MS PGothic" w:eastAsia="MS PGothic" w:hAnsi="MS PGothic"/>
          <w:sz w:val="13"/>
          <w:szCs w:val="13"/>
          <w:color w:val="auto"/>
        </w:rPr>
        <w:t>‑</w:t>
      </w:r>
      <w:r>
        <w:rPr>
          <w:rFonts w:ascii="Arial" w:cs="Arial" w:eastAsia="Arial" w:hAnsi="Arial"/>
          <w:sz w:val="13"/>
          <w:szCs w:val="13"/>
          <w:color w:val="auto"/>
        </w:rPr>
        <w:t>site self</w:t>
      </w:r>
      <w:r>
        <w:rPr>
          <w:rFonts w:ascii="MS PGothic" w:cs="MS PGothic" w:eastAsia="MS PGothic" w:hAnsi="MS PGothic"/>
          <w:sz w:val="13"/>
          <w:szCs w:val="13"/>
          <w:color w:val="auto"/>
        </w:rPr>
        <w:t>‑</w:t>
      </w:r>
      <w:r>
        <w:rPr>
          <w:rFonts w:ascii="Arial" w:cs="Arial" w:eastAsia="Arial" w:hAnsi="Arial"/>
          <w:sz w:val="13"/>
          <w:szCs w:val="13"/>
          <w:color w:val="auto"/>
        </w:rPr>
        <w:t>storage.</w:t>
      </w:r>
    </w:p>
    <w:p>
      <w:pPr>
        <w:spacing w:after="0" w:line="47" w:lineRule="exact"/>
        <w:rPr>
          <w:rFonts w:ascii="Arial" w:cs="Arial" w:eastAsia="Arial" w:hAnsi="Arial"/>
          <w:sz w:val="13"/>
          <w:szCs w:val="13"/>
          <w:color w:val="auto"/>
        </w:rPr>
      </w:pPr>
    </w:p>
    <w:p>
      <w:pPr>
        <w:ind w:left="540" w:hanging="270"/>
        <w:spacing w:after="0" w:line="163" w:lineRule="exact"/>
        <w:tabs>
          <w:tab w:leader="none" w:pos="531" w:val="left"/>
        </w:tabs>
        <w:numPr>
          <w:ilvl w:val="0"/>
          <w:numId w:val="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Safety: </w:t>
      </w:r>
      <w:r>
        <w:rPr>
          <w:rFonts w:ascii="Arial" w:cs="Arial" w:eastAsia="Arial" w:hAnsi="Arial"/>
          <w:sz w:val="13"/>
          <w:szCs w:val="13"/>
          <w:color w:val="auto"/>
        </w:rPr>
        <w:t>units can be easily outfitted with fire and water</w:t>
      </w:r>
      <w:r>
        <w:rPr>
          <w:rFonts w:ascii="MS PGothic" w:cs="MS PGothic" w:eastAsia="MS PGothic" w:hAnsi="MS PGothic"/>
          <w:sz w:val="13"/>
          <w:szCs w:val="13"/>
          <w:color w:val="auto"/>
        </w:rPr>
        <w:t>‑</w:t>
      </w:r>
      <w:r>
        <w:rPr>
          <w:rFonts w:ascii="Arial" w:cs="Arial" w:eastAsia="Arial" w:hAnsi="Arial"/>
          <w:sz w:val="13"/>
          <w:szCs w:val="13"/>
          <w:color w:val="auto"/>
        </w:rPr>
        <w:t>resistant surfaces and materials. ISO containers are often wind and leak</w:t>
      </w:r>
      <w:r>
        <w:rPr>
          <w:rFonts w:ascii="MS PGothic" w:cs="MS PGothic" w:eastAsia="MS PGothic" w:hAnsi="MS PGothic"/>
          <w:sz w:val="13"/>
          <w:szCs w:val="13"/>
          <w:color w:val="auto"/>
        </w:rPr>
        <w:t>‑</w:t>
      </w:r>
      <w:r>
        <w:rPr>
          <w:rFonts w:ascii="Arial" w:cs="Arial" w:eastAsia="Arial" w:hAnsi="Arial"/>
          <w:sz w:val="13"/>
          <w:szCs w:val="13"/>
          <w:color w:val="auto"/>
        </w:rPr>
        <w:t>proof by virtue of their uses in logistics and shipping.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Nearly all units are made from steel, which is a low</w:t>
      </w:r>
      <w:r>
        <w:rPr>
          <w:rFonts w:ascii="MS PGothic" w:cs="MS PGothic" w:eastAsia="MS PGothic" w:hAnsi="MS PGothic"/>
          <w:sz w:val="13"/>
          <w:szCs w:val="13"/>
          <w:color w:val="auto"/>
        </w:rPr>
        <w:t>‑</w:t>
      </w:r>
      <w:r>
        <w:rPr>
          <w:rFonts w:ascii="Arial" w:cs="Arial" w:eastAsia="Arial" w:hAnsi="Arial"/>
          <w:sz w:val="13"/>
          <w:szCs w:val="13"/>
          <w:color w:val="auto"/>
        </w:rPr>
        <w:t>cost, durable material.</w:t>
      </w:r>
    </w:p>
    <w:p>
      <w:pPr>
        <w:spacing w:after="0" w:line="24" w:lineRule="exact"/>
        <w:rPr>
          <w:rFonts w:ascii="Arial" w:cs="Arial" w:eastAsia="Arial" w:hAnsi="Arial"/>
          <w:sz w:val="13"/>
          <w:szCs w:val="13"/>
          <w:color w:val="auto"/>
        </w:rPr>
      </w:pPr>
    </w:p>
    <w:p>
      <w:pPr>
        <w:ind w:left="540" w:hanging="270"/>
        <w:spacing w:after="0" w:line="163" w:lineRule="exact"/>
        <w:tabs>
          <w:tab w:leader="none" w:pos="531" w:val="left"/>
        </w:tabs>
        <w:numPr>
          <w:ilvl w:val="0"/>
          <w:numId w:val="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Security: </w:t>
      </w:r>
      <w:r>
        <w:rPr>
          <w:rFonts w:ascii="Arial" w:cs="Arial" w:eastAsia="Arial" w:hAnsi="Arial"/>
          <w:sz w:val="13"/>
          <w:szCs w:val="13"/>
          <w:color w:val="auto"/>
        </w:rPr>
        <w:t>a variety of enhanced locking mechanisms are available for portable storage units, including our patented Tri</w:t>
      </w:r>
      <w:r>
        <w:rPr>
          <w:rFonts w:ascii="MS PGothic" w:cs="MS PGothic" w:eastAsia="MS PGothic" w:hAnsi="MS PGothic"/>
          <w:sz w:val="13"/>
          <w:szCs w:val="13"/>
          <w:color w:val="auto"/>
        </w:rPr>
        <w:t>‑</w:t>
      </w:r>
      <w:r>
        <w:rPr>
          <w:rFonts w:ascii="Arial" w:cs="Arial" w:eastAsia="Arial" w:hAnsi="Arial"/>
          <w:sz w:val="13"/>
          <w:szCs w:val="13"/>
          <w:color w:val="auto"/>
        </w:rPr>
        <w:t>Cam Locking System® and ContainerGuardLock®. These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features offer additional protection for high</w:t>
      </w:r>
      <w:r>
        <w:rPr>
          <w:rFonts w:ascii="MS PGothic" w:cs="MS PGothic" w:eastAsia="MS PGothic" w:hAnsi="MS PGothic"/>
          <w:sz w:val="13"/>
          <w:szCs w:val="13"/>
          <w:color w:val="auto"/>
        </w:rPr>
        <w:t>‑</w:t>
      </w:r>
      <w:r>
        <w:rPr>
          <w:rFonts w:ascii="Arial" w:cs="Arial" w:eastAsia="Arial" w:hAnsi="Arial"/>
          <w:sz w:val="13"/>
          <w:szCs w:val="13"/>
          <w:color w:val="auto"/>
        </w:rPr>
        <w:t>value goods and inventory.</w:t>
      </w:r>
    </w:p>
    <w:p>
      <w:pPr>
        <w:spacing w:after="0" w:line="24" w:lineRule="exact"/>
        <w:rPr>
          <w:rFonts w:ascii="Arial" w:cs="Arial" w:eastAsia="Arial" w:hAnsi="Arial"/>
          <w:sz w:val="13"/>
          <w:szCs w:val="13"/>
          <w:color w:val="auto"/>
        </w:rPr>
      </w:pPr>
    </w:p>
    <w:p>
      <w:pPr>
        <w:ind w:left="520" w:hanging="250"/>
        <w:spacing w:after="0" w:line="150" w:lineRule="exact"/>
        <w:tabs>
          <w:tab w:leader="none" w:pos="520" w:val="left"/>
        </w:tabs>
        <w:numPr>
          <w:ilvl w:val="0"/>
          <w:numId w:val="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Convenience: </w:t>
      </w:r>
      <w:r>
        <w:rPr>
          <w:rFonts w:ascii="Arial" w:cs="Arial" w:eastAsia="Arial" w:hAnsi="Arial"/>
          <w:sz w:val="13"/>
          <w:szCs w:val="13"/>
          <w:color w:val="auto"/>
        </w:rPr>
        <w:t>portable storage units provide immediate ground</w:t>
      </w:r>
      <w:r>
        <w:rPr>
          <w:rFonts w:ascii="MS PGothic" w:cs="MS PGothic" w:eastAsia="MS PGothic" w:hAnsi="MS PGothic"/>
          <w:sz w:val="13"/>
          <w:szCs w:val="13"/>
          <w:color w:val="auto"/>
        </w:rPr>
        <w:t>‑</w:t>
      </w:r>
      <w:r>
        <w:rPr>
          <w:rFonts w:ascii="Arial" w:cs="Arial" w:eastAsia="Arial" w:hAnsi="Arial"/>
          <w:sz w:val="13"/>
          <w:szCs w:val="13"/>
          <w:color w:val="auto"/>
        </w:rPr>
        <w:t>level access for consumers and can be easily transported in large quantities via truck, rail, or cargo ship.</w:t>
      </w:r>
    </w:p>
    <w:p>
      <w:pPr>
        <w:spacing w:after="0" w:line="47" w:lineRule="exact"/>
        <w:rPr>
          <w:rFonts w:ascii="Arial" w:cs="Arial" w:eastAsia="Arial" w:hAnsi="Arial"/>
          <w:sz w:val="13"/>
          <w:szCs w:val="13"/>
          <w:color w:val="auto"/>
        </w:rPr>
      </w:pPr>
    </w:p>
    <w:p>
      <w:pPr>
        <w:ind w:left="520" w:hanging="250"/>
        <w:spacing w:after="0"/>
        <w:tabs>
          <w:tab w:leader="none" w:pos="520" w:val="left"/>
        </w:tabs>
        <w:numPr>
          <w:ilvl w:val="0"/>
          <w:numId w:val="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Aesthetics: </w:t>
      </w:r>
      <w:r>
        <w:rPr>
          <w:rFonts w:ascii="Arial" w:cs="Arial" w:eastAsia="Arial" w:hAnsi="Arial"/>
          <w:sz w:val="13"/>
          <w:szCs w:val="13"/>
          <w:color w:val="auto"/>
        </w:rPr>
        <w:t>portable storage units can be easily painted and decorated with company colors and logos and are less conspicuous than other portable storage alternatives.</w:t>
      </w:r>
    </w:p>
    <w:p>
      <w:pPr>
        <w:spacing w:after="0" w:line="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Specialty Containment Market</w:t>
      </w:r>
    </w:p>
    <w:p>
      <w:pPr>
        <w:spacing w:after="0" w:line="66" w:lineRule="exact"/>
        <w:rPr>
          <w:sz w:val="20"/>
          <w:szCs w:val="20"/>
          <w:color w:val="auto"/>
        </w:rPr>
      </w:pPr>
    </w:p>
    <w:p>
      <w:pPr>
        <w:jc w:val="both"/>
        <w:ind w:firstLine="524"/>
        <w:spacing w:after="0" w:line="154" w:lineRule="exact"/>
        <w:rPr>
          <w:sz w:val="20"/>
          <w:szCs w:val="20"/>
          <w:color w:val="auto"/>
        </w:rPr>
      </w:pPr>
      <w:r>
        <w:rPr>
          <w:rFonts w:ascii="Arial" w:cs="Arial" w:eastAsia="Arial" w:hAnsi="Arial"/>
          <w:sz w:val="13"/>
          <w:szCs w:val="13"/>
          <w:color w:val="auto"/>
        </w:rPr>
        <w:t>This market is served by our Tank and Pump Solutions business. In the specialty containment sector, we service different markets: the industrial market, comprised mainly of chemical facilities and refineries, also known as the “downstream” market and, to a lesser extent, companies engaged in the exploration and production of oil and natural gas, or the “upstream” market. Additionally, we serve a diversified group of customers engaged in projects in the construction, pipeline, and mining markets. Downstream customers utilize tank and pump equipment and services to manage and remove liquid and solid waste generated by ongoing operating activities as well as turn</w:t>
      </w:r>
      <w:r>
        <w:rPr>
          <w:rFonts w:ascii="MS PGothic" w:cs="MS PGothic" w:eastAsia="MS PGothic" w:hAnsi="MS PGothic"/>
          <w:sz w:val="13"/>
          <w:szCs w:val="13"/>
          <w:color w:val="auto"/>
        </w:rPr>
        <w:t>‑</w:t>
      </w:r>
      <w:r>
        <w:rPr>
          <w:rFonts w:ascii="Arial" w:cs="Arial" w:eastAsia="Arial" w:hAnsi="Arial"/>
          <w:sz w:val="13"/>
          <w:szCs w:val="13"/>
          <w:color w:val="auto"/>
        </w:rPr>
        <w:t>around projects and large</w:t>
      </w:r>
      <w:r>
        <w:rPr>
          <w:rFonts w:ascii="MS PGothic" w:cs="MS PGothic" w:eastAsia="MS PGothic" w:hAnsi="MS PGothic"/>
          <w:sz w:val="13"/>
          <w:szCs w:val="13"/>
          <w:color w:val="auto"/>
        </w:rPr>
        <w:t>‑</w:t>
      </w:r>
      <w:r>
        <w:rPr>
          <w:rFonts w:ascii="Arial" w:cs="Arial" w:eastAsia="Arial" w:hAnsi="Arial"/>
          <w:sz w:val="13"/>
          <w:szCs w:val="13"/>
          <w:color w:val="auto"/>
        </w:rPr>
        <w:t>scale expansion projects. Upstream customers, who we estimate represent approximately 2% of tank and pump revenues for the year ended December 31, 2021, tend to rent steel tanks to store and transport water and propellant used in well hydraulic fracturing. Other customers utilize a wide variety of our products differentiated by the type of project in which they are engaged.</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Related Markets</w:t>
      </w:r>
    </w:p>
    <w:p>
      <w:pPr>
        <w:spacing w:after="0" w:line="66" w:lineRule="exact"/>
        <w:rPr>
          <w:sz w:val="20"/>
          <w:szCs w:val="20"/>
          <w:color w:val="auto"/>
        </w:rPr>
      </w:pPr>
    </w:p>
    <w:p>
      <w:pPr>
        <w:jc w:val="both"/>
        <w:ind w:firstLine="524"/>
        <w:spacing w:after="0" w:line="154" w:lineRule="exact"/>
        <w:rPr>
          <w:sz w:val="20"/>
          <w:szCs w:val="20"/>
          <w:color w:val="auto"/>
        </w:rPr>
      </w:pPr>
      <w:r>
        <w:rPr>
          <w:rFonts w:ascii="Arial" w:cs="Arial" w:eastAsia="Arial" w:hAnsi="Arial"/>
          <w:sz w:val="13"/>
          <w:szCs w:val="13"/>
          <w:color w:val="auto"/>
        </w:rPr>
        <w:t>In the normal course of providing our “Ready to Work” solutions, we perform services that are characteristic of activities in other industries. For example, we coordinate a broad network of third-party and in-house transportation and service resources to support the timely movement of our products to, as well as maintenance on, customer sites. Additionally, we design, source, lease, and maintain a broad offering of ancillary products, including furniture, which render our modular units immediately functional in support of our customers’ needs. We have developed networks of third</w:t>
      </w:r>
      <w:r>
        <w:rPr>
          <w:rFonts w:ascii="MS PGothic" w:cs="MS PGothic" w:eastAsia="MS PGothic" w:hAnsi="MS PGothic"/>
          <w:sz w:val="13"/>
          <w:szCs w:val="13"/>
          <w:color w:val="auto"/>
        </w:rPr>
        <w:t>‑</w:t>
      </w:r>
      <w:r>
        <w:rPr>
          <w:rFonts w:ascii="Arial" w:cs="Arial" w:eastAsia="Arial" w:hAnsi="Arial"/>
          <w:sz w:val="13"/>
          <w:szCs w:val="13"/>
          <w:color w:val="auto"/>
        </w:rPr>
        <w:t>party service providers that we coordinate to expand the breadth of capabilities that our customers can source through us. These third</w:t>
      </w:r>
      <w:r>
        <w:rPr>
          <w:rFonts w:ascii="MS PGothic" w:cs="MS PGothic" w:eastAsia="MS PGothic" w:hAnsi="MS PGothic"/>
          <w:sz w:val="13"/>
          <w:szCs w:val="13"/>
          <w:color w:val="auto"/>
        </w:rPr>
        <w:t>‑</w:t>
      </w:r>
      <w:r>
        <w:rPr>
          <w:rFonts w:ascii="Arial" w:cs="Arial" w:eastAsia="Arial" w:hAnsi="Arial"/>
          <w:sz w:val="13"/>
          <w:szCs w:val="13"/>
          <w:color w:val="auto"/>
        </w:rPr>
        <w:t>party</w:t>
      </w:r>
      <w:r>
        <w:rPr>
          <w:rFonts w:ascii="MS PGothic" w:cs="MS PGothic" w:eastAsia="MS PGothic" w:hAnsi="MS PGothic"/>
          <w:sz w:val="13"/>
          <w:szCs w:val="13"/>
          <w:color w:val="auto"/>
        </w:rPr>
        <w:t>‑</w:t>
      </w:r>
      <w:r>
        <w:rPr>
          <w:rFonts w:ascii="Arial" w:cs="Arial" w:eastAsia="Arial" w:hAnsi="Arial"/>
          <w:sz w:val="13"/>
          <w:szCs w:val="13"/>
          <w:color w:val="auto"/>
        </w:rPr>
        <w:t>managed services represent incremental revenue and margin opportunities for us and simplify the number of vendor touchpoints for our customers.</w:t>
      </w:r>
    </w:p>
    <w:p>
      <w:pPr>
        <w:spacing w:after="0" w:line="42"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We also provide technical expertise and oversight for customers regarding building design and permitting, site preparation, and expansion or contraction of installed space based on changes in project requirements. Further, we have the capability to compete in adjacent markets, such as commercial and institutional housing, which have received less focus historically in the modular space market. We believe that this broad service capability differentiates us from other rental and business services providers and clearly differentiates us in the marketplace.</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1D2758"/>
        </w:rPr>
        <w:t>Competition</w:t>
      </w:r>
    </w:p>
    <w:p>
      <w:pPr>
        <w:spacing w:after="0" w:line="42"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Although our competition varies significantly by local market, the modular space and portable storage industry is highly competitive and fragmented as a whole. We believe that participants in our industry compete on the basis of customer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12" w:right="319" w:bottom="1440" w:gutter="0" w:footer="0" w:header="0"/>
        </w:sectPr>
      </w:pPr>
    </w:p>
    <w:bookmarkStart w:id="13" w:name="page14"/>
    <w:bookmarkEnd w:id="13"/>
    <w:p>
      <w:pPr>
        <w:jc w:val="both"/>
        <w:spacing w:after="0" w:line="256" w:lineRule="auto"/>
        <w:rPr>
          <w:sz w:val="20"/>
          <w:szCs w:val="20"/>
          <w:color w:val="auto"/>
        </w:rPr>
      </w:pPr>
      <w:r>
        <w:rPr>
          <w:rFonts w:ascii="Arial" w:cs="Arial" w:eastAsia="Arial" w:hAnsi="Arial"/>
          <w:sz w:val="13"/>
          <w:szCs w:val="13"/>
          <w:color w:val="auto"/>
        </w:rPr>
        <w:t>relationships, product quality and availability, delivery speed, VAPS and service capabilities, pricing, and overall ease of doing business. We typically compete with one or more local providers in all of our markets, as well as with a limited number of national and regional companies.</w:t>
      </w:r>
    </w:p>
    <w:p>
      <w:pPr>
        <w:spacing w:after="0" w:line="31"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Our competitors include lessors of storage units, mobile offices, van trailers, and other structures used for portable storage, as well as traditional commercial office space and conventional fixed self-storage facilities. Some of our competitors may have greater market share in certain geographic regions. Significant modular space and portable storage competitors include McGrath RentCorp, PODS, United Rentals, ATCO Structures &amp; Logistics, BOXX Modular, and 1-800-PACK-RAT in North America, and Wernick Hire and Elliott in the UK. Numerous other regional and local companies compete in individual markets.</w:t>
      </w:r>
    </w:p>
    <w:p>
      <w:pPr>
        <w:spacing w:after="0" w:line="35" w:lineRule="exact"/>
        <w:rPr>
          <w:sz w:val="20"/>
          <w:szCs w:val="20"/>
          <w:color w:val="auto"/>
        </w:rPr>
      </w:pPr>
    </w:p>
    <w:p>
      <w:pPr>
        <w:jc w:val="both"/>
        <w:ind w:firstLine="524"/>
        <w:spacing w:after="0" w:line="154" w:lineRule="exact"/>
        <w:rPr>
          <w:sz w:val="20"/>
          <w:szCs w:val="20"/>
          <w:color w:val="auto"/>
        </w:rPr>
      </w:pPr>
      <w:r>
        <w:rPr>
          <w:rFonts w:ascii="Arial" w:cs="Arial" w:eastAsia="Arial" w:hAnsi="Arial"/>
          <w:sz w:val="13"/>
          <w:szCs w:val="13"/>
          <w:color w:val="auto"/>
        </w:rPr>
        <w:t>Our Tank and Pump Solutions business offers liquid and solid containment products. The liquid and solid containment industry is also highly fragmented, consisting principally of local providers, with a handful of regional and national providers. We compete based on factors including quality and breadth of equipment, technical applications expertise, knowledgeable and experienced sales and service personnel, on</w:t>
      </w:r>
      <w:r>
        <w:rPr>
          <w:rFonts w:ascii="MS PGothic" w:cs="MS PGothic" w:eastAsia="MS PGothic" w:hAnsi="MS PGothic"/>
          <w:sz w:val="13"/>
          <w:szCs w:val="13"/>
          <w:color w:val="auto"/>
        </w:rPr>
        <w:t>‑</w:t>
      </w:r>
      <w:r>
        <w:rPr>
          <w:rFonts w:ascii="Arial" w:cs="Arial" w:eastAsia="Arial" w:hAnsi="Arial"/>
          <w:sz w:val="13"/>
          <w:szCs w:val="13"/>
          <w:color w:val="auto"/>
        </w:rPr>
        <w:t>time delivery and proactive logistics management, geographic areas serviced, rental rates, and customer service. Our competitors include United Rentals, Rain For Rent, Adler Tanks, Sprint/Republic Services, and numerous other smaller competitors.</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color w:val="1D2758"/>
        </w:rPr>
        <w:t>Our Business and Growth Strategies</w:t>
      </w:r>
    </w:p>
    <w:p>
      <w:pPr>
        <w:spacing w:after="0" w:line="42"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We intend to maintain a leading market position and increase our revenue and profitability by pursuing the following strategies, all of which we have demonstrated in our historical operating performance:</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Expand Penetration of Value-Added Products and Services</w:t>
      </w:r>
    </w:p>
    <w:p>
      <w:pPr>
        <w:spacing w:after="0" w:line="66"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As of December 31, 2021, we estimate that we have an organic revenue growth opportunity of over $150 million as the average VAPS rate of our units on rent in our NA Modular segment converges over time to the VAPS price and penetration levels achieved on our most recently delivered units. We believe this growth opportunity could be substantially larger if we successfully penetrate more of our modular space orders, and expand our VAPS offering for portable storage units.</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Optimize Rate Across Fleet</w:t>
      </w:r>
    </w:p>
    <w:p>
      <w:pPr>
        <w:spacing w:after="0" w:line="66" w:lineRule="exact"/>
        <w:rPr>
          <w:sz w:val="20"/>
          <w:szCs w:val="20"/>
          <w:color w:val="auto"/>
        </w:rPr>
      </w:pPr>
    </w:p>
    <w:p>
      <w:pPr>
        <w:jc w:val="both"/>
        <w:ind w:firstLine="524"/>
        <w:spacing w:after="0" w:line="248" w:lineRule="auto"/>
        <w:rPr>
          <w:sz w:val="20"/>
          <w:szCs w:val="20"/>
          <w:color w:val="auto"/>
        </w:rPr>
      </w:pPr>
      <w:r>
        <w:rPr>
          <w:rFonts w:ascii="Arial" w:cs="Arial" w:eastAsia="Arial" w:hAnsi="Arial"/>
          <w:sz w:val="13"/>
          <w:szCs w:val="13"/>
          <w:color w:val="auto"/>
        </w:rPr>
        <w:t>We continue to advance multiple pricing strategies across our fleet to drive revenue growth. Leveraging our expertise developed in NA Modular, we plan to implement dynamic pricing, customer segmentation, and contract standardization in our other segments. Our long history of success, demonstrated by 17 consecutive quarters of double-digit rate growth as of December 31, 2021 in the US within our NA Modular segment, gives us confidence that we can successfully deploy this strategy. The turnover of our fleet, with average lease durations of nearly three years, creates natural and recurring opportunities to capture incremental price increases. As the market leader in our industry, we offer the broadest fleet portfolio, the most differentiated turnkey VAPS, and the most consistent service capabilities across the largest branch network to help our customers be 'Ready to Work'.</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Enhance Market Penetration Between Segments</w:t>
      </w:r>
    </w:p>
    <w:p>
      <w:pPr>
        <w:spacing w:after="0" w:line="66"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The combination of WillScot and Mobile Mini created a leading business services provider specializing in innovative flexible work space and portable storage solutions. At the outset of the Merger, we recognized that there was 80% end-market overlap and 40% customer overlap, a clear strategic opportunity for our complementary product lines. By offering a combined product suite, we simplify our customers' procurement needs and enable productivity from start to finish for projects. We believe cross-selling will also increase utilization and yield of our combined fleet. Our sales force is optimally positioned to improve efficiency by leveraging our management information systems and using real-time information to monitor and optimize conversion of customer opportunities across our core segments. In turn, we expect that our broadened and enhanced fleet will attract new customers, increase customer retention, and increase margins and return on invested capital.</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Generate Cash Flow Through Operational Efficiencies, Cost Reductions, and Technology</w:t>
      </w:r>
    </w:p>
    <w:p>
      <w:pPr>
        <w:spacing w:after="0" w:line="66"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We are implementing many initiatives designed to improve operations and increase profitability. We continually assess our branch operating footprint, vendor base, and operating structure to maximize revenue generation while minimizing costs. The Merger provides us with increased scale, numerous operational best practices from both the legacy WillScot and legacy Mobile Mini businesses, and a state-of-the-art SAP ERP platform, all of which we believe will significantly improve our operating efficiency over time. We have a proven track record of efficiently integrating acquisitions and quickly eliminating operational redundancies while maintaining acquired customer relationships.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Deploy Capital to Strategically Support Organic Growth and Optimize Returns</w:t>
      </w:r>
    </w:p>
    <w:p>
      <w:pPr>
        <w:spacing w:after="0" w:line="66"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We maintain a disciplined focus on our return on capital and invest opportunistically across multiple uniquely attractive asset classes, prioritizing our investments to where we see the strongest potential returns. We continually assess both our existing lease fleet and customer demand for opportunities to deploy capital more efficiently. We manage our maintenance capex and growth capex to align with the economic conditions in which we operate. Within our existing lease fleet, we examine the potential cash and earnings generation of an asset sale versus continuing to lease the asset. In addition, we examine the relative benefits of organic expansion opportunities versus expansion through acquisition to obtain a favorable return on capital.</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28" w:right="319" w:bottom="1440" w:gutter="0" w:footer="0" w:header="0"/>
        </w:sectPr>
      </w:pPr>
    </w:p>
    <w:bookmarkStart w:id="14" w:name="page15"/>
    <w:bookmarkEnd w:id="14"/>
    <w:p>
      <w:pPr>
        <w:spacing w:after="0"/>
        <w:rPr>
          <w:sz w:val="20"/>
          <w:szCs w:val="20"/>
          <w:color w:val="auto"/>
        </w:rPr>
      </w:pPr>
      <w:r>
        <w:rPr>
          <w:rFonts w:ascii="Arial" w:cs="Arial" w:eastAsia="Arial" w:hAnsi="Arial"/>
          <w:sz w:val="15"/>
          <w:szCs w:val="15"/>
          <w:b w:val="1"/>
          <w:bCs w:val="1"/>
          <w:color w:val="auto"/>
        </w:rPr>
        <w:t>Leverage Scale and Organic Initiatives with Accretive Acquisitions</w:t>
      </w:r>
    </w:p>
    <w:p>
      <w:pPr>
        <w:spacing w:after="0" w:line="66" w:lineRule="exact"/>
        <w:rPr>
          <w:sz w:val="20"/>
          <w:szCs w:val="20"/>
          <w:color w:val="auto"/>
        </w:rPr>
      </w:pPr>
    </w:p>
    <w:p>
      <w:pPr>
        <w:jc w:val="both"/>
        <w:ind w:firstLine="524"/>
        <w:spacing w:after="0" w:line="248" w:lineRule="auto"/>
        <w:rPr>
          <w:sz w:val="20"/>
          <w:szCs w:val="20"/>
          <w:color w:val="auto"/>
        </w:rPr>
      </w:pPr>
      <w:r>
        <w:rPr>
          <w:rFonts w:ascii="Arial" w:cs="Arial" w:eastAsia="Arial" w:hAnsi="Arial"/>
          <w:sz w:val="13"/>
          <w:szCs w:val="13"/>
          <w:color w:val="auto"/>
        </w:rPr>
        <w:t>Our markets for modular space and portable storage solutions are fragmented. We estimate that approximately 55% of the modular market and approximately 70% of the portable storage market in North America are supplied by regional and local competitors. We have the broadest network of operating branches in North America, as well as a scalable corporate center and information technology systems, which position us to continue to acquire and integrate other companies while expanding the products and services available and offered to acquired customers. During 2021, the Company acquired certain assets and liabilities of several smaller entities, which consisted primarily of 15,700 storage units and 5,800 modular units. We expect to pursue acquisitions opportunistically that will provide further scale efficiencies and allow us to improve returns generated by the acquired assets.</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Use Free Cash Flow to Drive Value Creation</w:t>
      </w:r>
    </w:p>
    <w:p>
      <w:pPr>
        <w:spacing w:after="0" w:line="66"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Our free cash flow generation has accelerated rapidly in recent years, and we expect this trend to continue as we execute our strategy. While we see numerous organic and inorganic opportunities to re-invest in our core businesses, we believe we can generate surplus free cash flow with which we can both reduce leverage and return capital to shareholders over time. We view this as an additional powerful value creation lever, and we are committed to deploying this capital as productively as possible in the interests of our shareholders.</w:t>
      </w:r>
    </w:p>
    <w:p>
      <w:pPr>
        <w:spacing w:after="0" w:line="276" w:lineRule="exact"/>
        <w:rPr>
          <w:sz w:val="20"/>
          <w:szCs w:val="20"/>
          <w:color w:val="auto"/>
        </w:rPr>
      </w:pPr>
    </w:p>
    <w:p>
      <w:pPr>
        <w:spacing w:after="0"/>
        <w:rPr>
          <w:sz w:val="20"/>
          <w:szCs w:val="20"/>
          <w:color w:val="auto"/>
        </w:rPr>
      </w:pPr>
      <w:r>
        <w:rPr>
          <w:rFonts w:ascii="Arial" w:cs="Arial" w:eastAsia="Arial" w:hAnsi="Arial"/>
          <w:sz w:val="19"/>
          <w:szCs w:val="19"/>
          <w:color w:val="1D2758"/>
        </w:rPr>
        <w:t>Human Capital Management</w:t>
      </w:r>
    </w:p>
    <w:p>
      <w:pPr>
        <w:spacing w:after="0" w:line="42"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As of December 31, 2021, we employed approximately 4,700 people worldwide, the majority of which are full time. Of these employees, approximately 4,320 are employed in North America (the US, Canada and Mexico), and approximately 380 are employed in the UK. We have collective bargaining agreements in portions of our Mexico-based operations representing approximately 1% of our worldwide employees. Approximately 87% of employees work in our approximately 275 branch locations and additional drop lots, while 13% of employees serve in various corporate functions. We have not experienced a strike or significant work stoppage, and we consider our relations with the labor unions and employees to be good.</w:t>
      </w:r>
    </w:p>
    <w:p>
      <w:pPr>
        <w:spacing w:after="0" w:line="35"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Our Chief Human Resources Officer ("CHRO") along with other members of our executive leadership team, and with guidance from our board of directors, develops and executes our human capital strategy. This includes attracting, hiring, developing, retaining and engaging talent to deliver our strategy, designing employee compensation and benefits programs, and developing and integrating our inclusion and diversity ("I&amp;D") initiatives.</w:t>
      </w:r>
    </w:p>
    <w:p>
      <w:pPr>
        <w:spacing w:after="0" w:line="33"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Whether at a branch location or onsite with our customers, our people give us a competitive advantage versus our peers and competitors in the industry. That differentiation begins with our values. Our values are lived through our employees, acknowledged by our vendors and aligned to the needs of our customers and communities. Our values provide the basis for our approach to human capital management as well as how we treat our stakeholders.</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Company Values</w:t>
      </w:r>
    </w:p>
    <w:p>
      <w:pPr>
        <w:spacing w:after="0" w:line="94" w:lineRule="exact"/>
        <w:rPr>
          <w:sz w:val="20"/>
          <w:szCs w:val="20"/>
          <w:color w:val="auto"/>
        </w:rPr>
      </w:pPr>
    </w:p>
    <w:p>
      <w:pPr>
        <w:jc w:val="both"/>
        <w:ind w:left="540" w:hanging="270"/>
        <w:spacing w:after="0" w:line="264" w:lineRule="auto"/>
        <w:tabs>
          <w:tab w:leader="none" w:pos="531" w:val="left"/>
        </w:tabs>
        <w:numPr>
          <w:ilvl w:val="0"/>
          <w:numId w:val="9"/>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Dedicated to Health &amp; Safety: </w:t>
      </w:r>
      <w:r>
        <w:rPr>
          <w:rFonts w:ascii="Arial" w:cs="Arial" w:eastAsia="Arial" w:hAnsi="Arial"/>
          <w:sz w:val="13"/>
          <w:szCs w:val="13"/>
          <w:color w:val="auto"/>
        </w:rPr>
        <w:t>We are subject to certain environmental, health and safety regulations as well as other laws and regulations in countries, states or provinces,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localities in which we operate. Our health and safety programs are designed around global standards with appropriate variations addressing the multiple jurisdictions and regulations, specific hazards and unique working environments of our operations. We take responsibility for our own well being and for those around us.</w:t>
      </w:r>
    </w:p>
    <w:p>
      <w:pPr>
        <w:spacing w:after="0" w:line="9" w:lineRule="exact"/>
        <w:rPr>
          <w:rFonts w:ascii="Arial" w:cs="Arial" w:eastAsia="Arial" w:hAnsi="Arial"/>
          <w:sz w:val="13"/>
          <w:szCs w:val="13"/>
          <w:color w:val="auto"/>
        </w:rPr>
      </w:pPr>
    </w:p>
    <w:p>
      <w:pPr>
        <w:jc w:val="both"/>
        <w:ind w:left="540" w:hanging="270"/>
        <w:spacing w:after="0" w:line="264" w:lineRule="auto"/>
        <w:tabs>
          <w:tab w:leader="none" w:pos="531" w:val="left"/>
        </w:tabs>
        <w:numPr>
          <w:ilvl w:val="0"/>
          <w:numId w:val="9"/>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Committed to Inclusion &amp; Diversity: </w:t>
      </w:r>
      <w:r>
        <w:rPr>
          <w:rFonts w:ascii="Arial" w:cs="Arial" w:eastAsia="Arial" w:hAnsi="Arial"/>
          <w:sz w:val="13"/>
          <w:szCs w:val="13"/>
          <w:color w:val="auto"/>
        </w:rPr>
        <w:t>We are stronger together when we celebrate our differences and strive for inclusiveness. We believe that a rich culture of inclusion and diversity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enables us to create, develop and fully leverage the strengths of our workforce to exceed customer expectations and meet our growth objectives. We encourage collaboration and support the diverse voices and thoughts of our employees and communities.</w:t>
      </w:r>
    </w:p>
    <w:p>
      <w:pPr>
        <w:spacing w:after="0" w:line="9" w:lineRule="exact"/>
        <w:rPr>
          <w:rFonts w:ascii="Arial" w:cs="Arial" w:eastAsia="Arial" w:hAnsi="Arial"/>
          <w:sz w:val="13"/>
          <w:szCs w:val="13"/>
          <w:color w:val="auto"/>
        </w:rPr>
      </w:pPr>
    </w:p>
    <w:p>
      <w:pPr>
        <w:ind w:left="540" w:hanging="270"/>
        <w:spacing w:after="0" w:line="280" w:lineRule="auto"/>
        <w:tabs>
          <w:tab w:leader="none" w:pos="531" w:val="left"/>
        </w:tabs>
        <w:numPr>
          <w:ilvl w:val="0"/>
          <w:numId w:val="9"/>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Driven to Excellence: </w:t>
      </w:r>
      <w:r>
        <w:rPr>
          <w:rFonts w:ascii="Arial" w:cs="Arial" w:eastAsia="Arial" w:hAnsi="Arial"/>
          <w:sz w:val="13"/>
          <w:szCs w:val="13"/>
          <w:color w:val="auto"/>
        </w:rPr>
        <w:t>We measure success through our results and achievement of our goals. We continuously improve ourselves and our products and services in pursuit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maximizing shareholder value.</w:t>
      </w:r>
    </w:p>
    <w:p>
      <w:pPr>
        <w:ind w:left="520" w:hanging="250"/>
        <w:spacing w:after="0"/>
        <w:tabs>
          <w:tab w:leader="none" w:pos="520" w:val="left"/>
        </w:tabs>
        <w:numPr>
          <w:ilvl w:val="0"/>
          <w:numId w:val="9"/>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Trustworthy &amp; Reliable: </w:t>
      </w:r>
      <w:r>
        <w:rPr>
          <w:rFonts w:ascii="Arial" w:cs="Arial" w:eastAsia="Arial" w:hAnsi="Arial"/>
          <w:sz w:val="13"/>
          <w:szCs w:val="13"/>
          <w:color w:val="auto"/>
        </w:rPr>
        <w:t>We hold ourselves accountable to do the right thing.</w:t>
      </w:r>
    </w:p>
    <w:p>
      <w:pPr>
        <w:spacing w:after="0" w:line="47" w:lineRule="exact"/>
        <w:rPr>
          <w:rFonts w:ascii="Arial" w:cs="Arial" w:eastAsia="Arial" w:hAnsi="Arial"/>
          <w:sz w:val="13"/>
          <w:szCs w:val="13"/>
          <w:color w:val="auto"/>
        </w:rPr>
      </w:pPr>
    </w:p>
    <w:p>
      <w:pPr>
        <w:ind w:left="520" w:hanging="250"/>
        <w:spacing w:after="0"/>
        <w:tabs>
          <w:tab w:leader="none" w:pos="520" w:val="left"/>
        </w:tabs>
        <w:numPr>
          <w:ilvl w:val="0"/>
          <w:numId w:val="9"/>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Devoted to Our Customers: </w:t>
      </w:r>
      <w:r>
        <w:rPr>
          <w:rFonts w:ascii="Arial" w:cs="Arial" w:eastAsia="Arial" w:hAnsi="Arial"/>
          <w:sz w:val="13"/>
          <w:szCs w:val="13"/>
          <w:color w:val="auto"/>
        </w:rPr>
        <w:t>We anticipate the growing needs of our customers and strive to exceed their expectations and make it easy to do business with us.</w:t>
      </w:r>
    </w:p>
    <w:p>
      <w:pPr>
        <w:spacing w:after="0" w:line="47" w:lineRule="exact"/>
        <w:rPr>
          <w:rFonts w:ascii="Arial" w:cs="Arial" w:eastAsia="Arial" w:hAnsi="Arial"/>
          <w:sz w:val="13"/>
          <w:szCs w:val="13"/>
          <w:color w:val="auto"/>
        </w:rPr>
      </w:pPr>
    </w:p>
    <w:p>
      <w:pPr>
        <w:ind w:left="520" w:hanging="250"/>
        <w:spacing w:after="0"/>
        <w:tabs>
          <w:tab w:leader="none" w:pos="520" w:val="left"/>
        </w:tabs>
        <w:numPr>
          <w:ilvl w:val="0"/>
          <w:numId w:val="9"/>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Community Focused: </w:t>
      </w:r>
      <w:r>
        <w:rPr>
          <w:rFonts w:ascii="Arial" w:cs="Arial" w:eastAsia="Arial" w:hAnsi="Arial"/>
          <w:sz w:val="13"/>
          <w:szCs w:val="13"/>
          <w:color w:val="auto"/>
        </w:rPr>
        <w:t>We actively engage in the communities we serve and deliver sustainable solutions.</w:t>
      </w:r>
    </w:p>
    <w:p>
      <w:pPr>
        <w:spacing w:after="0" w:line="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Elements of Our Human Capital Strategy</w:t>
      </w:r>
    </w:p>
    <w:p>
      <w:pPr>
        <w:spacing w:after="0" w:line="66"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The disruption in the labor force in 2020 continued into 2021. Many of our industry competitors have met these changes with little more than short-term compensation increases. We have taken a more holistic approach designed to meet our employees where they are at any stage within their lives. Our employee value proposition is simple: every day our employees deliver excellent service to our customers, and we are committed to delivering an employee experience that creates opportunity and ensures dignity for every employee.</w:t>
      </w:r>
    </w:p>
    <w:p>
      <w:pPr>
        <w:spacing w:after="0" w:line="33"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Our involuntary turn over remains manageable at 23%, and the average tenure of our drivers remains strong at five years, during a period where demand for drivers is increasingly high. We believe that our strategy with the cornerstones of opportunity and personal dignity gives us an advantage over other companies. Our offerings are designed to benefit employees and their families, and we continue to develop best in class programs and services that are aligned to deliver</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07" w:right="319" w:bottom="1440" w:gutter="0" w:footer="0" w:header="0"/>
        </w:sectPr>
      </w:pPr>
    </w:p>
    <w:bookmarkStart w:id="15" w:name="page16"/>
    <w:bookmarkEnd w:id="15"/>
    <w:p>
      <w:pPr>
        <w:jc w:val="both"/>
        <w:spacing w:after="0" w:line="256" w:lineRule="auto"/>
        <w:rPr>
          <w:sz w:val="20"/>
          <w:szCs w:val="20"/>
          <w:color w:val="auto"/>
        </w:rPr>
      </w:pPr>
      <w:r>
        <w:rPr>
          <w:rFonts w:ascii="Arial" w:cs="Arial" w:eastAsia="Arial" w:hAnsi="Arial"/>
          <w:sz w:val="13"/>
          <w:szCs w:val="13"/>
          <w:color w:val="auto"/>
        </w:rPr>
        <w:t>targeted business outcomes that best fuel our growth trajectory. Through our acquisitions, we believe that we have extended these benefits to a broader employee population while raising the operating standards in our industry. The following highlights a few of our programs.</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Employee Engagement</w:t>
      </w:r>
    </w:p>
    <w:p>
      <w:pPr>
        <w:spacing w:after="0" w:line="63"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We are committed to keeping our employees informed and engaged in Company news and events, while helping them connect to our strategy and values. We share information through a range of channels including direct email and text capabilities, an employee intranet, televisions in our branches and quarterly all-employee town halls. We actively engage with our employees in topics that impact their experiences at work. We work with an outside vendor to administer an annual employee engagement survey along with regular pulse surveys to give our teams an active voice on topics that impact them directly. Their feedback is leveraged to shape policies, processes and other aspects of our workplace.</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Learning and Development</w:t>
      </w:r>
    </w:p>
    <w:p>
      <w:pPr>
        <w:spacing w:after="0" w:line="63"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Human capital development underpins our efforts to execute our strategy and continue to develop our people, products and services. We continually invest in our employees’ career growth and provide all employees with a wide range of personal and professional development experiences, both formal and informal, for all stages of their career journey.</w:t>
      </w:r>
    </w:p>
    <w:p>
      <w:pPr>
        <w:spacing w:after="0" w:line="31" w:lineRule="exact"/>
        <w:rPr>
          <w:sz w:val="20"/>
          <w:szCs w:val="20"/>
          <w:color w:val="auto"/>
        </w:rPr>
      </w:pPr>
    </w:p>
    <w:p>
      <w:pPr>
        <w:jc w:val="both"/>
        <w:ind w:firstLine="524"/>
        <w:spacing w:after="0" w:line="248" w:lineRule="auto"/>
        <w:rPr>
          <w:sz w:val="20"/>
          <w:szCs w:val="20"/>
          <w:color w:val="auto"/>
        </w:rPr>
      </w:pPr>
      <w:r>
        <w:rPr>
          <w:rFonts w:ascii="Arial" w:cs="Arial" w:eastAsia="Arial" w:hAnsi="Arial"/>
          <w:sz w:val="13"/>
          <w:szCs w:val="13"/>
          <w:color w:val="auto"/>
        </w:rPr>
        <w:t>Our formal offerings include tuition reimbursement, a diverse curriculum of over 6,000 learning courses, vocational training, and leadership development experiences. We have organized a proprietary foundational leadership development program, which combines skill building with an opportunity to put skills into practice. Since 2015, over 500 of our team members have participated in this program. In 2019, we partnered with a leading graduate business school to launch a targeted executive education program. And in 2021, we launched our new driver apprentice program to provide development opportunities to employees interested in becoming a Commercial Driver's License ("CDL") Class A driver for the Company. This new program also created internal development opportunity for current employees to become trainers.</w:t>
      </w:r>
    </w:p>
    <w:p>
      <w:pPr>
        <w:spacing w:after="0" w:line="36"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Continual learning and career development is advanced through our in-depth succession planning process where we look across the organization to ensure diversity and inclusion are at the forefront of our human capital management. We then transition into goal planning and development conversations with employees that are supported by our library of personal and professional development courses, customized training engagements and seminars, conferences, and other training events where employees are encouraged to attend in connection with their job duties and developmental goals.</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Inclusion and Diversity</w:t>
      </w:r>
    </w:p>
    <w:p>
      <w:pPr>
        <w:spacing w:after="0" w:line="63"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We encourage and empower the diverse voices and contributions of our stakeholders to drive increased market share and global value. In 2021, we established and held the first meeting of our Inclusion &amp; Diversity Council and launched five Inclusiveness Resource Teams ("IRTs"): Women of WSMM ("WOW"), Black Organization for Leadership &amp; Direction ("BOLD"), Veterans United, Hispanos, and People Respecting that Identity and Sexuality Matters ("PRISM"). IRTs are voluntary, employee-led groups that foster an inclusive and diverse workplace aligned with our values and strategy. These groups were established to support our employees and provide opportunities for exposure, development and contribution to the organization.</w:t>
      </w:r>
    </w:p>
    <w:p>
      <w:pPr>
        <w:spacing w:after="0" w:line="35" w:lineRule="exact"/>
        <w:rPr>
          <w:sz w:val="20"/>
          <w:szCs w:val="20"/>
          <w:color w:val="auto"/>
        </w:rPr>
      </w:pPr>
    </w:p>
    <w:p>
      <w:pPr>
        <w:jc w:val="both"/>
        <w:ind w:firstLine="524"/>
        <w:spacing w:after="0" w:line="248" w:lineRule="auto"/>
        <w:rPr>
          <w:sz w:val="20"/>
          <w:szCs w:val="20"/>
          <w:color w:val="auto"/>
        </w:rPr>
      </w:pPr>
      <w:r>
        <w:rPr>
          <w:rFonts w:ascii="Arial" w:cs="Arial" w:eastAsia="Arial" w:hAnsi="Arial"/>
          <w:sz w:val="13"/>
          <w:szCs w:val="13"/>
          <w:color w:val="auto"/>
        </w:rPr>
        <w:t>The tone for I&amp;D in our Company starts at the top with our executives and is bolstered with support from our board of directors. The Inclusion &amp; Diversity Council is a cross-functional team of leaders, including our CEO, CHRO, and divisional senior vice presidents, that acts as a steering committee to help guide our I&amp;D efforts globally. We expect to achieve the Company’s aspirations by (i) having regular board oversight of the Company’s I&amp;D efforts, and (ii) improving I&amp;D initiatives throughout the complete lifecycle of employee engagement (from recruitment, through development and advancement). We have trained hundreds of leaders in our organization on unconscious bias and provided I&amp;D e-learning opportunities to our employees. Our CEO and CFO have I&amp;D metrics as part of their compensation and performance targets.</w:t>
      </w:r>
    </w:p>
    <w:p>
      <w:pPr>
        <w:spacing w:after="0" w:line="6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Rewards, Health &amp; Well Being</w:t>
      </w:r>
    </w:p>
    <w:p>
      <w:pPr>
        <w:spacing w:after="0" w:line="63"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We crafted our total rewards strategy with a strategic focus on the health and well being of our employees. We do this, in part, by ensuring competitive pay at every level of the organization. We employ human capital consultant data to set and maintain pay ranges and pay levels across the organization. Incentives are designed to reward eligible employees commensurate with Company performance. Depending on the position, incentives may be either individually based (sales commissions), group-based (regional performance bonuses), or Company-based (corporate and executive employees).</w:t>
      </w:r>
    </w:p>
    <w:p>
      <w:pPr>
        <w:spacing w:after="0" w:line="35" w:lineRule="exact"/>
        <w:rPr>
          <w:sz w:val="20"/>
          <w:szCs w:val="20"/>
          <w:color w:val="auto"/>
        </w:rPr>
      </w:pPr>
    </w:p>
    <w:p>
      <w:pPr>
        <w:jc w:val="both"/>
        <w:ind w:firstLine="524"/>
        <w:spacing w:after="0" w:line="254" w:lineRule="auto"/>
        <w:rPr>
          <w:sz w:val="20"/>
          <w:szCs w:val="20"/>
          <w:color w:val="auto"/>
        </w:rPr>
      </w:pPr>
      <w:r>
        <w:rPr>
          <w:rFonts w:ascii="Arial" w:cs="Arial" w:eastAsia="Arial" w:hAnsi="Arial"/>
          <w:sz w:val="13"/>
          <w:szCs w:val="13"/>
          <w:color w:val="auto"/>
        </w:rPr>
        <w:t>Executive compensation is reviewed and analyzed via an independent third-party consultant and approved by the compensation committee of our board of directors. The consultant takes peer group data and general market data into account, when providing pay guidance, to ensure executive pay is both competitive and reasonable, based on the prevailing market standards.</w:t>
      </w:r>
    </w:p>
    <w:p>
      <w:pPr>
        <w:spacing w:after="0" w:line="186" w:lineRule="exact"/>
        <w:rPr>
          <w:sz w:val="20"/>
          <w:szCs w:val="20"/>
          <w:color w:val="auto"/>
        </w:rPr>
      </w:pPr>
    </w:p>
    <w:p>
      <w:pPr>
        <w:jc w:val="both"/>
        <w:ind w:firstLine="524"/>
        <w:spacing w:after="0" w:line="248" w:lineRule="auto"/>
        <w:rPr>
          <w:sz w:val="20"/>
          <w:szCs w:val="20"/>
          <w:color w:val="auto"/>
        </w:rPr>
      </w:pPr>
      <w:r>
        <w:rPr>
          <w:rFonts w:ascii="Arial" w:cs="Arial" w:eastAsia="Arial" w:hAnsi="Arial"/>
          <w:sz w:val="13"/>
          <w:szCs w:val="13"/>
          <w:color w:val="auto"/>
        </w:rPr>
        <w:t>Our approach to our benefits begins with a centralized focus on the employee. We use high deductible healthcare plans to promote positive consumer behaviors and pay approximately 70% of the cost of the employee premiums. We mitigate the burden to the employee from these plans by seeding their health savings accounts (“HSA”) at the beginning of each year, covering between 35% and 50% of employee deductibles. We also provide a biometric screening incentive in the form of an additional HSA contribution. HSA incentives are used to promote behaviors as needed, such as compliance with federal, state and local COVID-19 requirements and guidance. We have an employee assistance program to provide counseling sessions for every employee as they are needed.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28" w:right="319" w:bottom="1440" w:gutter="0" w:footer="0" w:header="0"/>
        </w:sectPr>
      </w:pPr>
    </w:p>
    <w:bookmarkStart w:id="16" w:name="page17"/>
    <w:bookmarkEnd w:id="16"/>
    <w:p>
      <w:pPr>
        <w:jc w:val="both"/>
        <w:ind w:firstLine="524"/>
        <w:spacing w:after="0" w:line="249" w:lineRule="auto"/>
        <w:rPr>
          <w:sz w:val="20"/>
          <w:szCs w:val="20"/>
          <w:color w:val="auto"/>
        </w:rPr>
      </w:pPr>
      <w:r>
        <w:rPr>
          <w:rFonts w:ascii="Arial" w:cs="Arial" w:eastAsia="Arial" w:hAnsi="Arial"/>
          <w:sz w:val="13"/>
          <w:szCs w:val="13"/>
          <w:color w:val="auto"/>
        </w:rPr>
        <w:t>Wellness does not end with physical and mental health. We also offer several ways for our employees to feel prepared financially. Along with our 401(k) matching, we offer several educational services employees can use to strengthen their financial acumen. Additionally, we provide short-term disability pay at 100% of annualized wages for approved cases, and support can last up to 26 weeks. We offer paid parental leave for those employees who expand their families, as well. Regardless of the hurdles our employees face we are prepared to support them through their major life events and times of need.</w:t>
      </w:r>
    </w:p>
    <w:p>
      <w:pPr>
        <w:spacing w:after="0" w:line="24" w:lineRule="exact"/>
        <w:rPr>
          <w:sz w:val="20"/>
          <w:szCs w:val="20"/>
          <w:color w:val="auto"/>
        </w:rPr>
      </w:pPr>
    </w:p>
    <w:p>
      <w:pPr>
        <w:jc w:val="both"/>
        <w:ind w:firstLine="524"/>
        <w:spacing w:after="0" w:line="239" w:lineRule="auto"/>
        <w:rPr>
          <w:sz w:val="20"/>
          <w:szCs w:val="20"/>
          <w:color w:val="auto"/>
        </w:rPr>
      </w:pPr>
      <w:r>
        <w:rPr>
          <w:rFonts w:ascii="Arial" w:cs="Arial" w:eastAsia="Arial" w:hAnsi="Arial"/>
          <w:sz w:val="13"/>
          <w:szCs w:val="13"/>
          <w:color w:val="auto"/>
        </w:rPr>
        <w:t>Our employees are doing their part to support each other as well. The Minions of Kindness Fund is an employee-led 501(c)(3) organization that uses employee donations to support WillScot Mobile Mini employees in times of distress.</w:t>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Approach to Environmental, Social and Governance</w:t>
      </w:r>
    </w:p>
    <w:p>
      <w:pPr>
        <w:spacing w:after="0" w:line="66"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We are committed to upholding high standards when it comes to our environmental, social and governance ("ESG") responsibilities, as well as the safety of our employees and our business partners. The principal products we provide to our customers are long-lived, reusable and relocatable assets that produce minimal waste. For decades, we have committed ourselves to circular economic practices to reuse as many of the assets as possible. Our board of directors, at the direction of its nominating and corporate governance committee, is actively involved in the development of our ESG strategy and approach. Over the next several years, we will focus on numerous goals in the areas of ESG:</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Focus Areas</w:t>
      </w:r>
    </w:p>
    <w:p>
      <w:pPr>
        <w:spacing w:after="0" w:line="68" w:lineRule="exact"/>
        <w:rPr>
          <w:sz w:val="20"/>
          <w:szCs w:val="20"/>
          <w:color w:val="auto"/>
        </w:rPr>
      </w:pPr>
    </w:p>
    <w:p>
      <w:pPr>
        <w:ind w:left="520" w:hanging="250"/>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3"/>
          <w:szCs w:val="13"/>
          <w:b w:val="1"/>
          <w:bCs w:val="1"/>
          <w:color w:val="auto"/>
        </w:rPr>
        <w:t xml:space="preserve">Environmental - </w:t>
      </w:r>
      <w:r>
        <w:rPr>
          <w:rFonts w:ascii="Arial" w:cs="Arial" w:eastAsia="Arial" w:hAnsi="Arial"/>
          <w:sz w:val="13"/>
          <w:szCs w:val="13"/>
          <w:color w:val="auto"/>
        </w:rPr>
        <w:t>Our commitment to environmentally sound business practices includes three key areas of focus:</w:t>
      </w:r>
    </w:p>
    <w:p>
      <w:pPr>
        <w:spacing w:after="0" w:line="13" w:lineRule="exact"/>
        <w:rPr>
          <w:rFonts w:ascii="Arial" w:cs="Arial" w:eastAsia="Arial" w:hAnsi="Arial"/>
          <w:sz w:val="17"/>
          <w:szCs w:val="17"/>
          <w:color w:val="auto"/>
        </w:rPr>
      </w:pPr>
    </w:p>
    <w:p>
      <w:pPr>
        <w:ind w:left="1060" w:hanging="266"/>
        <w:spacing w:after="0" w:line="237" w:lineRule="auto"/>
        <w:tabs>
          <w:tab w:leader="none" w:pos="1060" w:val="left"/>
        </w:tabs>
        <w:numPr>
          <w:ilvl w:val="1"/>
          <w:numId w:val="10"/>
        </w:numPr>
        <w:rPr>
          <w:rFonts w:ascii="Arial" w:cs="Arial" w:eastAsia="Arial" w:hAnsi="Arial"/>
          <w:sz w:val="17"/>
          <w:szCs w:val="17"/>
          <w:color w:val="auto"/>
        </w:rPr>
      </w:pPr>
      <w:r>
        <w:rPr>
          <w:rFonts w:ascii="Arial" w:cs="Arial" w:eastAsia="Arial" w:hAnsi="Arial"/>
          <w:sz w:val="13"/>
          <w:szCs w:val="13"/>
          <w:color w:val="auto"/>
        </w:rPr>
        <w:t>reducing greenhouse gas emissions as part of our operations;</w:t>
      </w:r>
    </w:p>
    <w:p>
      <w:pPr>
        <w:spacing w:after="0" w:line="14" w:lineRule="exact"/>
        <w:rPr>
          <w:rFonts w:ascii="Arial" w:cs="Arial" w:eastAsia="Arial" w:hAnsi="Arial"/>
          <w:sz w:val="17"/>
          <w:szCs w:val="17"/>
          <w:color w:val="auto"/>
        </w:rPr>
      </w:pPr>
    </w:p>
    <w:p>
      <w:pPr>
        <w:ind w:left="1060" w:hanging="266"/>
        <w:spacing w:after="0" w:line="237" w:lineRule="auto"/>
        <w:tabs>
          <w:tab w:leader="none" w:pos="1060" w:val="left"/>
        </w:tabs>
        <w:numPr>
          <w:ilvl w:val="1"/>
          <w:numId w:val="10"/>
        </w:numPr>
        <w:rPr>
          <w:rFonts w:ascii="Arial" w:cs="Arial" w:eastAsia="Arial" w:hAnsi="Arial"/>
          <w:sz w:val="17"/>
          <w:szCs w:val="17"/>
          <w:color w:val="auto"/>
        </w:rPr>
      </w:pPr>
      <w:r>
        <w:rPr>
          <w:rFonts w:ascii="Arial" w:cs="Arial" w:eastAsia="Arial" w:hAnsi="Arial"/>
          <w:sz w:val="13"/>
          <w:szCs w:val="13"/>
          <w:color w:val="auto"/>
        </w:rPr>
        <w:t>reducing the amount of waste we deliver to landfills; and</w:t>
      </w:r>
    </w:p>
    <w:p>
      <w:pPr>
        <w:spacing w:after="0" w:line="14" w:lineRule="exact"/>
        <w:rPr>
          <w:rFonts w:ascii="Arial" w:cs="Arial" w:eastAsia="Arial" w:hAnsi="Arial"/>
          <w:sz w:val="17"/>
          <w:szCs w:val="17"/>
          <w:color w:val="auto"/>
        </w:rPr>
      </w:pPr>
    </w:p>
    <w:p>
      <w:pPr>
        <w:ind w:left="1060" w:hanging="266"/>
        <w:spacing w:after="0" w:line="237" w:lineRule="auto"/>
        <w:tabs>
          <w:tab w:leader="none" w:pos="1060" w:val="left"/>
        </w:tabs>
        <w:numPr>
          <w:ilvl w:val="1"/>
          <w:numId w:val="10"/>
        </w:numPr>
        <w:rPr>
          <w:rFonts w:ascii="Arial" w:cs="Arial" w:eastAsia="Arial" w:hAnsi="Arial"/>
          <w:sz w:val="17"/>
          <w:szCs w:val="17"/>
          <w:color w:val="auto"/>
        </w:rPr>
      </w:pPr>
      <w:r>
        <w:rPr>
          <w:rFonts w:ascii="Arial" w:cs="Arial" w:eastAsia="Arial" w:hAnsi="Arial"/>
          <w:sz w:val="13"/>
          <w:szCs w:val="13"/>
          <w:color w:val="auto"/>
        </w:rPr>
        <w:t>improving the energy efficiency of our products.</w:t>
      </w:r>
    </w:p>
    <w:p>
      <w:pPr>
        <w:spacing w:after="0" w:line="79" w:lineRule="exact"/>
        <w:rPr>
          <w:rFonts w:ascii="Arial" w:cs="Arial" w:eastAsia="Arial" w:hAnsi="Arial"/>
          <w:sz w:val="17"/>
          <w:szCs w:val="17"/>
          <w:color w:val="auto"/>
        </w:rPr>
      </w:pPr>
    </w:p>
    <w:p>
      <w:pPr>
        <w:ind w:left="540" w:hanging="270"/>
        <w:spacing w:after="0" w:line="234" w:lineRule="auto"/>
        <w:tabs>
          <w:tab w:leader="none" w:pos="535" w:val="left"/>
        </w:tabs>
        <w:numPr>
          <w:ilvl w:val="0"/>
          <w:numId w:val="10"/>
        </w:numPr>
        <w:rPr>
          <w:rFonts w:ascii="Arial" w:cs="Arial" w:eastAsia="Arial" w:hAnsi="Arial"/>
          <w:sz w:val="17"/>
          <w:szCs w:val="17"/>
          <w:color w:val="auto"/>
        </w:rPr>
      </w:pPr>
      <w:r>
        <w:rPr>
          <w:rFonts w:ascii="Arial" w:cs="Arial" w:eastAsia="Arial" w:hAnsi="Arial"/>
          <w:sz w:val="13"/>
          <w:szCs w:val="13"/>
          <w:b w:val="1"/>
          <w:bCs w:val="1"/>
          <w:color w:val="auto"/>
        </w:rPr>
        <w:t xml:space="preserve">Social - </w:t>
      </w:r>
      <w:r>
        <w:rPr>
          <w:rFonts w:ascii="Arial" w:cs="Arial" w:eastAsia="Arial" w:hAnsi="Arial"/>
          <w:sz w:val="13"/>
          <w:szCs w:val="13"/>
          <w:color w:val="auto"/>
        </w:rPr>
        <w:t>We are committed to socially responsible business practices throughout our operations. We have focused especially on improving diversity, equity, and inclusion throughout our</w:t>
      </w:r>
      <w:r>
        <w:rPr>
          <w:rFonts w:ascii="Arial" w:cs="Arial" w:eastAsia="Arial" w:hAnsi="Arial"/>
          <w:sz w:val="13"/>
          <w:szCs w:val="13"/>
          <w:b w:val="1"/>
          <w:bCs w:val="1"/>
          <w:color w:val="auto"/>
        </w:rPr>
        <w:t xml:space="preserve"> </w:t>
      </w:r>
      <w:r>
        <w:rPr>
          <w:rFonts w:ascii="Arial" w:cs="Arial" w:eastAsia="Arial" w:hAnsi="Arial"/>
          <w:sz w:val="13"/>
          <w:szCs w:val="13"/>
          <w:color w:val="auto"/>
        </w:rPr>
        <w:t>organization, and on improving the communities in which we work. Our five areas of focus in this regard are to:</w:t>
      </w:r>
    </w:p>
    <w:p>
      <w:pPr>
        <w:spacing w:after="0" w:line="1" w:lineRule="exact"/>
        <w:rPr>
          <w:rFonts w:ascii="Arial" w:cs="Arial" w:eastAsia="Arial" w:hAnsi="Arial"/>
          <w:sz w:val="17"/>
          <w:szCs w:val="17"/>
          <w:color w:val="auto"/>
        </w:rPr>
      </w:pPr>
    </w:p>
    <w:p>
      <w:pPr>
        <w:ind w:left="1060" w:hanging="266"/>
        <w:spacing w:after="0"/>
        <w:tabs>
          <w:tab w:leader="none" w:pos="1060" w:val="left"/>
        </w:tabs>
        <w:numPr>
          <w:ilvl w:val="1"/>
          <w:numId w:val="10"/>
        </w:numPr>
        <w:rPr>
          <w:rFonts w:ascii="Arial" w:cs="Arial" w:eastAsia="Arial" w:hAnsi="Arial"/>
          <w:sz w:val="17"/>
          <w:szCs w:val="17"/>
          <w:color w:val="auto"/>
        </w:rPr>
      </w:pPr>
      <w:r>
        <w:rPr>
          <w:rFonts w:ascii="Arial" w:cs="Arial" w:eastAsia="Arial" w:hAnsi="Arial"/>
          <w:sz w:val="13"/>
          <w:szCs w:val="13"/>
          <w:color w:val="auto"/>
        </w:rPr>
        <w:t>improve inclusion and diversity across the organization (as described above);</w:t>
      </w:r>
    </w:p>
    <w:p>
      <w:pPr>
        <w:spacing w:after="0" w:line="13" w:lineRule="exact"/>
        <w:rPr>
          <w:rFonts w:ascii="Arial" w:cs="Arial" w:eastAsia="Arial" w:hAnsi="Arial"/>
          <w:sz w:val="17"/>
          <w:szCs w:val="17"/>
          <w:color w:val="auto"/>
        </w:rPr>
      </w:pPr>
    </w:p>
    <w:p>
      <w:pPr>
        <w:ind w:left="1060" w:hanging="266"/>
        <w:spacing w:after="0" w:line="237" w:lineRule="auto"/>
        <w:tabs>
          <w:tab w:leader="none" w:pos="1060" w:val="left"/>
        </w:tabs>
        <w:numPr>
          <w:ilvl w:val="1"/>
          <w:numId w:val="10"/>
        </w:numPr>
        <w:rPr>
          <w:rFonts w:ascii="Arial" w:cs="Arial" w:eastAsia="Arial" w:hAnsi="Arial"/>
          <w:sz w:val="17"/>
          <w:szCs w:val="17"/>
          <w:color w:val="auto"/>
        </w:rPr>
      </w:pPr>
      <w:r>
        <w:rPr>
          <w:rFonts w:ascii="Arial" w:cs="Arial" w:eastAsia="Arial" w:hAnsi="Arial"/>
          <w:sz w:val="13"/>
          <w:szCs w:val="13"/>
          <w:color w:val="auto"/>
        </w:rPr>
        <w:t>focus on community partnering across all of our locations;</w:t>
      </w:r>
    </w:p>
    <w:p>
      <w:pPr>
        <w:spacing w:after="0" w:line="14" w:lineRule="exact"/>
        <w:rPr>
          <w:rFonts w:ascii="Arial" w:cs="Arial" w:eastAsia="Arial" w:hAnsi="Arial"/>
          <w:sz w:val="17"/>
          <w:szCs w:val="17"/>
          <w:color w:val="auto"/>
        </w:rPr>
      </w:pPr>
    </w:p>
    <w:p>
      <w:pPr>
        <w:ind w:left="1060" w:hanging="266"/>
        <w:spacing w:after="0" w:line="237" w:lineRule="auto"/>
        <w:tabs>
          <w:tab w:leader="none" w:pos="1060" w:val="left"/>
        </w:tabs>
        <w:numPr>
          <w:ilvl w:val="1"/>
          <w:numId w:val="10"/>
        </w:numPr>
        <w:rPr>
          <w:rFonts w:ascii="Arial" w:cs="Arial" w:eastAsia="Arial" w:hAnsi="Arial"/>
          <w:sz w:val="17"/>
          <w:szCs w:val="17"/>
          <w:color w:val="auto"/>
        </w:rPr>
      </w:pPr>
      <w:r>
        <w:rPr>
          <w:rFonts w:ascii="Arial" w:cs="Arial" w:eastAsia="Arial" w:hAnsi="Arial"/>
          <w:sz w:val="13"/>
          <w:szCs w:val="13"/>
          <w:color w:val="auto"/>
        </w:rPr>
        <w:t>remain diligent in placing safety first, always;</w:t>
      </w:r>
    </w:p>
    <w:p>
      <w:pPr>
        <w:spacing w:after="0" w:line="14" w:lineRule="exact"/>
        <w:rPr>
          <w:rFonts w:ascii="Arial" w:cs="Arial" w:eastAsia="Arial" w:hAnsi="Arial"/>
          <w:sz w:val="17"/>
          <w:szCs w:val="17"/>
          <w:color w:val="auto"/>
        </w:rPr>
      </w:pPr>
    </w:p>
    <w:p>
      <w:pPr>
        <w:ind w:left="1060" w:hanging="266"/>
        <w:spacing w:after="0" w:line="237" w:lineRule="auto"/>
        <w:tabs>
          <w:tab w:leader="none" w:pos="1060" w:val="left"/>
        </w:tabs>
        <w:numPr>
          <w:ilvl w:val="1"/>
          <w:numId w:val="10"/>
        </w:numPr>
        <w:rPr>
          <w:rFonts w:ascii="Arial" w:cs="Arial" w:eastAsia="Arial" w:hAnsi="Arial"/>
          <w:sz w:val="17"/>
          <w:szCs w:val="17"/>
          <w:color w:val="auto"/>
        </w:rPr>
      </w:pPr>
      <w:r>
        <w:rPr>
          <w:rFonts w:ascii="Arial" w:cs="Arial" w:eastAsia="Arial" w:hAnsi="Arial"/>
          <w:sz w:val="13"/>
          <w:szCs w:val="13"/>
          <w:color w:val="auto"/>
        </w:rPr>
        <w:t>improve health and wellness opportunities for all our employees (as described above); and</w:t>
      </w:r>
    </w:p>
    <w:p>
      <w:pPr>
        <w:spacing w:after="0" w:line="14" w:lineRule="exact"/>
        <w:rPr>
          <w:rFonts w:ascii="Arial" w:cs="Arial" w:eastAsia="Arial" w:hAnsi="Arial"/>
          <w:sz w:val="17"/>
          <w:szCs w:val="17"/>
          <w:color w:val="auto"/>
        </w:rPr>
      </w:pPr>
    </w:p>
    <w:p>
      <w:pPr>
        <w:ind w:left="1060" w:hanging="266"/>
        <w:spacing w:after="0" w:line="237" w:lineRule="auto"/>
        <w:tabs>
          <w:tab w:leader="none" w:pos="1060" w:val="left"/>
        </w:tabs>
        <w:numPr>
          <w:ilvl w:val="1"/>
          <w:numId w:val="10"/>
        </w:numPr>
        <w:rPr>
          <w:rFonts w:ascii="Arial" w:cs="Arial" w:eastAsia="Arial" w:hAnsi="Arial"/>
          <w:sz w:val="17"/>
          <w:szCs w:val="17"/>
          <w:color w:val="auto"/>
        </w:rPr>
      </w:pPr>
      <w:r>
        <w:rPr>
          <w:rFonts w:ascii="Arial" w:cs="Arial" w:eastAsia="Arial" w:hAnsi="Arial"/>
          <w:sz w:val="13"/>
          <w:szCs w:val="13"/>
          <w:color w:val="auto"/>
        </w:rPr>
        <w:t>improve customer engagement and relations.</w:t>
      </w:r>
    </w:p>
    <w:p>
      <w:pPr>
        <w:spacing w:after="0" w:line="56" w:lineRule="exact"/>
        <w:rPr>
          <w:rFonts w:ascii="Arial" w:cs="Arial" w:eastAsia="Arial" w:hAnsi="Arial"/>
          <w:sz w:val="17"/>
          <w:szCs w:val="17"/>
          <w:color w:val="auto"/>
        </w:rPr>
      </w:pPr>
    </w:p>
    <w:p>
      <w:pPr>
        <w:ind w:left="520" w:hanging="250"/>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3"/>
          <w:szCs w:val="13"/>
          <w:b w:val="1"/>
          <w:bCs w:val="1"/>
          <w:color w:val="auto"/>
        </w:rPr>
        <w:t>Governance</w:t>
      </w:r>
    </w:p>
    <w:p>
      <w:pPr>
        <w:spacing w:after="0" w:line="13" w:lineRule="exact"/>
        <w:rPr>
          <w:rFonts w:ascii="Arial" w:cs="Arial" w:eastAsia="Arial" w:hAnsi="Arial"/>
          <w:sz w:val="17"/>
          <w:szCs w:val="17"/>
          <w:color w:val="auto"/>
        </w:rPr>
      </w:pPr>
    </w:p>
    <w:p>
      <w:pPr>
        <w:ind w:left="1060" w:hanging="266"/>
        <w:spacing w:after="0" w:line="237" w:lineRule="auto"/>
        <w:tabs>
          <w:tab w:leader="none" w:pos="1060" w:val="left"/>
        </w:tabs>
        <w:numPr>
          <w:ilvl w:val="1"/>
          <w:numId w:val="10"/>
        </w:numPr>
        <w:rPr>
          <w:rFonts w:ascii="Arial" w:cs="Arial" w:eastAsia="Arial" w:hAnsi="Arial"/>
          <w:sz w:val="17"/>
          <w:szCs w:val="17"/>
          <w:color w:val="auto"/>
        </w:rPr>
      </w:pPr>
      <w:r>
        <w:rPr>
          <w:rFonts w:ascii="Arial" w:cs="Arial" w:eastAsia="Arial" w:hAnsi="Arial"/>
          <w:sz w:val="13"/>
          <w:szCs w:val="13"/>
          <w:color w:val="auto"/>
        </w:rPr>
        <w:t>Continue to align our corporate governance structure with our ESG strategy</w:t>
      </w:r>
    </w:p>
    <w:p>
      <w:pPr>
        <w:spacing w:after="0" w:line="14" w:lineRule="exact"/>
        <w:rPr>
          <w:rFonts w:ascii="Arial" w:cs="Arial" w:eastAsia="Arial" w:hAnsi="Arial"/>
          <w:sz w:val="17"/>
          <w:szCs w:val="17"/>
          <w:color w:val="auto"/>
        </w:rPr>
      </w:pPr>
    </w:p>
    <w:p>
      <w:pPr>
        <w:ind w:left="1060" w:hanging="266"/>
        <w:spacing w:after="0" w:line="237" w:lineRule="auto"/>
        <w:tabs>
          <w:tab w:leader="none" w:pos="1060" w:val="left"/>
        </w:tabs>
        <w:numPr>
          <w:ilvl w:val="1"/>
          <w:numId w:val="10"/>
        </w:numPr>
        <w:rPr>
          <w:rFonts w:ascii="Arial" w:cs="Arial" w:eastAsia="Arial" w:hAnsi="Arial"/>
          <w:sz w:val="17"/>
          <w:szCs w:val="17"/>
          <w:color w:val="auto"/>
        </w:rPr>
      </w:pPr>
      <w:r>
        <w:rPr>
          <w:rFonts w:ascii="Arial" w:cs="Arial" w:eastAsia="Arial" w:hAnsi="Arial"/>
          <w:sz w:val="13"/>
          <w:szCs w:val="13"/>
          <w:color w:val="auto"/>
        </w:rPr>
        <w:t>Improve the diversity of our Board and management</w:t>
      </w:r>
    </w:p>
    <w:p>
      <w:pPr>
        <w:spacing w:after="0" w:line="41" w:lineRule="exact"/>
        <w:rPr>
          <w:sz w:val="20"/>
          <w:szCs w:val="20"/>
          <w:color w:val="auto"/>
        </w:rPr>
      </w:pPr>
    </w:p>
    <w:p>
      <w:pPr>
        <w:ind w:left="540"/>
        <w:spacing w:after="0"/>
        <w:rPr>
          <w:sz w:val="20"/>
          <w:szCs w:val="20"/>
          <w:color w:val="auto"/>
        </w:rPr>
      </w:pPr>
      <w:r>
        <w:rPr>
          <w:rFonts w:ascii="Arial" w:cs="Arial" w:eastAsia="Arial" w:hAnsi="Arial"/>
          <w:sz w:val="13"/>
          <w:szCs w:val="13"/>
          <w:color w:val="auto"/>
        </w:rPr>
        <w:t>In the near term, we are pursuing the following five key strategic initiatives to drive increased benefits for our stakeholders.</w:t>
      </w:r>
    </w:p>
    <w:p>
      <w:pPr>
        <w:spacing w:after="0" w:line="108" w:lineRule="exact"/>
        <w:rPr>
          <w:sz w:val="20"/>
          <w:szCs w:val="20"/>
          <w:color w:val="auto"/>
        </w:rPr>
      </w:pPr>
    </w:p>
    <w:p>
      <w:pPr>
        <w:ind w:left="520" w:hanging="250"/>
        <w:spacing w:after="0"/>
        <w:tabs>
          <w:tab w:leader="none" w:pos="520" w:val="left"/>
        </w:tabs>
        <w:numPr>
          <w:ilvl w:val="0"/>
          <w:numId w:val="11"/>
        </w:numPr>
        <w:rPr>
          <w:rFonts w:ascii="Arial" w:cs="Arial" w:eastAsia="Arial" w:hAnsi="Arial"/>
          <w:sz w:val="13"/>
          <w:szCs w:val="13"/>
          <w:color w:val="auto"/>
        </w:rPr>
      </w:pPr>
      <w:r>
        <w:rPr>
          <w:rFonts w:ascii="Arial" w:cs="Arial" w:eastAsia="Arial" w:hAnsi="Arial"/>
          <w:sz w:val="13"/>
          <w:szCs w:val="13"/>
          <w:b w:val="1"/>
          <w:bCs w:val="1"/>
          <w:color w:val="auto"/>
        </w:rPr>
        <w:t xml:space="preserve">Materials: </w:t>
      </w:r>
      <w:r>
        <w:rPr>
          <w:rFonts w:ascii="Arial" w:cs="Arial" w:eastAsia="Arial" w:hAnsi="Arial"/>
          <w:sz w:val="13"/>
          <w:szCs w:val="13"/>
          <w:color w:val="auto"/>
        </w:rPr>
        <w:t>Reduce, reuse, recycle with our modular and storage units and VAPS</w:t>
      </w:r>
    </w:p>
    <w:p>
      <w:pPr>
        <w:spacing w:after="0" w:line="68" w:lineRule="exact"/>
        <w:rPr>
          <w:rFonts w:ascii="Arial" w:cs="Arial" w:eastAsia="Arial" w:hAnsi="Arial"/>
          <w:sz w:val="13"/>
          <w:szCs w:val="13"/>
          <w:color w:val="auto"/>
        </w:rPr>
      </w:pPr>
    </w:p>
    <w:p>
      <w:pPr>
        <w:ind w:left="520" w:hanging="250"/>
        <w:spacing w:after="0"/>
        <w:tabs>
          <w:tab w:leader="none" w:pos="520" w:val="left"/>
        </w:tabs>
        <w:numPr>
          <w:ilvl w:val="0"/>
          <w:numId w:val="11"/>
        </w:numPr>
        <w:rPr>
          <w:rFonts w:ascii="Arial" w:cs="Arial" w:eastAsia="Arial" w:hAnsi="Arial"/>
          <w:sz w:val="13"/>
          <w:szCs w:val="13"/>
          <w:color w:val="auto"/>
        </w:rPr>
      </w:pPr>
      <w:r>
        <w:rPr>
          <w:rFonts w:ascii="Arial" w:cs="Arial" w:eastAsia="Arial" w:hAnsi="Arial"/>
          <w:sz w:val="13"/>
          <w:szCs w:val="13"/>
          <w:b w:val="1"/>
          <w:bCs w:val="1"/>
          <w:color w:val="auto"/>
        </w:rPr>
        <w:t xml:space="preserve">Climate: </w:t>
      </w:r>
      <w:r>
        <w:rPr>
          <w:rFonts w:ascii="Arial" w:cs="Arial" w:eastAsia="Arial" w:hAnsi="Arial"/>
          <w:sz w:val="13"/>
          <w:szCs w:val="13"/>
          <w:color w:val="auto"/>
        </w:rPr>
        <w:t>Reducing greenhouse gas emissions from our owned trucking and yard fleet</w:t>
      </w:r>
    </w:p>
    <w:p>
      <w:pPr>
        <w:spacing w:after="0" w:line="68" w:lineRule="exact"/>
        <w:rPr>
          <w:rFonts w:ascii="Arial" w:cs="Arial" w:eastAsia="Arial" w:hAnsi="Arial"/>
          <w:sz w:val="13"/>
          <w:szCs w:val="13"/>
          <w:color w:val="auto"/>
        </w:rPr>
      </w:pPr>
    </w:p>
    <w:p>
      <w:pPr>
        <w:ind w:left="520" w:hanging="250"/>
        <w:spacing w:after="0"/>
        <w:tabs>
          <w:tab w:leader="none" w:pos="520" w:val="left"/>
        </w:tabs>
        <w:numPr>
          <w:ilvl w:val="0"/>
          <w:numId w:val="1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Health &amp; Safety: </w:t>
      </w:r>
      <w:r>
        <w:rPr>
          <w:rFonts w:ascii="Arial" w:cs="Arial" w:eastAsia="Arial" w:hAnsi="Arial"/>
          <w:sz w:val="13"/>
          <w:szCs w:val="13"/>
          <w:color w:val="auto"/>
        </w:rPr>
        <w:t>Health &amp; Safety First at our branches, on the road and at our customer sites</w:t>
      </w:r>
    </w:p>
    <w:p>
      <w:pPr>
        <w:spacing w:after="0" w:line="68" w:lineRule="exact"/>
        <w:rPr>
          <w:rFonts w:ascii="Arial" w:cs="Arial" w:eastAsia="Arial" w:hAnsi="Arial"/>
          <w:sz w:val="13"/>
          <w:szCs w:val="13"/>
          <w:b w:val="1"/>
          <w:bCs w:val="1"/>
          <w:color w:val="auto"/>
        </w:rPr>
      </w:pPr>
    </w:p>
    <w:p>
      <w:pPr>
        <w:ind w:left="520" w:hanging="250"/>
        <w:spacing w:after="0"/>
        <w:tabs>
          <w:tab w:leader="none" w:pos="520" w:val="left"/>
        </w:tabs>
        <w:numPr>
          <w:ilvl w:val="0"/>
          <w:numId w:val="1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Inclusion: </w:t>
      </w:r>
      <w:r>
        <w:rPr>
          <w:rFonts w:ascii="Arial" w:cs="Arial" w:eastAsia="Arial" w:hAnsi="Arial"/>
          <w:sz w:val="13"/>
          <w:szCs w:val="13"/>
          <w:color w:val="auto"/>
        </w:rPr>
        <w:t>Ensuring every employee has the opportunity to thrive and seek upward mobility</w:t>
      </w:r>
    </w:p>
    <w:p>
      <w:pPr>
        <w:spacing w:after="0" w:line="68" w:lineRule="exact"/>
        <w:rPr>
          <w:rFonts w:ascii="Arial" w:cs="Arial" w:eastAsia="Arial" w:hAnsi="Arial"/>
          <w:sz w:val="13"/>
          <w:szCs w:val="13"/>
          <w:b w:val="1"/>
          <w:bCs w:val="1"/>
          <w:color w:val="auto"/>
        </w:rPr>
      </w:pPr>
    </w:p>
    <w:p>
      <w:pPr>
        <w:ind w:left="520" w:hanging="250"/>
        <w:spacing w:after="0"/>
        <w:tabs>
          <w:tab w:leader="none" w:pos="520" w:val="left"/>
        </w:tabs>
        <w:numPr>
          <w:ilvl w:val="0"/>
          <w:numId w:val="1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Community: </w:t>
      </w:r>
      <w:r>
        <w:rPr>
          <w:rFonts w:ascii="Arial" w:cs="Arial" w:eastAsia="Arial" w:hAnsi="Arial"/>
          <w:sz w:val="13"/>
          <w:szCs w:val="13"/>
          <w:color w:val="auto"/>
        </w:rPr>
        <w:t>Leveraging our scale to lift up all 275+ of our communities and amplify our impact</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Environmental</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Circular Business Model (Materials)</w:t>
      </w:r>
    </w:p>
    <w:p>
      <w:pPr>
        <w:spacing w:after="0" w:line="61" w:lineRule="exact"/>
        <w:rPr>
          <w:sz w:val="20"/>
          <w:szCs w:val="20"/>
          <w:color w:val="auto"/>
        </w:rPr>
      </w:pPr>
    </w:p>
    <w:p>
      <w:pPr>
        <w:jc w:val="both"/>
        <w:ind w:firstLine="262"/>
        <w:spacing w:after="0" w:line="249" w:lineRule="auto"/>
        <w:rPr>
          <w:sz w:val="20"/>
          <w:szCs w:val="20"/>
          <w:color w:val="auto"/>
        </w:rPr>
      </w:pPr>
      <w:r>
        <w:rPr>
          <w:rFonts w:ascii="Arial" w:cs="Arial" w:eastAsia="Arial" w:hAnsi="Arial"/>
          <w:sz w:val="13"/>
          <w:szCs w:val="13"/>
          <w:color w:val="auto"/>
        </w:rPr>
        <w:t>We lease commercial grade office and storage units that are designed to be reused, relocated and reconfigured and have refurbishment capabilities for our office units. These assets are cycled to different customers seven times over their 20-year lifetime with a minimal refresh or get ready before each new cycle. We then layer on refurbishment, which can extend the asset life by another 10 years. With the cost of refurbishment at only 20-30% of the cost of a new unit, it’s more capital efficient to refurbish our units and it extends the life significantly. Our newest office space, called FLEX, is a panelized product which means that the panels, or walls, can be reconfigured and reused, thus eliminating wood waste.</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3"/>
          <w:szCs w:val="13"/>
          <w:color w:val="auto"/>
        </w:rPr>
        <w:t>We also have modernization facilities to put our storage assets, which we acquire used, into service as a storage unit.</w:t>
      </w:r>
    </w:p>
    <w:p>
      <w:pPr>
        <w:spacing w:after="0" w:line="47" w:lineRule="exact"/>
        <w:rPr>
          <w:sz w:val="20"/>
          <w:szCs w:val="20"/>
          <w:color w:val="auto"/>
        </w:rPr>
      </w:pPr>
    </w:p>
    <w:p>
      <w:pPr>
        <w:jc w:val="both"/>
        <w:ind w:firstLine="262"/>
        <w:spacing w:after="0" w:line="251" w:lineRule="auto"/>
        <w:rPr>
          <w:sz w:val="20"/>
          <w:szCs w:val="20"/>
          <w:color w:val="auto"/>
        </w:rPr>
      </w:pPr>
      <w:r>
        <w:rPr>
          <w:rFonts w:ascii="Arial" w:cs="Arial" w:eastAsia="Arial" w:hAnsi="Arial"/>
          <w:sz w:val="13"/>
          <w:szCs w:val="13"/>
          <w:color w:val="auto"/>
        </w:rPr>
        <w:t>Value Added Products (“VAPs”) adds another dimension to our circular story because we are able to reuse, repair, and maintain VAPs that come off rent, which helps drive better margins and growth. In addition, putting VAPs into our circular business model significantly reduces material usage both for us and for our customers, who otherwise buy and dispose of their VAPs at the end of the project.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28" w:right="319" w:bottom="1440" w:gutter="0" w:footer="0" w:header="0"/>
        </w:sectPr>
      </w:pPr>
    </w:p>
    <w:bookmarkStart w:id="17" w:name="page18"/>
    <w:bookmarkEnd w:id="17"/>
    <w:p>
      <w:pPr>
        <w:ind w:right="1540" w:firstLine="262"/>
        <w:spacing w:after="0" w:line="350" w:lineRule="auto"/>
        <w:rPr>
          <w:sz w:val="20"/>
          <w:szCs w:val="20"/>
          <w:color w:val="auto"/>
        </w:rPr>
      </w:pPr>
      <w:r>
        <w:rPr>
          <w:rFonts w:ascii="Arial" w:cs="Arial" w:eastAsia="Arial" w:hAnsi="Arial"/>
          <w:sz w:val="13"/>
          <w:szCs w:val="13"/>
          <w:color w:val="auto"/>
        </w:rPr>
        <w:t xml:space="preserve">Circular by design, our lease and renew business model helps us to reduce material usage, emissions and costs, while helping our customers with their ESG goals. </w:t>
      </w:r>
      <w:r>
        <w:rPr>
          <w:rFonts w:ascii="Arial" w:cs="Arial" w:eastAsia="Arial" w:hAnsi="Arial"/>
          <w:sz w:val="13"/>
          <w:szCs w:val="13"/>
          <w:i w:val="1"/>
          <w:iCs w:val="1"/>
          <w:color w:val="auto"/>
        </w:rPr>
        <w:t>GHG Emissions (Climate)</w:t>
      </w:r>
    </w:p>
    <w:p>
      <w:pPr>
        <w:spacing w:after="0" w:line="1" w:lineRule="exact"/>
        <w:rPr>
          <w:sz w:val="20"/>
          <w:szCs w:val="20"/>
          <w:color w:val="auto"/>
        </w:rPr>
      </w:pPr>
    </w:p>
    <w:p>
      <w:pPr>
        <w:jc w:val="both"/>
        <w:ind w:firstLine="262"/>
        <w:spacing w:after="0" w:line="249" w:lineRule="auto"/>
        <w:rPr>
          <w:sz w:val="20"/>
          <w:szCs w:val="20"/>
          <w:color w:val="auto"/>
        </w:rPr>
      </w:pPr>
      <w:r>
        <w:rPr>
          <w:rFonts w:ascii="Arial" w:cs="Arial" w:eastAsia="Arial" w:hAnsi="Arial"/>
          <w:sz w:val="13"/>
          <w:szCs w:val="13"/>
          <w:color w:val="auto"/>
        </w:rPr>
        <w:t>Compared to other industrial companies, our greenhouse gas footprint and risk is small, but we can still produce positive impacts that directly align with cost efficiency and customer benefits. To reduce greenhouse gas emissions and other air quality impacts from our diesel-fueled delivery and setup fleet, we have begun replacing older diesel truck engines with modern, efficient engines, and are working to test delivery trucks fueled by renewable natural gas. Over time, these efforts will help to reduce our fuel costs and risks, while also helping us secure contracts with like-minded customers.</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Social</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Safety</w:t>
      </w:r>
    </w:p>
    <w:p>
      <w:pPr>
        <w:spacing w:after="0" w:line="61"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Protection of people and the environment is a core value at WillScot Mobile Mini. It is a key component of our Sales, People and Operational Excellence priorities. These priorities are the driving force that shapes who we are and what we do. WillScot Mobile Mini fosters an environment in which our employees feel empowered and choose to make the safest and best decisions possible. Safety extends beyond our branches and yards and includes travel on roads and highways and our activities at customer sites.</w:t>
      </w:r>
    </w:p>
    <w:p>
      <w:pPr>
        <w:spacing w:after="0" w:line="33" w:lineRule="exact"/>
        <w:rPr>
          <w:sz w:val="20"/>
          <w:szCs w:val="20"/>
          <w:color w:val="auto"/>
        </w:rPr>
      </w:pPr>
    </w:p>
    <w:p>
      <w:pPr>
        <w:jc w:val="both"/>
        <w:ind w:firstLine="524"/>
        <w:spacing w:after="0" w:line="248" w:lineRule="auto"/>
        <w:rPr>
          <w:sz w:val="20"/>
          <w:szCs w:val="20"/>
          <w:color w:val="auto"/>
        </w:rPr>
      </w:pPr>
      <w:r>
        <w:rPr>
          <w:rFonts w:ascii="Arial" w:cs="Arial" w:eastAsia="Arial" w:hAnsi="Arial"/>
          <w:sz w:val="13"/>
          <w:szCs w:val="13"/>
          <w:color w:val="auto"/>
        </w:rPr>
        <w:t>Today, we are operating at high levels of safety and low levels of injury. Our Total Recordable Incident Rate (“TRIR”) is 0.82 incidents per labor hour, compared to the 2.5 incidents per labor hour rate for the construction industry as reported by the Bureau of Labor Statistics. We are using technology to assist our drivers and other team members in the safety arena. In 2020, we created an assessment tool, our “Safety Save” application, that tracks leadership safety engagement and measures the number of safety engagements as our team members complete them. Any employee is encouraged to complete a safety assessment on an observation of a task, tool, behavior or other condition during working duties. Use of the Safety Save application is just one manner we use to manage safety leadership at all levels. Further, we use and are expanding a vehicle/truck-based camera system used to improve driving behaviors.</w:t>
      </w:r>
    </w:p>
    <w:p>
      <w:pPr>
        <w:spacing w:after="0" w:line="36"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Lastly, we maintain a safety assessment program that drives increased focus to our Health &amp; Safety core value, by providing increased visibility. Our goal is to help each team member succeed and enjoy a safe working experience. We know no business can exist without people. Who we are as people ultimately defines what we are as a business, and safety is everyone’s responsibility.</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COVID-19 Safety Protocols</w:t>
      </w:r>
    </w:p>
    <w:p>
      <w:pPr>
        <w:spacing w:after="0" w:line="61"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We remain dedicated to protecting the health and safety of our employees and customers and have adjusted our business to meet various country, state, and local requirements. We are considered an “essential business” and our employees are considered “essential workers.” We have continued to service our customers throughout the pandemic, while implementing robust health and safety protocols to protect our visitors, employees and customers.</w:t>
      </w:r>
    </w:p>
    <w:p>
      <w:pPr>
        <w:spacing w:after="0" w:line="33"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We follow US Centers for Disease Control and Prevention, OSHA and/or applicable country, state and local guidelines at the locations where we operate. To comply with public health guidance and reduce the risk of COVID-19 transmission, unvaccinated visitors, customers and employees are required, prior to commencing work at our facilities and offices each day, to check their temperature and complete a daily symptom certification that is documented and reviewed by our COVID team members. We provide masks and hand sanitizer to our visitors, customers, and employees, as well as require adherence to appropriate social distancing practices. We have also enhanced cleaning/sanitization protocols at our locations.</w:t>
      </w:r>
    </w:p>
    <w:p>
      <w:pPr>
        <w:spacing w:after="0" w:line="35"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COVID-19 testing for employees is covered by our health insurance and we actively track key COVID metrics. Additionally, we are providing an incentive to our employees that choose to get vaccinated, as well as paid time off for vaccination and any side effects. We also meet all client requirements for site access or general compliance with their required COVID protocols. We remain flexible to the situation, and keep our employees informed of the current best guidance, as provided by professionals and experts.</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Community</w:t>
      </w:r>
    </w:p>
    <w:p>
      <w:pPr>
        <w:spacing w:after="0" w:line="61"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Community engagement is at the heart of our business. Due to our scale, we bring new engagement opportunities to our entire workforce in two ways. We recently launched our giving platform called "Give Where You Live" where employees can partner with the local charity of their choice across all 275 of our locations in the way that is most meaningful to them. We encourage our employees to give their time, talent and/or treasure locally to our core four causes of Shelter, Hunger, Education, and Health &amp; Wellness. We have expanded our existing Company match program and have created a volunteer rewards program to encourage increased volunteerism globally. Our IRTs support our community-focused values through volunteer opportunities that are meaningful to the populations that they represent. We also have Company-wide partnerships like Habitat for Humanity, where we are able to provide giving opportunities in the normal course of business, like the temporary use of our storage containers at Habitat build sites. We know that when we give where we live, we can make a difference.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28" w:right="319" w:bottom="1440" w:gutter="0" w:footer="0" w:header="0"/>
        </w:sectPr>
      </w:pPr>
    </w:p>
    <w:bookmarkStart w:id="18" w:name="page19"/>
    <w:bookmarkEnd w:id="18"/>
    <w:p>
      <w:pPr>
        <w:spacing w:after="0"/>
        <w:rPr>
          <w:sz w:val="20"/>
          <w:szCs w:val="20"/>
          <w:color w:val="auto"/>
        </w:rPr>
      </w:pPr>
      <w:r>
        <w:rPr>
          <w:rFonts w:ascii="Arial" w:cs="Arial" w:eastAsia="Arial" w:hAnsi="Arial"/>
          <w:sz w:val="13"/>
          <w:szCs w:val="13"/>
          <w:b w:val="1"/>
          <w:bCs w:val="1"/>
          <w:color w:val="auto"/>
        </w:rPr>
        <w:t>Governance</w:t>
      </w:r>
    </w:p>
    <w:p>
      <w:pPr>
        <w:spacing w:after="0" w:line="63"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Good governance enables everything we do. After the WillScot Mobile Mini merger, our combined board of directors created a roadmap to transition the company’s governance practices. We modified our charter to establish an ESG initiative, and to provide oversight for that initiative. Our audit committee and enterprise risk management committee each review the board of directors’ and the Company’s activities to assess risks and develop plans to mitigate those risks. These committees consider a variety of potential risks that may affect the Company over the next three years, including climate change, truck fleet emissions, labor law changes, diversity, and zoning laws.</w:t>
      </w:r>
    </w:p>
    <w:p>
      <w:pPr>
        <w:spacing w:after="0" w:line="277" w:lineRule="exact"/>
        <w:rPr>
          <w:sz w:val="20"/>
          <w:szCs w:val="20"/>
          <w:color w:val="auto"/>
        </w:rPr>
      </w:pPr>
    </w:p>
    <w:p>
      <w:pPr>
        <w:spacing w:after="0"/>
        <w:rPr>
          <w:sz w:val="20"/>
          <w:szCs w:val="20"/>
          <w:color w:val="auto"/>
        </w:rPr>
      </w:pPr>
      <w:r>
        <w:rPr>
          <w:rFonts w:ascii="Arial" w:cs="Arial" w:eastAsia="Arial" w:hAnsi="Arial"/>
          <w:sz w:val="19"/>
          <w:szCs w:val="19"/>
          <w:color w:val="1D2758"/>
        </w:rPr>
        <w:t>Intellectual Property</w:t>
      </w:r>
    </w:p>
    <w:p>
      <w:pPr>
        <w:spacing w:after="0" w:line="42" w:lineRule="exact"/>
        <w:rPr>
          <w:sz w:val="20"/>
          <w:szCs w:val="20"/>
          <w:color w:val="auto"/>
        </w:rPr>
      </w:pPr>
    </w:p>
    <w:p>
      <w:pPr>
        <w:jc w:val="both"/>
        <w:ind w:firstLine="524"/>
        <w:spacing w:after="0" w:line="154" w:lineRule="exact"/>
        <w:rPr>
          <w:sz w:val="20"/>
          <w:szCs w:val="20"/>
          <w:color w:val="auto"/>
        </w:rPr>
      </w:pPr>
      <w:r>
        <w:rPr>
          <w:rFonts w:ascii="Arial" w:cs="Arial" w:eastAsia="Arial" w:hAnsi="Arial"/>
          <w:sz w:val="13"/>
          <w:szCs w:val="13"/>
          <w:color w:val="auto"/>
        </w:rPr>
        <w:t>We operate primarily under the WillScot and Mobile Mini brands. We protect our products and services through the use of trademarks and patents, none of which are individually material to our business. Our trademarks and patents are registered or pending applications for registrations in the US Patent and Trademark Office and various non</w:t>
      </w:r>
      <w:r>
        <w:rPr>
          <w:rFonts w:ascii="MS PGothic" w:cs="MS PGothic" w:eastAsia="MS PGothic" w:hAnsi="MS PGothic"/>
          <w:sz w:val="13"/>
          <w:szCs w:val="13"/>
          <w:color w:val="auto"/>
        </w:rPr>
        <w:t>‑</w:t>
      </w:r>
      <w:r>
        <w:rPr>
          <w:rFonts w:ascii="Arial" w:cs="Arial" w:eastAsia="Arial" w:hAnsi="Arial"/>
          <w:sz w:val="13"/>
          <w:szCs w:val="13"/>
          <w:color w:val="auto"/>
        </w:rPr>
        <w:t>US jurisdictions. On our Modular fleet, we maintain a patent for the design of our Flex units in the US and other patents in the US and non-US jurisdictions concerning various assembly and panel components. We believe that Flex represents innovative and versatile purpose built modular space solutions in the industry, which has helped us expand commercially into new end markets. On our Storage fleet, we have patented our proprietary Tri</w:t>
      </w:r>
      <w:r>
        <w:rPr>
          <w:rFonts w:ascii="MS PGothic" w:cs="MS PGothic" w:eastAsia="MS PGothic" w:hAnsi="MS PGothic"/>
          <w:sz w:val="13"/>
          <w:szCs w:val="13"/>
          <w:color w:val="auto"/>
        </w:rPr>
        <w:t>‑</w:t>
      </w:r>
      <w:r>
        <w:rPr>
          <w:rFonts w:ascii="Arial" w:cs="Arial" w:eastAsia="Arial" w:hAnsi="Arial"/>
          <w:sz w:val="13"/>
          <w:szCs w:val="13"/>
          <w:color w:val="auto"/>
        </w:rPr>
        <w:t>Cam Locking System®, ContainerGuardLock® and other continued improvements in locking technology in the markets in which we operate, as well as in Europe and China. We believe that continued innovation differentiates WillScot Mobile Mini with our customers and represents a source of long-term competitive advantage.</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color w:val="1D2758"/>
        </w:rPr>
        <w:t>Significant Developments</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Mobile Mini Merger</w:t>
      </w:r>
    </w:p>
    <w:p>
      <w:pPr>
        <w:spacing w:after="0" w:line="63"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On July 1, 2020, we closed the Merger at which time Mobile Mini became a wholly-owned subsidiary of WillScot. Concurrent with the closing of the Merger, we changed our name to WillScot Mobile Mini Holdings Corp. We believe that the Merger is resulting in strategic and financial benefits by combining the two industry leaders in the complementary modular space and portable storage solutions markets. During the second quarter of 2021, we executed the successful integration of the two companies' enterprise resource planning ("ERP") operating and financial systems.</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Reportable Segments</w:t>
      </w:r>
    </w:p>
    <w:p>
      <w:pPr>
        <w:spacing w:after="0" w:line="63" w:lineRule="exact"/>
        <w:rPr>
          <w:sz w:val="20"/>
          <w:szCs w:val="20"/>
          <w:color w:val="auto"/>
        </w:rPr>
      </w:pPr>
    </w:p>
    <w:p>
      <w:pPr>
        <w:jc w:val="both"/>
        <w:ind w:firstLine="524"/>
        <w:spacing w:after="0" w:line="248" w:lineRule="auto"/>
        <w:rPr>
          <w:sz w:val="20"/>
          <w:szCs w:val="20"/>
          <w:color w:val="auto"/>
        </w:rPr>
      </w:pPr>
      <w:r>
        <w:rPr>
          <w:rFonts w:ascii="Arial" w:cs="Arial" w:eastAsia="Arial" w:hAnsi="Arial"/>
          <w:sz w:val="13"/>
          <w:szCs w:val="13"/>
          <w:color w:val="auto"/>
        </w:rPr>
        <w:t>We operate in four reportable segments as follows: North America Modular Solutions ("NA Modular"), North America Storage Solutions ("NA Storage"), United Kingdom Storage Solutions ("UK Storage") and Tank and Pump Solutions ("Tank and Pump"). The reporting segments are aligned with how we operate and analyze our business results. Prior to the third quarter of 2021, the NA Modular segment represented the activities of WillScot historical segments prior to the Merger, and the NA Storage, UK Storage and Tank and Pump segments represented the segments reported by Mobile Mini prior to the Merger. During the third quarter of 2021, the majority of the portable storage product business within the NA Modular segment was transitioned to the NA Storage segment, and associated revenues, expenses, and operating metrics were transferred to the NA Storage segment beginning in the third quarter of 2021.</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Asset Acquisitions</w:t>
      </w:r>
    </w:p>
    <w:p>
      <w:pPr>
        <w:spacing w:after="0" w:line="63"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During the third and fourth quarters of 2021, we acquired the assets and liabilities of seven regional storage and modular companies, which consisted primarily of 15,700 storage units and 5,800 modular units for $147.2 million in cash. We recorded rental equipment of $142.1 million as a result of these acquisitions.</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Financing Activities</w:t>
      </w:r>
    </w:p>
    <w:p>
      <w:pPr>
        <w:spacing w:after="0" w:line="63" w:lineRule="exact"/>
        <w:rPr>
          <w:sz w:val="20"/>
          <w:szCs w:val="20"/>
          <w:color w:val="auto"/>
        </w:rPr>
      </w:pPr>
    </w:p>
    <w:p>
      <w:pPr>
        <w:jc w:val="both"/>
        <w:ind w:firstLine="524"/>
        <w:spacing w:after="0" w:line="248" w:lineRule="auto"/>
        <w:rPr>
          <w:sz w:val="20"/>
          <w:szCs w:val="20"/>
          <w:color w:val="auto"/>
        </w:rPr>
      </w:pPr>
      <w:r>
        <w:rPr>
          <w:rFonts w:ascii="Arial" w:cs="Arial" w:eastAsia="Arial" w:hAnsi="Arial"/>
          <w:sz w:val="13"/>
          <w:szCs w:val="13"/>
          <w:color w:val="auto"/>
        </w:rPr>
        <w:t>On March 26, 2021, we redeemed $65.0 million of our 6.125% senior secured notes due 2025 (the "2025 Secured Notes") at a redemption price of 103.0%, plus accrued and unpaid interest. This repayment was funded by internally generated cash flow and lower cost borrowings under the ABL Credit Agreement, dated July 1, 2020, by and among Williams Scotsman Holdings Corp. (“Holdings”), Williams Scotsman International, Inc. (“WSII”), the guarantors party thereto, the lenders party thereto, and Bank of America, N.A., as administrative agent and collateral agent (as amended from time to time, the “2020 ABL Facility”). Upon redemption in the first quarter of 2021, we recorded a loss on extinguishment of debt in the consolidated statement of operations of $3.2 million comprised of a redemption premium of $1.9 million and write off of unamortized deferred financing fees of $1.3 million.</w:t>
      </w:r>
    </w:p>
    <w:p>
      <w:pPr>
        <w:spacing w:after="0" w:line="36"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On June 16, 2021, we redeemed an additional $58.5 million of our 2025 Secured Notes at a redemption price of 103.0%, plus accrued and unpaid interest. This repayment was funded by internally generated cash flow and lower cost borrowings under the 2020 ABL Facility. Upon redemption in the second quarter of 2021, we recorded a loss on extinguishment of debt in the consolidated statement of operations of $2.8 million comprised of a redemption premium of $1.8 million and write off of unamortized deferred financing fees of $1.0 million.</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Share and Warrant Repurchases</w:t>
      </w:r>
    </w:p>
    <w:p>
      <w:pPr>
        <w:spacing w:after="0" w:line="63"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On March 1, 2021, in connection with an underwritten secondary offering of shares of our Common Stock offered by Sapphire Holding S.à r.l. (“Sapphire Holdings”), our largest shareholder at that time and an entity controlled by TDR Capital</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12" w:right="319" w:bottom="1440" w:gutter="0" w:footer="0" w:header="0"/>
        </w:sectPr>
      </w:pPr>
    </w:p>
    <w:bookmarkStart w:id="19" w:name="page20"/>
    <w:bookmarkEnd w:id="19"/>
    <w:p>
      <w:pPr>
        <w:jc w:val="both"/>
        <w:spacing w:after="0" w:line="247" w:lineRule="auto"/>
        <w:rPr>
          <w:sz w:val="20"/>
          <w:szCs w:val="20"/>
          <w:color w:val="auto"/>
        </w:rPr>
      </w:pPr>
      <w:r>
        <w:rPr>
          <w:rFonts w:ascii="Arial" w:cs="Arial" w:eastAsia="Arial" w:hAnsi="Arial"/>
          <w:sz w:val="13"/>
          <w:szCs w:val="13"/>
          <w:color w:val="auto"/>
        </w:rPr>
        <w:t>LLP (“TDR Capital”), we repurchased and cancelled 2,750,000 shares of our Common Stock directly from Sapphire Holdings for $73.7 million at a per share price equal to the per share price paid by the underwriters in the concurrent offering. On June 29, 2021, in connection with a second underwritten secondary offering of shares of our Common Stock offered by Sapphire Holdings, we repurchased and cancelled an additional 3,900,000 shares of our Common Stock directly from Sapphire Holdings for $108.2 million at a per share price equal to the per share price paid by the underwriters in the concurrent offering. On September 9, 2021, in connection with a third underwritten secondary offering of shares of our Common Stock offered by Sapphire Holdings, we repurchased and cancelled an additional 2,379,839 shares of our Common Stock directly from Sapphire Holdings for $67.1 million at a per share price equal to the per share price paid by the underwriters in the concurrent offering.</w:t>
      </w:r>
    </w:p>
    <w:p>
      <w:pPr>
        <w:spacing w:after="0" w:line="38"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During the year ended December 31, 2021, we repurchased and cancelled 3,055,000 of the 2015 Private Warrants (as defined below) for $25.5 million. In addition, during the year ended December 31, 2021, 9,655,000 of the 2015 Private Warrants were exercised on a cashless basis, resulting in the issuance of 2,939,898 shares of Common Stock. As a result of these transactions, no 2015 Private Warrants were outstanding as of December 31, 2021.</w:t>
      </w:r>
    </w:p>
    <w:p>
      <w:pPr>
        <w:spacing w:after="0" w:line="33"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During the year ended December 31, 2021, we repurchased and cancelled 254,373 of the 2018 Warrants for $2.9 million. In addition, during the year ended December 31, 2021, 5,397,695 of the 2018 Warrants were exercised on a cashless basis, resulting in the issuance of 2,835,968 shares of Common Stock. At December 31, 2021, 4,078,173 of the 2018 Warrants were outstanding.</w:t>
      </w:r>
    </w:p>
    <w:p>
      <w:pPr>
        <w:spacing w:after="0" w:line="33"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During the year ended December 31, 2021, we repurchased and cancelled 12,878,490 shares of Common Stock and stock equivalents for $365.9 million, including the shares repurchased from Sapphire Holdings and all repurchased warrants. In October 2021, our Board of Directors replaced the existing share repurchase program with a new share repurchase program that authorizes us to repurchase up to $1.0 billion of our outstanding shares of Common Stock and stock equivalents. As of December 31, 2021, we had $956.7 million of the $1.0 billion share repurchase authorization remaining. Given the predictability of our free cash flow, we believe that repurchases will be a reoccurring capital allocation priority.</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Amendment to 2020 ABL Facility and Supplemental Indentures</w:t>
      </w:r>
    </w:p>
    <w:p>
      <w:pPr>
        <w:spacing w:after="0" w:line="63" w:lineRule="exact"/>
        <w:rPr>
          <w:sz w:val="20"/>
          <w:szCs w:val="20"/>
          <w:color w:val="auto"/>
        </w:rPr>
      </w:pPr>
    </w:p>
    <w:p>
      <w:pPr>
        <w:jc w:val="both"/>
        <w:ind w:firstLine="524"/>
        <w:spacing w:after="0" w:line="250" w:lineRule="auto"/>
        <w:rPr>
          <w:sz w:val="20"/>
          <w:szCs w:val="20"/>
          <w:color w:val="auto"/>
        </w:rPr>
      </w:pPr>
      <w:r>
        <w:rPr>
          <w:rFonts w:ascii="Arial" w:cs="Arial" w:eastAsia="Arial" w:hAnsi="Arial"/>
          <w:sz w:val="13"/>
          <w:szCs w:val="13"/>
          <w:color w:val="auto"/>
        </w:rPr>
        <w:t>In connection with an internal tax-related reorganization (the "Reorganization") involving indirect wholly-owned subsidiaries of the Company, on December 23, 2021, WSII merged with and into its direct wholly-owned subsidiary, Williams Scotsman, Inc., a Maryland corporation (“WSI”), with WSI as the surviving entity of such merger. The purpose of the Reorganization was to simplify the Company's legal entity structure following numerous acquisitions and to reduce related franchise taxes and other administrative costs and had no impact on our underlying business operations.</w:t>
      </w:r>
    </w:p>
    <w:p>
      <w:pPr>
        <w:spacing w:after="0" w:line="188" w:lineRule="exact"/>
        <w:rPr>
          <w:sz w:val="20"/>
          <w:szCs w:val="20"/>
          <w:color w:val="auto"/>
        </w:rPr>
      </w:pPr>
    </w:p>
    <w:p>
      <w:pPr>
        <w:jc w:val="both"/>
        <w:ind w:firstLine="524"/>
        <w:spacing w:after="0" w:line="246" w:lineRule="auto"/>
        <w:rPr>
          <w:sz w:val="20"/>
          <w:szCs w:val="20"/>
          <w:color w:val="auto"/>
        </w:rPr>
      </w:pPr>
      <w:r>
        <w:rPr>
          <w:rFonts w:ascii="Arial" w:cs="Arial" w:eastAsia="Arial" w:hAnsi="Arial"/>
          <w:sz w:val="13"/>
          <w:szCs w:val="13"/>
          <w:color w:val="auto"/>
        </w:rPr>
        <w:t>In connection with the Reorganization, on December 23, 2021, WSI, the guarantors party thereto and Deutsche Bank Trust Company Americas, as trustee and as collateral agent (in such capacities, the “Trustee”), entered into (i) a Supplemental Indenture (the “2025 Notes Supplemental Indenture”) in relation to that certain Indenture, dated as of June 15, 2020, (as amended, amended and restated, supplemented or otherwise modified from time to time, the “2025 Notes Indenture”), by and among WSII (as successor to Picasso Finance Sub, Inc.), as issuer, the guarantors from time to time party thereto and the Trustee in respect of WSII’s 6.125% Senior Secured Notes due 2025 and (ii) a Supplemental Indenture (the “2028 Notes Supplemental Indenture” and together with the 2025 Notes Supplemental Indenture, the “Supplemental Indentures”) in relation to that certain Indenture, dated as of August 25, 2020, (as amended, amended and restated, supplemented or otherwise modified from time to time, the “2028 Notes Indenture” and together with the 2025 Notes Indenture, the “Indentures”), by and among WSII (as successor to Picasso Finance Sub, Inc.), as issuer, the guarantors from time to time party thereto and the Trustee in respect of WSII’s 4.625% Senior Secured Notes due 2028, pursuant to which WSI assumed all of WSII’s obligations and rights under each Indenture, and the guarantors party to each Supplemental Indenture confirmed their respective guarantees under each Indenture. Prior to its entry into the Supplemental Indentures, WSI was a guarantor under each Indenture and jointly and severally liable for WSII’s obligations under each Indenture.</w:t>
      </w:r>
    </w:p>
    <w:p>
      <w:pPr>
        <w:spacing w:after="0" w:line="41"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Additionally, in connection with the Reorganization, on December 16, 2021, WSII and certain other subsidiaries of the Company entered into a third amendment (the “Third Amendment”) to the 2020 ABL Facility which, among other things, permits (i) the merger of WSII with and into WSI, and (ii) WSI to assume the duties and obligations of the Administrative Borrower (as defined in the 2020 ABL Facility) under the Loan Documents (as defined in the 2020 ABL Facility) in connection with the Reorganization.</w:t>
      </w:r>
    </w:p>
    <w:p>
      <w:pPr>
        <w:spacing w:after="0" w:line="33"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Following the Reorganization and the entry into the Supplemental Indentures and the Third Amendment, there is no change to the consolidated operating cash flows of the obligors under the Indentures and the 2020 ABL Facility or the consolidated assets of such obligors pledged as collateral under the Indentures and the 2020 ABL Facility.</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COVID-19 impact on business</w:t>
      </w:r>
    </w:p>
    <w:p>
      <w:pPr>
        <w:spacing w:after="0" w:line="63" w:lineRule="exact"/>
        <w:rPr>
          <w:sz w:val="20"/>
          <w:szCs w:val="20"/>
          <w:color w:val="auto"/>
        </w:rPr>
      </w:pPr>
    </w:p>
    <w:p>
      <w:pPr>
        <w:jc w:val="both"/>
        <w:ind w:firstLine="524"/>
        <w:spacing w:after="0" w:line="154" w:lineRule="exact"/>
        <w:rPr>
          <w:sz w:val="20"/>
          <w:szCs w:val="20"/>
          <w:color w:val="auto"/>
        </w:rPr>
      </w:pPr>
      <w:r>
        <w:rPr>
          <w:rFonts w:ascii="Arial" w:cs="Arial" w:eastAsia="Arial" w:hAnsi="Arial"/>
          <w:sz w:val="13"/>
          <w:szCs w:val="13"/>
          <w:color w:val="auto"/>
        </w:rPr>
        <w:t>Since the outbreak of COVID</w:t>
      </w:r>
      <w:r>
        <w:rPr>
          <w:rFonts w:ascii="MS PGothic" w:cs="MS PGothic" w:eastAsia="MS PGothic" w:hAnsi="MS PGothic"/>
          <w:sz w:val="13"/>
          <w:szCs w:val="13"/>
          <w:color w:val="auto"/>
        </w:rPr>
        <w:t>‑</w:t>
      </w:r>
      <w:r>
        <w:rPr>
          <w:rFonts w:ascii="Arial" w:cs="Arial" w:eastAsia="Arial" w:hAnsi="Arial"/>
          <w:sz w:val="13"/>
          <w:szCs w:val="13"/>
          <w:color w:val="auto"/>
        </w:rPr>
        <w:t>19 was designated as a global pandemic by the World Health Organization (the “WHO”) in March 2020, our operations have generally continued to operate normally with additional safety protocols in place as we have been considered an essential business in most jurisdictions. The global macroeconomic backdrop and impact on our end markets has evolved rapidly since the beginning of 2020. However, overall our lease portfolio and financial results have proven to be durable and consistent despite the severity of the economic contraction in 2020 and the current expansion in 2021.</w:t>
      </w:r>
    </w:p>
    <w:p>
      <w:pPr>
        <w:spacing w:after="0" w:line="40"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Importantly, because of the long durations of our leases, the majority of our gross profit in any given period is from units already out on rent. This gives us significant visibility into our future cash flows, which allows us to plan ahead and adjust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28" w:right="319" w:bottom="1440" w:gutter="0" w:footer="0" w:header="0"/>
        </w:sectPr>
      </w:pPr>
    </w:p>
    <w:bookmarkStart w:id="20" w:name="page21"/>
    <w:bookmarkEnd w:id="20"/>
    <w:p>
      <w:pPr>
        <w:jc w:val="both"/>
        <w:spacing w:after="0" w:line="256" w:lineRule="auto"/>
        <w:rPr>
          <w:sz w:val="20"/>
          <w:szCs w:val="20"/>
          <w:color w:val="auto"/>
        </w:rPr>
      </w:pPr>
      <w:r>
        <w:rPr>
          <w:rFonts w:ascii="Arial" w:cs="Arial" w:eastAsia="Arial" w:hAnsi="Arial"/>
          <w:sz w:val="13"/>
          <w:szCs w:val="13"/>
          <w:color w:val="auto"/>
        </w:rPr>
        <w:t>our capital expenditures and cost structure for varying demand levels. Our portfolio of units already out on rent at the onset of the pandemic was resilient and largely not impacted, despite the unprecedented swings in economic activity in 2020.</w:t>
      </w:r>
    </w:p>
    <w:p>
      <w:pPr>
        <w:spacing w:after="0" w:line="31"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Activity levels in the fourth quarter of 2020 and the first half of 2021 stabilized, and our volume of new lease activations grew significantly in the second quarter of 2021 as economic activity rebounded sharply with modular deliveries across our NA Modular and NA Storage segments up a combined 9% over pro forma 2020 levels and storage product deliveries across these two segments up a combined 39% over pro forma 2020 levels and on par with 2019 pro forma activity levels. This recovery continued in the third quarter of 2021 and for the three months ended September 30, 2021, both modular and storage product deliveries across our NA Modular and NA Storage segments were up a combined 6% over 2020 levels. Economic activity for the three months ended December 31, 2021 remained strong against a more stable fourth quarter of 2020 with storage product deliveries across our NA Modular and NA Storage segments up a combined 6% over 2020 levels and modular product deliveries essentially flat with 2020 levels. Overall, while new lease activation volumes over the past eight quarters were impacted in line with the swings in economic activity, our lease revenue streams were stable and remain on an attractive upward long-term trajectory, a result of the diversification in our end markets, our long lease durations, and the success of the organic growth initiatives that we are executing.</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color w:val="1D2758"/>
        </w:rPr>
        <w:t>Available Information</w:t>
      </w:r>
    </w:p>
    <w:p>
      <w:pPr>
        <w:spacing w:after="0" w:line="42"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Our website address is www.willscotmobilemini.com. We make available, free of charge through our website, our Annual Report on Form 10-K, Quarterly Reports on Form 10-Q, Current Reports on Form 8-K, and amendments to those reports filed or furnished pursuant to Section 13(a) or 15(d) of the Securities Exchange Act of 1934 (the “Exchange Act”) as soon as reasonably practicable after such documents are electronically filed with, or furnished to, the United States Securities and Exchange Commission (the “SEC”). The SEC maintains an internet website at www.sec.gov that contains reports, proxy and information statements and other information regarding WillScot Mobile Mini.</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1D2758"/>
        </w:rPr>
        <w:t>Regulatory and Environmental Compliance</w:t>
      </w:r>
    </w:p>
    <w:p>
      <w:pPr>
        <w:spacing w:after="0" w:line="42"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We are subject to certain environmental, transportation, anti-corruption, import control, health and safety, and other laws and regulations in countries, states or provinces, and localities in which we operate. We incur significant costs in our business to comply with these laws and regulations. However, from time to time we may be subject to additional costs and penalties as a result of non-compliance. The discovery of currently unknown matters or conditions, new laws and regulations, or different enforcement or interpretation of existing laws and regulations could materially harm our business or operations in the future.</w:t>
      </w:r>
    </w:p>
    <w:p>
      <w:pPr>
        <w:spacing w:after="0" w:line="35"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We are subject to laws and regulations that govern and impose liability for activities that may have adverse environmental effects, including discharges into air and water and handling and disposal of hazardous substances and waste. As of the date of this filing, no environmental matter has been material to our operations. Based on our management’s assessment, we believe that any environmental matters relating to us of which we are currently aware will not be material to our overall business or financial condition.</w:t>
      </w:r>
    </w:p>
    <w:p>
      <w:pPr>
        <w:spacing w:after="0" w:line="33"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The jurisdictions in which we operate are also subject to anti-bribery laws and regulations, such as the US Foreign Corrupt Practices Act of 1977, as amended (the “FCPA”). These regulations prevent companies and their officers, employees, and agents from making payments to officials and public entities of foreign countries to facilitate obtaining new contracts. Violations of these laws and regulations may result in criminal sanctions and significant monetary penalties.</w:t>
      </w:r>
    </w:p>
    <w:p>
      <w:pPr>
        <w:spacing w:after="0" w:line="33"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Certain of our units are subject to regulation in certain states under motor vehicle and similar registrations and certificate of title statutes. Management believes that the Company has complied, in all material respects, with all motor vehicle registration and similar certificate of title statutes in states where such statutes clearly apply to modular space units. We have not taken actions under such statutes in states where we have determined that such statutes do not apply to modular space units. However, in certain states, the applicability of such statutes to modular space units is not clear beyond doubt. If additional registration and related requirements are deemed to be necessary in such states or if the laws in such states or other states were to change to require us to comply with such requirements, we could be subject to additional costs, fees, and taxes as well as administrative burdens in order to comply with such statutes and requirements. Management does not believe that the effect of such compliance will be material to our business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28" w:right="319" w:bottom="1440" w:gutter="0" w:footer="0" w:header="0"/>
        </w:sectPr>
      </w:pPr>
    </w:p>
    <w:bookmarkStart w:id="21" w:name="page22"/>
    <w:bookmarkEnd w:id="21"/>
    <w:p>
      <w:pPr>
        <w:spacing w:after="0"/>
        <w:tabs>
          <w:tab w:leader="none" w:pos="1700" w:val="left"/>
        </w:tabs>
        <w:rPr>
          <w:sz w:val="20"/>
          <w:szCs w:val="20"/>
          <w:color w:val="auto"/>
        </w:rPr>
      </w:pPr>
      <w:r>
        <w:rPr>
          <w:rFonts w:ascii="Arial" w:cs="Arial" w:eastAsia="Arial" w:hAnsi="Arial"/>
          <w:sz w:val="32"/>
          <w:szCs w:val="32"/>
          <w:b w:val="1"/>
          <w:bCs w:val="1"/>
          <w:color w:val="auto"/>
        </w:rPr>
        <w:t>ITEM 1A.</w:t>
      </w:r>
      <w:r>
        <w:rPr>
          <w:sz w:val="20"/>
          <w:szCs w:val="20"/>
          <w:color w:val="auto"/>
        </w:rPr>
        <w:tab/>
      </w:r>
      <w:r>
        <w:rPr>
          <w:rFonts w:ascii="Arial" w:cs="Arial" w:eastAsia="Arial" w:hAnsi="Arial"/>
          <w:sz w:val="31"/>
          <w:szCs w:val="31"/>
          <w:b w:val="1"/>
          <w:bCs w:val="1"/>
          <w:color w:val="auto"/>
        </w:rPr>
        <w:t>Risk Factors</w:t>
      </w:r>
    </w:p>
    <w:p>
      <w:pPr>
        <w:spacing w:after="0" w:line="86" w:lineRule="exact"/>
        <w:rPr>
          <w:sz w:val="20"/>
          <w:szCs w:val="20"/>
          <w:color w:val="auto"/>
        </w:rPr>
      </w:pPr>
    </w:p>
    <w:p>
      <w:pPr>
        <w:spacing w:after="0"/>
        <w:rPr>
          <w:sz w:val="20"/>
          <w:szCs w:val="20"/>
          <w:color w:val="auto"/>
        </w:rPr>
      </w:pPr>
      <w:r>
        <w:rPr>
          <w:rFonts w:ascii="Arial" w:cs="Arial" w:eastAsia="Arial" w:hAnsi="Arial"/>
          <w:sz w:val="19"/>
          <w:szCs w:val="19"/>
          <w:color w:val="1D2758"/>
        </w:rPr>
        <w:t>Risks Relating to Our Business</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We may be unable to successfully acquire and integrate new operations, which could cause our business to suffer.</w:t>
      </w:r>
    </w:p>
    <w:p>
      <w:pPr>
        <w:spacing w:after="0" w:line="66"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We have historically achieved a significant portion of our growth through acquisitions, and we will continue to consider potential acquisitions on a selective basis. There can be no assurance that we will be able to identify suitable acquisition opportunities in the future or that we will be able to consummate any such transactions on terms and conditions acceptable to us.</w:t>
      </w:r>
    </w:p>
    <w:p>
      <w:pPr>
        <w:spacing w:after="0" w:line="31"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Additionally, we cannot predict if or when acquisitions will be completed, and we may face significant competition for acquisition targets. Acquisitions involve numerous risks, including (a) difficulties in integrating the operations, technologies, management information systems, products and personnel of the acquired companies; (b) diversion of management’s attention from normal daily operations of the business; (c) loss of key employees; (d) difficulties in entering markets in which we have no or limited prior experience and where our competitors in such markets have stronger market positions; (e) difficulties in complying with regulations, such as antitrust and environmental regulations, and managing risks related to an acquired business; (f) an inability to timely obtain financing, including any amendments required to existing financing agreements; (g) an inability to implement uniform standards, controls, procedures and policies; (h) undiscovered and unknown problems, defects, liabilities or other issues related to any acquisition that become known to us only after the acquisition, particularly relating to rental equipment on lease that are unavailable for inspection during the diligence process; and (i) loss of key customers or suppliers.</w:t>
      </w:r>
    </w:p>
    <w:p>
      <w:pPr>
        <w:spacing w:after="0" w:line="37" w:lineRule="exact"/>
        <w:rPr>
          <w:sz w:val="20"/>
          <w:szCs w:val="20"/>
          <w:color w:val="auto"/>
        </w:rPr>
      </w:pPr>
    </w:p>
    <w:p>
      <w:pPr>
        <w:ind w:left="540"/>
        <w:spacing w:after="0"/>
        <w:rPr>
          <w:sz w:val="20"/>
          <w:szCs w:val="20"/>
          <w:color w:val="auto"/>
        </w:rPr>
      </w:pPr>
      <w:r>
        <w:rPr>
          <w:rFonts w:ascii="Arial" w:cs="Arial" w:eastAsia="Arial" w:hAnsi="Arial"/>
          <w:sz w:val="13"/>
          <w:szCs w:val="13"/>
          <w:color w:val="auto"/>
        </w:rPr>
        <w:t>In connection with acquisitions, we may assume liabilities or acquire damaged assets, some of which may be unknown to us at the time of such acquisitions.</w:t>
      </w:r>
    </w:p>
    <w:p>
      <w:pPr>
        <w:spacing w:after="0" w:line="47"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We assess the condition and regulatory certification of an acquired fleet as part of our acquisition due diligence. In some cases, fleet condition or regulatory certification may be difficult to determine due to the fleet being on lease at the time of acquisition and/or inadequate certification records. Fleet acquisitions may therefore result in a rectification cost that we may not have factored into the acquisition price, impacting our ability to deploy units and the profitability of the fleet we acquired.</w:t>
      </w:r>
    </w:p>
    <w:p>
      <w:pPr>
        <w:spacing w:after="0" w:line="33"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We must continue to take actions to realize the combined cost synergies that we forecast for the acquisition. We may incur more costs than we anticipated to achieve the forecast synergies (thus reducing the net benefit of the cost synergies), realize synergies later than we expected or fail altogether to achieve a portion of the cost savings we anticipated. Any of these events could cause reductions in our earnings per share, impact our ability to borrow funds under our credit facility, decrease or delay the accretive effect of the acquisitions that we anticipated and negatively impact our stock price.</w:t>
      </w:r>
    </w:p>
    <w:p>
      <w:pPr>
        <w:spacing w:after="0" w:line="35" w:lineRule="exact"/>
        <w:rPr>
          <w:sz w:val="20"/>
          <w:szCs w:val="20"/>
          <w:color w:val="auto"/>
        </w:rPr>
      </w:pPr>
    </w:p>
    <w:p>
      <w:pPr>
        <w:jc w:val="both"/>
        <w:ind w:firstLine="524"/>
        <w:spacing w:after="0" w:line="246" w:lineRule="auto"/>
        <w:rPr>
          <w:sz w:val="20"/>
          <w:szCs w:val="20"/>
          <w:color w:val="auto"/>
        </w:rPr>
      </w:pPr>
      <w:r>
        <w:rPr>
          <w:rFonts w:ascii="Arial" w:cs="Arial" w:eastAsia="Arial" w:hAnsi="Arial"/>
          <w:sz w:val="13"/>
          <w:szCs w:val="13"/>
          <w:color w:val="auto"/>
        </w:rPr>
        <w:t>Acquisitions are inherently risky, and we cannot provide assurance that any future acquisitions will be successful or will not materially adversely affect our business, results of operations and financial condition. If we do not manage new markets effectively, some of our new branches and acquisitions may lose money or fail, and we may have to close unprofitable branches. Closing a branch in such circumstances would likely result in additional expenses that would cause our operating results to suffer. To manage growth successfully, we will need to continue to identify additional qualified managers and employees to integrate acquisitions within our established operating, financial and other internal procedures and controls. The efficient integration of any acquired operations will also require the integration of technology infrastructure systems and a transition to new systems when required. An inability to integrate these systems following an acquisition, or an inability to scale our existing infrastructure or systems to support such acquired operations, might impact our ability to respond effectively to changing customer expectations, manage our business, scale our solutions effectively or impact our customer service levels, which could put us at a competitive disadvantage and negatively impact our financial results. We will also need to effectively motivate, train and manage our employees. Failure to successfully integrate recent and future acquisitions and new branches into existing operations could materially adversely affect our results of operations and financial condition.</w:t>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Global or local economic movements could have a material adverse effect on our business.</w:t>
      </w:r>
    </w:p>
    <w:p>
      <w:pPr>
        <w:spacing w:after="0" w:line="66"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Our business, which operates in the US, Canada, Mexico and the UK, may be negatively impacted by economic movements or downturns in the local markets in which we operate or global markets generally. These adverse economic conditions may reduce commercial activity, cause disruption and extreme volatility in global financial markets and increase rates of default and bankruptcy. Reduced commercial activity has historically resulted in reduced demand for our products and services. For example, reduced commercial activity in the construction, energy and natural resources sectors in certain markets in which we operate, particularly the US and Canada, has negatively impacted our business in the past. Disruptions in financial markets could negatively impact the ability of our customers to pay their obligations to us in a timely manner and increase our counterparty risk. If economic conditions worsen, we may face reduced demand and an increase, relative to historical levels, in the time it takes to receive customer payments. If we are not able to adjust our business in a timely and effective manner to changing economic conditions, our business, results of operations and financial condition may be materially adversely affected.</w:t>
      </w:r>
    </w:p>
    <w:p>
      <w:pPr>
        <w:spacing w:after="0" w:line="37"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Moreover, the level of demand for our products and services is sensitive to the level of demand within various sectors, particularly the commercial and industrial, construction, education, energy and natural resources, and government end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22" w:name="page23"/>
    <w:bookmarkEnd w:id="22"/>
    <w:p>
      <w:pPr>
        <w:jc w:val="both"/>
        <w:spacing w:after="0" w:line="249" w:lineRule="auto"/>
        <w:rPr>
          <w:sz w:val="20"/>
          <w:szCs w:val="20"/>
          <w:color w:val="auto"/>
        </w:rPr>
      </w:pPr>
      <w:r>
        <w:rPr>
          <w:rFonts w:ascii="Arial" w:cs="Arial" w:eastAsia="Arial" w:hAnsi="Arial"/>
          <w:sz w:val="13"/>
          <w:szCs w:val="13"/>
          <w:color w:val="auto"/>
        </w:rPr>
        <w:t>markets. Each of these sectors is influenced not only by the state of the general global economy, but also by a number of more specific factors as well. For example, a decline in global or local energy prices may materially adversely affect demand for modular buildings within the energy and resources sector. The levels of activity in these sectors and geographic regions may also be cyclical, and we may not be able to predict the timing, extent or duration of the activity cycles in the markets in which we or our key customers operate. A decline or slowed growth in any of these sectors or geographic regions could result in reduced demand for our products and services, which may materially adversely affect our business, results of operations and financial condition.</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operations are exposed to operational, economic, political and regulatory risks.</w:t>
      </w:r>
    </w:p>
    <w:p>
      <w:pPr>
        <w:spacing w:after="0" w:line="55"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We operate in the US, Canada, Mexico and the UK. For the year ended December 31, 2021, approximately 87.2%, 6.1%, 0.8%, and 5.9% of our revenue was generated in the US, Canada, Mexico and the UK, respectively. For the year ended December 31, 2021, approximately 61.4%, 26.8%, 5.9%, and 5.9% of our revenue was derived from our NA Modular Solutions business, NA Storage Solutions business, UK Storage Solutions business and Tank and Pump Solutions business, respectively.</w:t>
      </w:r>
    </w:p>
    <w:p>
      <w:pPr>
        <w:spacing w:after="0" w:line="33" w:lineRule="exact"/>
        <w:rPr>
          <w:sz w:val="20"/>
          <w:szCs w:val="20"/>
          <w:color w:val="auto"/>
        </w:rPr>
      </w:pPr>
    </w:p>
    <w:p>
      <w:pPr>
        <w:jc w:val="both"/>
        <w:ind w:firstLine="524"/>
        <w:spacing w:after="0" w:line="246" w:lineRule="auto"/>
        <w:rPr>
          <w:sz w:val="20"/>
          <w:szCs w:val="20"/>
          <w:color w:val="auto"/>
        </w:rPr>
      </w:pPr>
      <w:r>
        <w:rPr>
          <w:rFonts w:ascii="Arial" w:cs="Arial" w:eastAsia="Arial" w:hAnsi="Arial"/>
          <w:sz w:val="13"/>
          <w:szCs w:val="13"/>
          <w:color w:val="auto"/>
        </w:rPr>
        <w:t>Our operations in any of these countries could be affected by foreign and domestic economic, political and regulatory risks, including (a) regulatory requirements that are subject to change and that could restrict our ability to assemble, lease or sell products; (b) inflation, recession, and fluctuations in foreign currency exchange and interest rates; (c) trade protection measures, including increased duties and taxes and import or export licensing requirements; (d) compliance with applicable antitrust and other regulatory rules and regulations relating to potential acquisitions; (e) different local product preferences and product requirements; (f) pressures on management time and attention due to the complexities of overseeing multi-national operations; (g) challenges in maintaining staffing; (h) different labor regulations and the potential impact of collective bargaining; (i) potentially adverse consequences from changes in, or interpretations of, tax laws; (j) potentially adverse consequences from change in, or interpretation of, securities laws and other financial reporting regulations; (k) political and economic instability; (l) enforcement of remedies in various jurisdictions; (m) the risk that the business partners upon whom we depend for technical assistance will not perform as expected; (n) compliance with applicable export control laws and economic sanctions laws and regulations; (o) price controls and ownership regulations; (p) obstacles to the repatriation of earnings and cash; (q) differences in business practices that may result in violation of Company policies, including, but not limited to, bribery and collusive practices; and (r) reduced protection for intellectual property in some countries. Additionally, any sustained international conflict may have a negative economic or other impact on the markets we serve, our operations and financial results. These and other risks may materially adversely affect our business, results of operations and financial condition.</w:t>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operations may be adversely impacted by public health crises such as the global pandemic associated with COVID-19.</w:t>
      </w:r>
    </w:p>
    <w:p>
      <w:pPr>
        <w:spacing w:after="0" w:line="66" w:lineRule="exact"/>
        <w:rPr>
          <w:sz w:val="20"/>
          <w:szCs w:val="20"/>
          <w:color w:val="auto"/>
        </w:rPr>
      </w:pPr>
    </w:p>
    <w:p>
      <w:pPr>
        <w:jc w:val="both"/>
        <w:ind w:firstLine="524"/>
        <w:spacing w:after="0" w:line="246" w:lineRule="auto"/>
        <w:rPr>
          <w:sz w:val="20"/>
          <w:szCs w:val="20"/>
          <w:color w:val="auto"/>
        </w:rPr>
      </w:pPr>
      <w:r>
        <w:rPr>
          <w:rFonts w:ascii="Arial" w:cs="Arial" w:eastAsia="Arial" w:hAnsi="Arial"/>
          <w:sz w:val="13"/>
          <w:szCs w:val="13"/>
          <w:color w:val="auto"/>
        </w:rPr>
        <w:t>We are subject to risks related to public health crises, such as the global pandemic associated with COVID-19, which could significantly impact general commercial activity related to our supply chain and customer base and which could have a material adverse effect on our business, financial condition, or result of operations. To the extent that the COVID-19 pandemic continues or worsens, or any future public health crisis emerges, governments may impose additional restrictions, including work restrictions, and supply chains may be interrupted, slowed, or rendered inoperable. As a result, it may be challenging to obtain and process raw materials and labor resources necessary to support our business needs. We may need to recognize material charges in future periods for impairments of our rental equipment, property, plant, and equipment and/or intangible assets. Furthermore, our employees, suppliers or customers could become ill, quarantined or otherwise unable to work and/or travel due to health reasons or governmental restrictions. The COVID-19 global pandemic has affected and may continue to affect our industry and the industries in which our customers operate, and there may be an adverse impact on customer demand for our rentals. We also have been, and will be, adversely impacted by project delays, early returns of equipment on rent with customers and payment delay, or non-payment, by customers who are significantly impacted by COVID-19. If our customers’ businesses continue to be affected, they might delay or reduce purchases from or payments to us, which could adversely affect our business, financial condition or results of operations.</w:t>
      </w:r>
    </w:p>
    <w:p>
      <w:pPr>
        <w:spacing w:after="0" w:line="41"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In addition, increased volatility and diminished expectations for the global economy, coupled with the prospect of decreased business and consumer confidence and increased unemployment resulting from the COVID-19 pandemic or any future public health crises may precipitate an economic slowdown and recession. If the economic climate deteriorates, our ability to continue to grow our business organically or through additional acquisitions and integration of acquired businesses, as well as the financial condition of customers, suppliers and lenders, could be adversely affected, resulting in a negative impact on the business, financial condition, results of operations and cash flows of our Company.</w:t>
      </w:r>
    </w:p>
    <w:p>
      <w:pPr>
        <w:spacing w:after="0" w:line="35"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The situation surrounding COVID-19 remains fluid. A lack of public acceptance of vaccines could lead people to continue to self-isolate and not participate in the economy at pre-pandemic levels for a prolonged period of time. Further, even if vaccines are widely accepted, there can be no assurance that the vaccine will ultimately be successful in limiting or stopping the spread of COVID-19 and its variants. Therefore, it remains difficult to predict the potential impact of the virus on our results of operations and financial position. The potential effects of COVID-19 also could impact many of our risk factors, as discussed herein, including, but not limited to our exposure to operational, economic, political and regulatory risks; risks related to global or local economic movements; changes in trade policies; and labor disruptions. However, given the evolving health, economic, social, and governmental environments, the potential impact that COVID-19 could have on our risk factors that are further</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28" w:right="319" w:bottom="1440" w:gutter="0" w:footer="0" w:header="0"/>
        </w:sectPr>
      </w:pPr>
    </w:p>
    <w:bookmarkStart w:id="23" w:name="page24"/>
    <w:bookmarkEnd w:id="23"/>
    <w:p>
      <w:pPr>
        <w:spacing w:after="0"/>
        <w:rPr>
          <w:sz w:val="20"/>
          <w:szCs w:val="20"/>
          <w:color w:val="auto"/>
        </w:rPr>
      </w:pPr>
      <w:r>
        <w:rPr>
          <w:rFonts w:ascii="Arial" w:cs="Arial" w:eastAsia="Arial" w:hAnsi="Arial"/>
          <w:sz w:val="13"/>
          <w:szCs w:val="13"/>
          <w:color w:val="auto"/>
        </w:rPr>
        <w:t>described herein remains uncertain. Any future pandemics could similarly negatively impact our operations and financial results.</w:t>
      </w:r>
    </w:p>
    <w:p>
      <w:pPr>
        <w:spacing w:after="0" w:line="47"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Several governmental entities have enacted or may enact enforceable government mandates with respect to employee vaccinations against COVID-19. Any requirement to mandate COVID-19 vaccination of our workforce or require our unvaccinated employees to be tested weekly could result in employee attrition and difficulty securing future labor needs, which could adversely affect our business, financial condition or results of operations.</w:t>
      </w:r>
    </w:p>
    <w:p>
      <w:pPr>
        <w:spacing w:after="0" w:line="57" w:lineRule="exact"/>
        <w:rPr>
          <w:sz w:val="20"/>
          <w:szCs w:val="20"/>
          <w:color w:val="auto"/>
        </w:rPr>
      </w:pPr>
    </w:p>
    <w:p>
      <w:pPr>
        <w:jc w:val="both"/>
        <w:spacing w:after="0" w:line="270" w:lineRule="auto"/>
        <w:rPr>
          <w:sz w:val="20"/>
          <w:szCs w:val="20"/>
          <w:color w:val="auto"/>
        </w:rPr>
      </w:pPr>
      <w:r>
        <w:rPr>
          <w:rFonts w:ascii="Arial" w:cs="Arial" w:eastAsia="Arial" w:hAnsi="Arial"/>
          <w:sz w:val="15"/>
          <w:szCs w:val="15"/>
          <w:b w:val="1"/>
          <w:bCs w:val="1"/>
          <w:color w:val="auto"/>
        </w:rPr>
        <w:t>Any failure of our management information systems could disrupt our business operations both in the field and back office, which could result in decreased lease or sale revenue and increase overhead costs.</w:t>
      </w:r>
    </w:p>
    <w:p>
      <w:pPr>
        <w:spacing w:after="0" w:line="25"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We rely heavily on information systems across our operations. We also utilize third-party cloud providers to host certain of our applications and to store data. Our ability to effectively manage our business depends significantly on the reliability and capacity of these systems. The failure of our management information systems to perform as anticipated could damage our reputation with our customers, disrupt our business or result in, among other things, decreased lease and sales revenue and increased overhead costs. Any such failure could harm our business, results of operations and financial condition. In addition, the delay or failure to implement information system upgrades and new systems effectively could disrupt our business, distract management’s focus and attention from business operations and growth initiatives and increase our implementation and operating costs, any of which could materially adversely affect our operations and operating results. Moreover, the integration of any acquisition may create unforeseen challenges for our management information systems which could result in unforeseen expenditures and other risks, including difficulties in managing facilities and employees in different geographic areas.</w:t>
      </w:r>
    </w:p>
    <w:p>
      <w:pPr>
        <w:spacing w:after="0" w:line="37" w:lineRule="exact"/>
        <w:rPr>
          <w:sz w:val="20"/>
          <w:szCs w:val="20"/>
          <w:color w:val="auto"/>
        </w:rPr>
      </w:pPr>
    </w:p>
    <w:p>
      <w:pPr>
        <w:jc w:val="both"/>
        <w:ind w:firstLine="524"/>
        <w:spacing w:after="0" w:line="246" w:lineRule="auto"/>
        <w:rPr>
          <w:sz w:val="20"/>
          <w:szCs w:val="20"/>
          <w:color w:val="auto"/>
        </w:rPr>
      </w:pPr>
      <w:r>
        <w:rPr>
          <w:rFonts w:ascii="Arial" w:cs="Arial" w:eastAsia="Arial" w:hAnsi="Arial"/>
          <w:sz w:val="13"/>
          <w:szCs w:val="13"/>
          <w:color w:val="auto"/>
        </w:rPr>
        <w:t>We believe we have implemented appropriate measures to mitigate potential risks; however, like other companies, our information technology systems may be vulnerable to a variety of interruptions due to our own error or events beyond our control. The measures that we employ to protect our systems may not detect or prevent cybersecurity breaches, natural disasters, terrorist attacks, telecommunication failures, computer viruses, hackers, phishing attacks, and other security issues. We have previously been the target of an attempted cyber-attack and have from time to time experienced threats to our data and systems, computer virus attacks and phishing attempts, and we may be subject to breaches of the information systems that we use. We have not experienced a material cybersecurity breach. We have programs in place that are intended to detect, contain and respond to data security incidents and that provide employee awareness training regarding phishing, malware, and other cyber risks to protect against cyber risks and security breaches. However, because the techniques used to obtain unauthorized access, disable or degrade service, or sabotage systems change frequently and may be difficult to detect for long periods of time, we may be unable to anticipate these techniques or implement adequate preventative measures. In addition, because our systems contain information about individuals and other businesses, the failure to maintain the security of the data we hold, whether the result of our own error or the malfeasance or errors of others, could harm our reputation or give rise to legal liabilities leading to lower revenue, increased costs, regulatory sanctions and other potential material adverse effects on our business, results of operations and financial condition.</w:t>
      </w:r>
    </w:p>
    <w:p>
      <w:pPr>
        <w:spacing w:after="0" w:line="64" w:lineRule="exact"/>
        <w:rPr>
          <w:sz w:val="20"/>
          <w:szCs w:val="20"/>
          <w:color w:val="auto"/>
        </w:rPr>
      </w:pPr>
    </w:p>
    <w:p>
      <w:pPr>
        <w:jc w:val="both"/>
        <w:spacing w:after="0" w:line="270" w:lineRule="auto"/>
        <w:rPr>
          <w:sz w:val="20"/>
          <w:szCs w:val="20"/>
          <w:color w:val="auto"/>
        </w:rPr>
      </w:pPr>
      <w:r>
        <w:rPr>
          <w:rFonts w:ascii="Arial" w:cs="Arial" w:eastAsia="Arial" w:hAnsi="Arial"/>
          <w:sz w:val="15"/>
          <w:szCs w:val="15"/>
          <w:b w:val="1"/>
          <w:bCs w:val="1"/>
          <w:color w:val="auto"/>
        </w:rPr>
        <w:t>Effective management of our fleet is vital to our business, and our failure to properly safeguard, design, manufacture, repair, maintain and manage our fleet could harm our business and reduce our operating results and cash flows.</w:t>
      </w:r>
    </w:p>
    <w:p>
      <w:pPr>
        <w:spacing w:after="0" w:line="25"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Our modular space and portable storage units have long economic lives and managing our fleet is a critical element to our leasing business. Rental equipment asset management requires designing and building long-lived products that anticipate customer needs and changes in legislation, regulations, building codes and local permitting in the various markets in which we operate. In addition, we must cost-effectively maintain and repair our fleet to maximize the economic life of the products and the proceeds we receive from product sales. As the needs of our customers change, we may incur costs to relocate or retrofit our assets to better meet shifts in demand. If the distribution of our assets is not aligned with regional demand, we may be unable to take advantage of sales and leasing opportunities in certain regions, despite excess inventory in other regions. If we are not able to successfully manage our lease assets, our business, results of operations and financial condition may be materially adversely affected.</w:t>
      </w:r>
    </w:p>
    <w:p>
      <w:pPr>
        <w:spacing w:after="0" w:line="38"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If we do not appropriately manage the design, manufacture, repair and maintenance of our product fleet, or if we delay or defer such repair or maintenance or suffer unexpected losses of rental equipment due to theft or obsolescence, we may be required to incur impairment charges for equipment that is beyond economic repair or incur significant capital expenditures to acquire new rental equipment to serve demand. These failures may also result in personal injury or property damage claims, including claims based on poor indoor air quality and termination of leases or contracts by customers. Costs of contract performance, potential litigation and profits lost from termination could materially adversely affect our future operating results and cash flows. If a significant number of leased units are returned in a short period of time, a large supply of units would need to be remarketed. Our failure to effectively remarket a large influx of units returning from leases could materially adversely affect our financial performance.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28" w:right="319" w:bottom="1440" w:gutter="0" w:footer="0" w:header="0"/>
        </w:sectPr>
      </w:pPr>
    </w:p>
    <w:bookmarkStart w:id="24" w:name="page25"/>
    <w:bookmarkEnd w:id="24"/>
    <w:p>
      <w:pPr>
        <w:jc w:val="both"/>
        <w:spacing w:after="0" w:line="270" w:lineRule="auto"/>
        <w:rPr>
          <w:sz w:val="20"/>
          <w:szCs w:val="20"/>
          <w:color w:val="auto"/>
        </w:rPr>
      </w:pPr>
      <w:r>
        <w:rPr>
          <w:rFonts w:ascii="Arial" w:cs="Arial" w:eastAsia="Arial" w:hAnsi="Arial"/>
          <w:sz w:val="15"/>
          <w:szCs w:val="15"/>
          <w:b w:val="1"/>
          <w:bCs w:val="1"/>
          <w:color w:val="auto"/>
        </w:rPr>
        <w:t>Trade policies and changes in trade policies, including the imposition of tariffs, their enforcement and downstream consequences, may materially adversely affect our business, results of operations, and outlook.</w:t>
      </w:r>
    </w:p>
    <w:p>
      <w:pPr>
        <w:spacing w:after="0" w:line="25"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Tariffs and/or other developments with respect to trade policies, trade agreements and government regulations may materially, adversely affect our business, financial condition and results of operations. For example, the US government has imposed tariffs on steel, aluminum and lumber imports from certain countries, which could result in increased costs to us for these materials. Without limitation, (i) tariffs currently in place and (ii) the imposition by the federal government of new tariffs on imports to the US could materially increase (a) the cost of our products that we are offering for sale or lease, (b) the cost of certain products that we source from foreign manufacturers, and (c) the cost of certain raw materials or products that we utilize. We may not be able to pass such increased costs on to our customers, and we may not be able to secure sources of certain products and materials that are not subject to tariffs on a timely basis. Although we actively monitor our procurement policies and practices to avoid undue reliance on foreign-sourced goods subject to tariffs, when practicable, such developments may materially adversely affect our business, financial condition and results of operations.</w:t>
      </w:r>
    </w:p>
    <w:p>
      <w:pPr>
        <w:spacing w:after="0" w:line="61" w:lineRule="exact"/>
        <w:rPr>
          <w:sz w:val="20"/>
          <w:szCs w:val="20"/>
          <w:color w:val="auto"/>
        </w:rPr>
      </w:pPr>
    </w:p>
    <w:p>
      <w:pPr>
        <w:jc w:val="both"/>
        <w:spacing w:after="0" w:line="306" w:lineRule="auto"/>
        <w:rPr>
          <w:sz w:val="20"/>
          <w:szCs w:val="20"/>
          <w:color w:val="auto"/>
        </w:rPr>
      </w:pPr>
      <w:r>
        <w:rPr>
          <w:rFonts w:ascii="Arial" w:cs="Arial" w:eastAsia="Arial" w:hAnsi="Arial"/>
          <w:sz w:val="14"/>
          <w:szCs w:val="14"/>
          <w:b w:val="1"/>
          <w:bCs w:val="1"/>
          <w:color w:val="auto"/>
        </w:rPr>
        <w:t>We face significant competition in the modular space, portable storage and tank and pump industries. Such competition may result in pricing pressure or an inability to maintain or grow our market share. If we are unable to compete successfully, we could lose customers and our revenue and profitability could decline.</w:t>
      </w:r>
    </w:p>
    <w:p>
      <w:pPr>
        <w:spacing w:after="0" w:line="3"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Although our competition varies significantly by market, the modular space, portable storage, and the tank and pump solutions industries are highly competitive, in general, and the portable storage and tank and pump solutions industries are highly fragmented. We compete on the basis of a number of factors, including customer relationships, product quality and availability, delivery speed, VAPS and service capabilities, pricing, and overall ease of doing business. We may experience pricing pressures in our operations as some of our competitors seek to obtain market share by reducing prices, and we may face reduced demand for our products and services if our competitors are able to provide new or innovative products or services that better appeal to customers. In most of our end markets, we face competition from national, regional and local companies who have an established market position in the specific service area, and we expect to encounter similar competition in any new markets that we may enter. In certain markets, some of our competitors may have greater market share, less debt, greater pricing flexibility, more attractive product or service offerings, better brand recognition or superior marketing and financial resources. Increased competition could result in lower profit margins, substantial pricing pressure and reduced market share. Price competition, together with other forms of competition, may materially adversely affect our business, results of operations and financial condition.</w:t>
      </w:r>
    </w:p>
    <w:p>
      <w:pPr>
        <w:spacing w:after="0" w:line="60" w:lineRule="exact"/>
        <w:rPr>
          <w:sz w:val="20"/>
          <w:szCs w:val="20"/>
          <w:color w:val="auto"/>
        </w:rPr>
      </w:pPr>
    </w:p>
    <w:p>
      <w:pPr>
        <w:jc w:val="both"/>
        <w:spacing w:after="0" w:line="270" w:lineRule="auto"/>
        <w:rPr>
          <w:sz w:val="20"/>
          <w:szCs w:val="20"/>
          <w:color w:val="auto"/>
        </w:rPr>
      </w:pPr>
      <w:r>
        <w:rPr>
          <w:rFonts w:ascii="Arial" w:cs="Arial" w:eastAsia="Arial" w:hAnsi="Arial"/>
          <w:sz w:val="15"/>
          <w:szCs w:val="15"/>
          <w:b w:val="1"/>
          <w:bCs w:val="1"/>
          <w:color w:val="auto"/>
        </w:rPr>
        <w:t>If we do not manage our credit risk effectively, collect on our accounts receivable, or recover our rental equipment from our customers, it could materially adversely affect our business, financial condition and results of operations.</w:t>
      </w:r>
    </w:p>
    <w:p>
      <w:pPr>
        <w:spacing w:after="0" w:line="25" w:lineRule="exact"/>
        <w:rPr>
          <w:sz w:val="20"/>
          <w:szCs w:val="20"/>
          <w:color w:val="auto"/>
        </w:rPr>
      </w:pPr>
    </w:p>
    <w:p>
      <w:pPr>
        <w:jc w:val="both"/>
        <w:ind w:firstLine="524"/>
        <w:spacing w:after="0" w:line="248" w:lineRule="auto"/>
        <w:rPr>
          <w:sz w:val="20"/>
          <w:szCs w:val="20"/>
          <w:color w:val="auto"/>
        </w:rPr>
      </w:pPr>
      <w:r>
        <w:rPr>
          <w:rFonts w:ascii="Arial" w:cs="Arial" w:eastAsia="Arial" w:hAnsi="Arial"/>
          <w:sz w:val="13"/>
          <w:szCs w:val="13"/>
          <w:color w:val="auto"/>
        </w:rPr>
        <w:t>We perform credit evaluation procedures on our customers on each transaction and require security deposits or other forms of security from our customers when we identify a significant credit risk. Failure to manage our credit risk and receive timely payments on our customer accounts receivable may result in the write-off of customer receivables and loss of units if we are unable to recover our rental equipment from our customers’ sites. If we are not able to manage credit risk, or if a large number of customers should have financial difficulties at the same time, our credit and rental equipment losses would increase above historical levels. If this should occur, our business, financial condition, results of operations and cash flows may be materially adversely affected.</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5"/>
          <w:szCs w:val="15"/>
          <w:b w:val="1"/>
          <w:bCs w:val="1"/>
          <w:color w:val="auto"/>
        </w:rPr>
        <w:t>Changes in state building codes could adversely impact our ability to remarket our buildings, which could have a material adverse impact on our business, financial condition and results of operations.</w:t>
      </w:r>
    </w:p>
    <w:p>
      <w:pPr>
        <w:spacing w:after="0" w:line="25"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Building codes are generally reviewed, debated and, in certain cases, modified on a national level every three years as an ongoing effort to keep the regulations current and improve the life, safety and welfare of the buildings' occupants. All aspects of a given code are subject to change, including, but not limited to, such items as structural specifications for earthquake safety, energy efficiency and environmental standards, fire and life safety, transportation, lighting and noise limits. On occasion, state agencies have undertaken studies of indoor air quality and noise levels with a focus on permanent and modular classrooms. This process leads to a systematic change that requires engagement in the process and recognition that past methods will not always be accepted. New modular construction is very similar to conventional construction where newer codes and regulations generally increase cost. New governmental regulations may increase our costs to acquire new rental equipment, as well as increase our costs to refurbish existing equipment.</w:t>
      </w:r>
    </w:p>
    <w:p>
      <w:pPr>
        <w:spacing w:after="0" w:line="38"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Compliance with building codes and regulations entails risk as state and local government authorities do not necessarily interpret building codes and regulations in a consistent manner, particularly where applicable regulations may be unclear and subject to interpretation. These regulations often provide broad discretion to governmental authorities that oversee these matters, which can result in unanticipated delays or increases in the cost of compliance in particular markets. The construction and modular industries have developed many “best practices” which are constantly evolving. Some of our peers and competitors may adopt practices that are more or less stringent than ours. When, and if, regulators clarify regulatory standards, the effect of the clarification may be to impose rules on our business and practices retroactively, at which time we may not be in compliance with such regulations and we may be required to incur costly remediation. If we are unable to pass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07" w:right="319" w:bottom="1440" w:gutter="0" w:footer="0" w:header="0"/>
        </w:sectPr>
      </w:pPr>
    </w:p>
    <w:bookmarkStart w:id="25" w:name="page26"/>
    <w:bookmarkEnd w:id="25"/>
    <w:p>
      <w:pPr>
        <w:spacing w:after="0"/>
        <w:rPr>
          <w:sz w:val="20"/>
          <w:szCs w:val="20"/>
          <w:color w:val="auto"/>
        </w:rPr>
      </w:pPr>
      <w:r>
        <w:rPr>
          <w:rFonts w:ascii="Arial" w:cs="Arial" w:eastAsia="Arial" w:hAnsi="Arial"/>
          <w:sz w:val="13"/>
          <w:szCs w:val="13"/>
          <w:color w:val="auto"/>
        </w:rPr>
        <w:t>these increased costs on to our customers, our business, financial condition, operating cash flows and results of operations could be negatively impacted.</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operations face foreign currency exchange rate exposure, which may materially adversely affect our business, results of operations and financial condition.</w:t>
      </w:r>
    </w:p>
    <w:p>
      <w:pPr>
        <w:spacing w:after="0" w:line="78"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We hold assets, incur liabilities, earn revenue and pay expenses in certain currencies other than the US Dollar, primarily the Canadian Dollar, the Mexican Peso and the British Pound. Our consolidated financial results are denominated in US Dollars, and therefore, during times of a strengthening US Dollar, our reported revenue in non-US Dollar jurisdictions will be reduced because the local currency will translate into fewer US Dollars. Revenue and expenses are translated into US Dollars at the average exchange rate for the period. In addition, the assets and liabilities of our non-US Dollar subsidiaries are translated into US Dollars at the exchange rates in effect on the balance sheet date. Foreign currency exchange adjustments arising from certain intercompany obligations with and between our domestic companies and our foreign subsidiaries are marked-to-market and recorded as a non-cash loss or gain in each of our financial periods in our consolidated statements of operations. Accordingly, changes in currency exchange rates will cause our foreign currency translation adjustment in the consolidated statements of comprehensive income (loss) to fluctuate. In addition, fluctuations in foreign currency exchange rates will impact the amount of US Dollars we receive when we repatriate funds from our non-US Dollar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Fluctuations in interest rates and commodity prices may also materially adversely affect our revenues, results of operations and cash flows.</w:t>
      </w:r>
    </w:p>
    <w:p>
      <w:pPr>
        <w:spacing w:after="0" w:line="66"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Although we have converted a portion of our senior secured revolving credit facility borrowings into fixed-rate debt through interest rate swaps, a significant portion of our borrowings under the facility remain variable rate debt. Fluctuations in interest rates may negatively impact the amount of interest payments, as well as our ability to refinance portions of our existing debt in the future at attractive interest rates. In addition, certain of our end markets, as well as portions of our cost structure, such as transportation costs, are sensitive to changes in commodity prices, which can impact both demand for and profitability of our services. These changes could impact our future earnings and cash flows, assuming other factors are held constant.</w:t>
      </w:r>
    </w:p>
    <w:p>
      <w:pPr>
        <w:spacing w:after="0" w:line="58" w:lineRule="exact"/>
        <w:rPr>
          <w:sz w:val="20"/>
          <w:szCs w:val="20"/>
          <w:color w:val="auto"/>
        </w:rPr>
      </w:pPr>
    </w:p>
    <w:p>
      <w:pPr>
        <w:jc w:val="both"/>
        <w:spacing w:after="0" w:line="270" w:lineRule="auto"/>
        <w:rPr>
          <w:sz w:val="20"/>
          <w:szCs w:val="20"/>
          <w:color w:val="auto"/>
        </w:rPr>
      </w:pPr>
      <w:r>
        <w:rPr>
          <w:rFonts w:ascii="Arial" w:cs="Arial" w:eastAsia="Arial" w:hAnsi="Arial"/>
          <w:sz w:val="15"/>
          <w:szCs w:val="15"/>
          <w:b w:val="1"/>
          <w:bCs w:val="1"/>
          <w:color w:val="auto"/>
        </w:rPr>
        <w:t>Significant increases in the costs and restrictions on the availability of raw materials and labor could increase our operating costs significantly and harm our profitability.</w:t>
      </w:r>
    </w:p>
    <w:p>
      <w:pPr>
        <w:spacing w:after="0" w:line="25"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We incur labor costs and purchase raw materials, including steel, lumber, siding and roofing, paint, glass, fuel and other parts and materials to perform periodic repairs, modifications and refurbishments to maintain physical conditions of our units and in connection with get-ready, delivery and installation of our units. The volume, timing and mix of such work may vary quarter-to-quarter and year-to-year. Generally, increases in labor and raw material costs will increase the acquisition costs of new units and also increase the repair and maintenance costs of our fleet. We also maintain a truck fleet to deliver units to and return units from our customers, the cost of which is sensitive to maintenance and fuel costs and rental rates on leased equipment. During periods of rising prices for labor or raw materials, and in particular, when the prices increase rapidly or to levels significantly higher than normal, we may incur significant increases in our acquisition costs for new units and higher operating costs that we may not be able to recoup from customers through changes in pricing, which could materially adversely affect our business, results of operations and financial condition. If raw material prices decline significantly, we may have to write down our raw materials inventory values. If this happens, our results of operations and financial condition could decline.</w:t>
      </w:r>
    </w:p>
    <w:p>
      <w:pPr>
        <w:spacing w:after="0" w:line="36"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In addition, the availability of raw materials components fluctuates from time to time due to factors outside of our control, including trade laws and tariffs, natural disasters, global pandemics like COVID-19 and resulting supply chain disruptions, and may impact our ability to meet the production demands of our customers. If the costs of raw materials increase or the availability thereof is restricted, it could adversely affect our financial condition, operating results and cash flows.</w:t>
      </w:r>
    </w:p>
    <w:p>
      <w:pPr>
        <w:spacing w:after="0" w:line="57" w:lineRule="exact"/>
        <w:rPr>
          <w:sz w:val="20"/>
          <w:szCs w:val="20"/>
          <w:color w:val="auto"/>
        </w:rPr>
      </w:pPr>
    </w:p>
    <w:p>
      <w:pPr>
        <w:jc w:val="both"/>
        <w:spacing w:after="0" w:line="270" w:lineRule="auto"/>
        <w:rPr>
          <w:sz w:val="20"/>
          <w:szCs w:val="20"/>
          <w:color w:val="auto"/>
        </w:rPr>
      </w:pPr>
      <w:r>
        <w:rPr>
          <w:rFonts w:ascii="Arial" w:cs="Arial" w:eastAsia="Arial" w:hAnsi="Arial"/>
          <w:sz w:val="15"/>
          <w:szCs w:val="15"/>
          <w:b w:val="1"/>
          <w:bCs w:val="1"/>
          <w:color w:val="auto"/>
        </w:rPr>
        <w:t>Fluctuations in fuel costs or oil prices, a reduction in fuel supplies, or a sustained decline in oil prices may have a material adverse effect on our business and results of operations.</w:t>
      </w:r>
    </w:p>
    <w:p>
      <w:pPr>
        <w:spacing w:after="0" w:line="25"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In connection with our business, to better serve our customers and limit our capital expenditures, we often move our fleet from branch to branch. In addition, the majority of our customers arrange for delivery and pickup of our units through us. Accordingly, we could be materially adversely affected by significant increases in fuel prices that result in higher costs to us for transporting equipment. In the event of fuel and trucking cost increases, we may not be able to promptly raise our prices to make up for increased costs. A significant or prolonged price fluctuation or disruption of fuel supplies could have a material adverse effect on our financial condition and results of operations.</w:t>
      </w:r>
    </w:p>
    <w:p>
      <w:pPr>
        <w:spacing w:after="0" w:line="24" w:lineRule="exact"/>
        <w:rPr>
          <w:sz w:val="20"/>
          <w:szCs w:val="20"/>
          <w:color w:val="auto"/>
        </w:rPr>
      </w:pPr>
    </w:p>
    <w:p>
      <w:pPr>
        <w:jc w:val="both"/>
        <w:ind w:firstLine="524"/>
        <w:spacing w:after="0" w:line="235" w:lineRule="auto"/>
        <w:rPr>
          <w:sz w:val="20"/>
          <w:szCs w:val="20"/>
          <w:color w:val="auto"/>
        </w:rPr>
      </w:pPr>
      <w:r>
        <w:rPr>
          <w:rFonts w:ascii="Arial" w:cs="Arial" w:eastAsia="Arial" w:hAnsi="Arial"/>
          <w:sz w:val="13"/>
          <w:szCs w:val="13"/>
          <w:color w:val="auto"/>
        </w:rPr>
        <w:t>Additionally, oil prices can be volatile and are subject to fluctuations in supply and demand, market uncertainty and a variety of additional factors that are beyond our control. If oil prices remain volatile for an extended period of time or there is a sustained decline in demand for oil, demand for our Tank and Pump Solutions products from refineries and companies engaged in the exploration and production of oil and natural gas could be adversely impacted, which would in turn have an adverse effect on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28" w:right="319" w:bottom="1440" w:gutter="0" w:footer="0" w:header="0"/>
        </w:sectPr>
      </w:pPr>
    </w:p>
    <w:bookmarkStart w:id="26" w:name="page27"/>
    <w:bookmarkEnd w:id="26"/>
    <w:p>
      <w:pPr>
        <w:spacing w:after="0"/>
        <w:rPr>
          <w:sz w:val="20"/>
          <w:szCs w:val="20"/>
          <w:color w:val="auto"/>
        </w:rPr>
      </w:pPr>
      <w:r>
        <w:rPr>
          <w:rFonts w:ascii="Arial" w:cs="Arial" w:eastAsia="Arial" w:hAnsi="Arial"/>
          <w:sz w:val="15"/>
          <w:szCs w:val="15"/>
          <w:b w:val="1"/>
          <w:bCs w:val="1"/>
          <w:color w:val="auto"/>
        </w:rPr>
        <w:t>Third parties may fail to manufacture or provide necessary components for our products properly or in a timely manner.</w:t>
      </w:r>
    </w:p>
    <w:p>
      <w:pPr>
        <w:spacing w:after="0" w:line="66"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We are often dependent on third parties to manufacture or supply components for our products. We typically do not enter into long-term contracts with third-party suppliers. We may experience supply problems as a result of financial or operating difficulties or the failure or consolidation of our suppliers. We may also experience supply problems as a result of shortages and discontinuations resulting from product obsolescence or other shortages or allocations by suppliers. Unfavorable economic conditions may also adversely affect our suppliers or the terms on which we purchase products. In the future, we may not be able to negotiate arrangements with third parties to secure products that we require in sufficient quantities or on reasonable terms. If we cannot negotiate arrangements with third parties to produce our products or if the third parties fail to produce our products to our specifications or in a timely manner, our business, results of operations and financial condition may be materially adversely affected.</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are subject to risks associated with labor relations, labor costs and labor disruptions.</w:t>
      </w:r>
    </w:p>
    <w:p>
      <w:pPr>
        <w:spacing w:after="0" w:line="66"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We are subject to the costs and risks generally associated with labor disputes and organizing activities related to unionized labor. It is possible that strikes, public demonstrations or other coordinated actions and publicity may disrupt our operations. We may incur increased legal costs and indirect labor costs as a result of contractual disputes, negotiations or other labor-related disruptions. We have collective bargaining agreements with employees in portions of our Mexico-based operations, which accounted for approximately 1% of our total employees as of December 31, 2021. These operations may be more highly affected by labor force activities than others, and all collective bargaining agreements must be renegotiated annually. Other locations may also face organizing activities or effects. Labor organizing activities could result in additional employees becoming unionized. Furthermore, collective bargaining agreements may limit our ability to reduce the size of work forces during an economic downturn, which could put us at a competitive disadvantage. We believe a unionized workforce outside of Mexico would generally increase our operating costs, divert attention of management from servicing customers and increase the risk of work stoppages, all of which could have a material adverse effect on our business, results of operations or financial condition.</w:t>
      </w:r>
    </w:p>
    <w:p>
      <w:pPr>
        <w:spacing w:after="0" w:line="36" w:lineRule="exact"/>
        <w:rPr>
          <w:sz w:val="20"/>
          <w:szCs w:val="20"/>
          <w:color w:val="auto"/>
        </w:rPr>
      </w:pPr>
    </w:p>
    <w:p>
      <w:pPr>
        <w:jc w:val="both"/>
        <w:ind w:firstLine="524"/>
        <w:spacing w:after="0" w:line="248" w:lineRule="auto"/>
        <w:rPr>
          <w:sz w:val="20"/>
          <w:szCs w:val="20"/>
          <w:color w:val="auto"/>
        </w:rPr>
      </w:pPr>
      <w:r>
        <w:rPr>
          <w:rFonts w:ascii="Arial" w:cs="Arial" w:eastAsia="Arial" w:hAnsi="Arial"/>
          <w:sz w:val="13"/>
          <w:szCs w:val="13"/>
          <w:color w:val="auto"/>
        </w:rPr>
        <w:t>Our ability to profitably execute our business plan depends on our ability to attract, develop and retain qualified personnel. Certain of our key executives, managers and employees have knowledge and an understanding of our business and our industry, and/or have developed meaningful customer relationships, that cannot be duplicated readily. Our ability to attract and retain qualified personnel is dependent on, among other things, the availability of qualified personnel and our ability to provide a competitive compensation package, including the implementation of adequate drivers of retention and rewards based on performance, and work environment. Failure to retain qualified key personnel may materially adversely affect our business, results of operations and financial condition. The departure of any key personnel and our inability to enforce non-competition agreements could have a negative impact on our business.</w:t>
      </w:r>
    </w:p>
    <w:p>
      <w:pPr>
        <w:spacing w:after="0" w:line="36"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Moreover, labor shortages, the inability to hire or retain qualified employees and increased labor costs could have a material adverse effect on our ability to control expenses and efficiently conduct our operations. We may not be able to continue to hire and retain the sufficiently skilled labor force necessary to operate efficiently and to support our operating strategies. Labor expenses could also increase as a result of continuing shortages in the supply of personnel.</w:t>
      </w:r>
    </w:p>
    <w:p>
      <w:pPr>
        <w:spacing w:after="0" w:line="57" w:lineRule="exact"/>
        <w:rPr>
          <w:sz w:val="20"/>
          <w:szCs w:val="20"/>
          <w:color w:val="auto"/>
        </w:rPr>
      </w:pPr>
    </w:p>
    <w:p>
      <w:pPr>
        <w:jc w:val="both"/>
        <w:spacing w:after="0" w:line="270" w:lineRule="auto"/>
        <w:rPr>
          <w:sz w:val="20"/>
          <w:szCs w:val="20"/>
          <w:color w:val="auto"/>
        </w:rPr>
      </w:pPr>
      <w:r>
        <w:rPr>
          <w:rFonts w:ascii="Arial" w:cs="Arial" w:eastAsia="Arial" w:hAnsi="Arial"/>
          <w:sz w:val="15"/>
          <w:szCs w:val="15"/>
          <w:b w:val="1"/>
          <w:bCs w:val="1"/>
          <w:color w:val="auto"/>
        </w:rPr>
        <w:t>If we determine that our goodwill, intangible assets, and indefinite-life intangible assets have become impaired, we may incur impairment charges, which may adversely impact our operating results.</w:t>
      </w:r>
    </w:p>
    <w:p>
      <w:pPr>
        <w:spacing w:after="0" w:line="25"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We have a substantial amount of goodwill and indefinite-life intangible assets (trade names), which represents the excess of the total purchase price of our acquisitions over the fair value of the assets acquired, and other intangible assets. As of December 31, 2021, we had approximately $1,178.8 million and $460.7 million of goodwill and intangible assets, net, respectively, in our consolidated balance sheet, which represented approximately 20.4% and 8.0% of total assets, respectively, and primarily arose through our acquisition of Mobile Mini.</w:t>
      </w:r>
    </w:p>
    <w:p>
      <w:pPr>
        <w:spacing w:after="0" w:line="33" w:lineRule="exact"/>
        <w:rPr>
          <w:sz w:val="20"/>
          <w:szCs w:val="20"/>
          <w:color w:val="auto"/>
        </w:rPr>
      </w:pPr>
    </w:p>
    <w:p>
      <w:pPr>
        <w:jc w:val="both"/>
        <w:ind w:firstLine="524"/>
        <w:spacing w:after="0" w:line="246" w:lineRule="auto"/>
        <w:rPr>
          <w:sz w:val="20"/>
          <w:szCs w:val="20"/>
          <w:color w:val="auto"/>
        </w:rPr>
      </w:pPr>
      <w:r>
        <w:rPr>
          <w:rFonts w:ascii="Arial" w:cs="Arial" w:eastAsia="Arial" w:hAnsi="Arial"/>
          <w:sz w:val="13"/>
          <w:szCs w:val="13"/>
          <w:color w:val="auto"/>
        </w:rPr>
        <w:t>We evaluate goodwill and indefinite-lived intangible assets for impairment on an annual basis and when events occur or circumstances change that indicate that the fair value of the reporting unit or intangible asset may be below its carrying amount. Fair value determinations require considerable judgment and are sensitive to inherent uncertainties and changes in estimates and assumptions regarding revenue growth rates, EBIT margins, capital expenditures, working capital requirements, tax rates, terminal growth rates, discount rates, exchange rates, royalty rates, benefits associated with a taxable transaction and synergistic benefits available to market participants. Impairment may result from, among other things, deterioration in the performance of the business, adverse market conditions, stock price and adverse changes in applicable laws and regulations, including changes that restrict our activities. Declines in market conditions, a trend of weaker than anticipated financial performance for our reporting units or declines in projected revenue, a decline in our share price for a sustained period of time, an increase in the market-based weighted average cost of capital or a decrease in royalty rates, among other factors, are indicators that the carrying value of our goodwill or indefinite-life intangible assets may not be recoverable. These risks may be heightened by the COVID-19 pandemic. In the event impairment is identified, a charge to earnings would be recorded which may materially adversely affect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07" w:right="319" w:bottom="1440" w:gutter="0" w:footer="0" w:header="0"/>
        </w:sectPr>
      </w:pPr>
    </w:p>
    <w:bookmarkStart w:id="27" w:name="page28"/>
    <w:bookmarkEnd w:id="27"/>
    <w:p>
      <w:pPr>
        <w:jc w:val="both"/>
        <w:spacing w:after="0" w:line="270" w:lineRule="auto"/>
        <w:rPr>
          <w:sz w:val="20"/>
          <w:szCs w:val="20"/>
          <w:color w:val="auto"/>
        </w:rPr>
      </w:pPr>
      <w:r>
        <w:rPr>
          <w:rFonts w:ascii="Arial" w:cs="Arial" w:eastAsia="Arial" w:hAnsi="Arial"/>
          <w:sz w:val="15"/>
          <w:szCs w:val="15"/>
          <w:b w:val="1"/>
          <w:bCs w:val="1"/>
          <w:color w:val="auto"/>
        </w:rPr>
        <w:t>We are subject to various laws and regulations, including those governing government contracts, corruption and the environment. Obligations and liabilities under these laws and regulations may materially harm our business.</w:t>
      </w:r>
    </w:p>
    <w:p>
      <w:pPr>
        <w:spacing w:after="0" w:line="25"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Our operations are subject to an array of governmental regulations in each of the jurisdictions in which we operate. For example, our activities in the US are subject to regulation by several federal and state government agencies, including the Occupational Safety and Health Administration, and by federal and state laws. Our operations and activities in other jurisdictions are subject to similar governmental regulations. Similar to conventionally constructed buildings, the modular business industry is also subject to regulations by multiple governmental agencies in each jurisdiction relating to, among others, environmental, zoning and building standards, and health, safety and transportation matters. These regulations affect our Storage Solutions and Tank and Pump Solutions customers, most of whom use our storage units to store their goods on their own properties for various lengths of time. If local zoning laws or planning permission regulations in one or more of our markets no longer allow our units to be stored on customers' sites, our business in that market will suffer. Noncompliance with applicable regulations, implementation of new regulations or modifications to existing regulations may increase costs of compliance, require a termination of certain activities or otherwise materially adversely affect our business, results of operations and financial condition.</w:t>
      </w:r>
    </w:p>
    <w:p>
      <w:pPr>
        <w:spacing w:after="0" w:line="6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US Government Contract Laws and Regulations</w:t>
      </w:r>
    </w:p>
    <w:p>
      <w:pPr>
        <w:spacing w:after="0" w:line="63"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Our government customers include the US government, which means we are subject to various statutes and regulations applicable to doing business with the US government. These types of contracts customarily contain provisions that give the US government substantial rights and remedies, many of which are not typically found in commercial contracts and which are unfavorable to contractors, including provisions that allow the government to unilaterally terminate or modify our federal government contracts, in whole or in part, at the government’s convenience. Under general principles of US government contracting law, if the government terminates a contract for convenience, the terminated company may generally recover only its incurred or committed costs and settlement expenses and profit on work completed prior to the termination. If the government terminates a contract for default, the defaulting company may be liable for any extra costs incurred by the government in procuring undelivered items from another source.</w:t>
      </w:r>
    </w:p>
    <w:p>
      <w:pPr>
        <w:spacing w:after="0" w:line="38" w:lineRule="exact"/>
        <w:rPr>
          <w:sz w:val="20"/>
          <w:szCs w:val="20"/>
          <w:color w:val="auto"/>
        </w:rPr>
      </w:pPr>
    </w:p>
    <w:p>
      <w:pPr>
        <w:jc w:val="both"/>
        <w:ind w:firstLine="524"/>
        <w:spacing w:after="0" w:line="248" w:lineRule="auto"/>
        <w:rPr>
          <w:sz w:val="20"/>
          <w:szCs w:val="20"/>
          <w:color w:val="auto"/>
        </w:rPr>
      </w:pPr>
      <w:r>
        <w:rPr>
          <w:rFonts w:ascii="Arial" w:cs="Arial" w:eastAsia="Arial" w:hAnsi="Arial"/>
          <w:sz w:val="13"/>
          <w:szCs w:val="13"/>
          <w:color w:val="auto"/>
        </w:rPr>
        <w:t>In addition, US government contracts and grants normally contain additional requirements that may increase our costs of doing business, reduce our profits, and expose us to liability for failure to comply with these terms and conditions. These requirements include, for example: (a) specialized disclosure and accounting requirements unique to US government contracts; (b) financial and compliance audits that may result in potential liability for price adjustments, recoupment of government funds after such funds have been spent, civil and criminal penalties, or administrative sanctions such as suspension or debarment from doing business with the US government; (c) public disclosures of certain contract and company information; and (d) mandatory socioeconomic compliance requirements, including labor requirements, non-discrimination and affirmative action programs and environmental compliance requirements.</w:t>
      </w:r>
    </w:p>
    <w:p>
      <w:pPr>
        <w:spacing w:after="0" w:line="36" w:lineRule="exact"/>
        <w:rPr>
          <w:sz w:val="20"/>
          <w:szCs w:val="20"/>
          <w:color w:val="auto"/>
        </w:rPr>
      </w:pPr>
    </w:p>
    <w:p>
      <w:pPr>
        <w:jc w:val="both"/>
        <w:ind w:firstLine="524"/>
        <w:spacing w:after="0" w:line="248" w:lineRule="auto"/>
        <w:rPr>
          <w:sz w:val="20"/>
          <w:szCs w:val="20"/>
          <w:color w:val="auto"/>
        </w:rPr>
      </w:pPr>
      <w:r>
        <w:rPr>
          <w:rFonts w:ascii="Arial" w:cs="Arial" w:eastAsia="Arial" w:hAnsi="Arial"/>
          <w:sz w:val="13"/>
          <w:szCs w:val="13"/>
          <w:color w:val="auto"/>
        </w:rPr>
        <w:t>If we fail to comply with these requirements, our contracts may be subject to termination, and we may be subject to financial and/or other liability under our contracts or under the Federal Civil False Claims Act (the "False Claims Act"). The False Claims Act’s “whistleblower” provisions allow private individuals, including present and former employees, to sue on behalf of the US government. The False Claims Act statute provides for treble damages and other penalties, and if our operations are found to be in violation of the False Claims Act, we could face other adverse action, including suspension or prohibition from doing business with the US government. Any penalties, damages, fines, suspension or damages could adversely affect our ability to operate our business and our financial results.</w:t>
      </w:r>
    </w:p>
    <w:p>
      <w:pPr>
        <w:spacing w:after="0" w:line="6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Department of Transportation and Titling Regulations</w:t>
      </w:r>
    </w:p>
    <w:p>
      <w:pPr>
        <w:spacing w:after="0" w:line="63"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We operate in the US pursuant to operating authority granted by the US Department of Transportation (the “DOT”). Our drivers must comply with the safety and fitness regulations of the DOT, including those relating to drug and alcohol testing and hours of service. Such matters as equipment weight and dimensions are also subject to government regulations. Our safety record could be ranked poorly compared to peer firms. A poor safety ranking may result in the loss of customers or difficulty attracting and retaining qualified drivers which could affect our results of operations. Should additional rules be enacted in the future, compliance with such rules could result in additional costs.</w:t>
      </w:r>
    </w:p>
    <w:p>
      <w:pPr>
        <w:spacing w:after="0" w:line="35"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Additionally, we are subject to, and may be required to expend funds to ensure compliance with a variety of laws, regulations, and ordinances related to unit titling, stamping, and registration rules and procedures, and notification requirements to agencies and law enforcement relating to unit transfers, particularly when acquiring new assets and operations. Many of these laws and regulations are frequently complex and subject to interpretation, and failure to comply with present or future regulations or changes in interpretations of existing laws or regulations may result in impairment or suspension of our operations and the imposition of penalties and other liabilities. At various times, we may be involved in disputes with local governmental officials regarding the development and/or operation of our units. We may be subject to similar types of regulations by governmental agencies in new markets. In addition, new legal or regulatory requirements or changes in existing requirements may delay or increase the cost of acquiring and integrating new units, which may adversely impact our ability to conduct business.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07" w:right="319" w:bottom="1440" w:gutter="0" w:footer="0" w:header="0"/>
        </w:sectPr>
      </w:pPr>
    </w:p>
    <w:bookmarkStart w:id="28" w:name="page29"/>
    <w:bookmarkEnd w:id="28"/>
    <w:p>
      <w:pPr>
        <w:spacing w:after="0"/>
        <w:rPr>
          <w:sz w:val="20"/>
          <w:szCs w:val="20"/>
          <w:color w:val="auto"/>
        </w:rPr>
      </w:pPr>
      <w:r>
        <w:rPr>
          <w:rFonts w:ascii="Arial" w:cs="Arial" w:eastAsia="Arial" w:hAnsi="Arial"/>
          <w:sz w:val="13"/>
          <w:szCs w:val="13"/>
          <w:b w:val="1"/>
          <w:bCs w:val="1"/>
          <w:i w:val="1"/>
          <w:iCs w:val="1"/>
          <w:color w:val="auto"/>
        </w:rPr>
        <w:t>Anti-Corruption Laws and Regulations</w:t>
      </w:r>
    </w:p>
    <w:p>
      <w:pPr>
        <w:spacing w:after="0" w:line="63" w:lineRule="exact"/>
        <w:rPr>
          <w:sz w:val="20"/>
          <w:szCs w:val="20"/>
          <w:color w:val="auto"/>
        </w:rPr>
      </w:pPr>
    </w:p>
    <w:p>
      <w:pPr>
        <w:jc w:val="both"/>
        <w:ind w:firstLine="524"/>
        <w:spacing w:after="0" w:line="248" w:lineRule="auto"/>
        <w:rPr>
          <w:sz w:val="20"/>
          <w:szCs w:val="20"/>
          <w:color w:val="auto"/>
        </w:rPr>
      </w:pPr>
      <w:r>
        <w:rPr>
          <w:rFonts w:ascii="Arial" w:cs="Arial" w:eastAsia="Arial" w:hAnsi="Arial"/>
          <w:sz w:val="13"/>
          <w:szCs w:val="13"/>
          <w:color w:val="auto"/>
        </w:rPr>
        <w:t>We are subject to various anti-corruption laws that prohibit improper payments or offers of payments to foreign governments and their officials by a US person for the purpose of obtaining or retaining business. We operate in countries that may present a more corruptible business environment than the US. Such activities create the risk of unauthorized payments or offers of payments by one of our employees or agents that could be in violation of various laws, including the FCPA. We have implemented safeguards and policies to discourage these practices by our employees and agents. However, existing safeguards and any future improvements may prove to be ineffective and employees or agents may engage in conduct for which we might be held responsible.</w:t>
      </w:r>
    </w:p>
    <w:p>
      <w:pPr>
        <w:spacing w:after="0" w:line="36"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If employees violate our policies or we fail to maintain adequate record-keeping and internal accounting practices to accurately record our transactions, we may be subject to regulatory sanctions. Violations of the FCPA or other anti-corruption laws may result in severe criminal or civil sanctions and penalties, including suspension or debarment from US government contracting, and we may be subject to other liabilities which could materially adversely affect our business, results of operations and financial condition. We are also subject to similar anti-corruption laws in other jurisdictions.</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Environmental Laws and Regulations</w:t>
      </w:r>
    </w:p>
    <w:p>
      <w:pPr>
        <w:spacing w:after="0" w:line="63" w:lineRule="exact"/>
        <w:rPr>
          <w:sz w:val="20"/>
          <w:szCs w:val="20"/>
          <w:color w:val="auto"/>
        </w:rPr>
      </w:pPr>
    </w:p>
    <w:p>
      <w:pPr>
        <w:jc w:val="both"/>
        <w:ind w:firstLine="524"/>
        <w:spacing w:after="0" w:line="246" w:lineRule="auto"/>
        <w:rPr>
          <w:sz w:val="20"/>
          <w:szCs w:val="20"/>
          <w:color w:val="auto"/>
        </w:rPr>
      </w:pPr>
      <w:r>
        <w:rPr>
          <w:rFonts w:ascii="Arial" w:cs="Arial" w:eastAsia="Arial" w:hAnsi="Arial"/>
          <w:sz w:val="13"/>
          <w:szCs w:val="13"/>
          <w:color w:val="auto"/>
        </w:rPr>
        <w:t>We are subject to a variety of national, state, regional and local environmental laws and regulations. Among other things, these laws and regulations impose limitations and prohibitions on the discharge and emission of, and establish standards for the use, disposal and management of, regulated materials and waste and impose liabilities for the costs of investigating and cleaning up, and damages resulting from, present and past spills, disposals or other releases of hazardous substances or materials. In the ordinary course of business, we use and generate substances that are regulated or may be hazardous under environmental laws. We have an inherent risk of liability under environmental laws and regulations, both with respect to ongoing operations and with respect to contamination that may have occurred in the past on our properties or as a result of our operations. For example, we own, transport and rent tanks and boxes in which waste materials are placed by our customers. Although we have a policy which, with certain limited exceptions, requires customers to return tanks and containers clean of any substances, they may fail to comply with these obligations. Additionally, we may provide waste hauling services, which involves environmental risks during transport. While we endeavor to comply with all regulatory requirements, from time to time, our operations or conditions on properties that we have acquired have resulted in liabilities under these environmental laws. We may in the future incur material costs to comply with environmental laws or sustain material liabilities from claims concerning noncompliance or contamination. Under certain environmental laws, we could be held responsible for all of the costs relating to any contamination at, or migration to or from, our or our predecessors' past or present facilities. These laws often impose liability even if the owner, operator or lessor did not know of, or was not responsible for, the release of such hazardous substances. We have no reserves for any such liabilities.</w:t>
      </w:r>
    </w:p>
    <w:p>
      <w:pPr>
        <w:spacing w:after="0" w:line="40"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We are also required to obtain environmental permits from governmental authorities for certain of our operations. If we violate or fail to obtain or comply with these laws, regulations, or permits, we could be fined or otherwise sanctioned by regulators. We could also become liable if employees or other parties are improperly exposed to hazardous materials.</w:t>
      </w:r>
    </w:p>
    <w:p>
      <w:pPr>
        <w:spacing w:after="0" w:line="31"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In addition, ongoing governmental review of hydraulic fracturing (“fracking”) and its environmental impact could lead to changes to this activity or its substantial curtailment, which could adversely affect our revenue and results of operations. Approximately 2% of our consolidated rental revenue for the year ended December 31, 2021 was related to customers involved in the upstream exploration and production of oil and natural gas. A portion of this revenue involves rentals to customers that use the fracking method to extract natural gas. The US Environmental Protection Agency has issued regulations or guidance regarding certain aspects of the process. Other federal, state and local governments and governmental agencies also investigate and/or regulate fracking. Additional governmental regulation could result in increased costs of compliance or the curtailment of fracking in the future, which would adversely affect our revenue and results of operations.</w:t>
      </w:r>
    </w:p>
    <w:p>
      <w:pPr>
        <w:spacing w:after="0" w:line="38"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We cannot predict what environmental legislation or regulations will be enacted in the future, how existing or future laws or regulations will be administered or interpreted, or what environmental conditions may be found to exist at our facilities or at third party sites for which we may be liable. Enactment of stricter laws or regulations, stricter interpretations of existing laws and regulations or the requirement to undertake the investigation or remediation of currently unknown environmental contamination at sites we own or third-party sites may require us to make additional expenditures, some of which could be material. Responding to governmental investigations or other actions may be both time-consuming and disruptive to our operations and could divert the attention of our management and key personnel from our business operations. The impact of these and other investigations and lawsuits could have a material adverse effect on our financial statements.</w:t>
      </w:r>
    </w:p>
    <w:p>
      <w:pPr>
        <w:spacing w:after="0" w:line="62" w:lineRule="exact"/>
        <w:rPr>
          <w:sz w:val="20"/>
          <w:szCs w:val="20"/>
          <w:color w:val="auto"/>
        </w:rPr>
      </w:pPr>
    </w:p>
    <w:p>
      <w:pPr>
        <w:jc w:val="both"/>
        <w:spacing w:after="0" w:line="270" w:lineRule="auto"/>
        <w:rPr>
          <w:sz w:val="20"/>
          <w:szCs w:val="20"/>
          <w:color w:val="auto"/>
        </w:rPr>
      </w:pPr>
      <w:r>
        <w:rPr>
          <w:rFonts w:ascii="Arial" w:cs="Arial" w:eastAsia="Arial" w:hAnsi="Arial"/>
          <w:sz w:val="15"/>
          <w:szCs w:val="15"/>
          <w:b w:val="1"/>
          <w:bCs w:val="1"/>
          <w:color w:val="auto"/>
        </w:rPr>
        <w:t>Our customer base includes customers operating in a variety of industries which may be subject to changes in their competitive environment as a result of the global, national or local economic climate in which they operate and/or economic or financial disruptions to their industry.</w:t>
      </w:r>
    </w:p>
    <w:p>
      <w:pPr>
        <w:spacing w:after="0" w:line="25"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Our customer base includes customers operating in a variety of industries, including commercial and industrial, construction, education, energy and natural resources, government, retail and other end markets. Many of these customers, across this wide range of industries, are facing economic and/or financial pressure from changes to their industry resulting from the global, national and local economic climate in which they operate and industry-specific economic and financial disruptions, including, in some cases, consolidation and lower sales revenue from physical locations, resulting from the impact of the COVID-19 pandemic and the related changes in political, social and economic conditions. These and any future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12" w:right="319" w:bottom="1440" w:gutter="0" w:footer="0" w:header="0"/>
        </w:sectPr>
      </w:pPr>
    </w:p>
    <w:bookmarkStart w:id="29" w:name="page30"/>
    <w:bookmarkEnd w:id="29"/>
    <w:p>
      <w:pPr>
        <w:jc w:val="both"/>
        <w:spacing w:after="0" w:line="251" w:lineRule="auto"/>
        <w:rPr>
          <w:sz w:val="20"/>
          <w:szCs w:val="20"/>
          <w:color w:val="auto"/>
        </w:rPr>
      </w:pPr>
      <w:r>
        <w:rPr>
          <w:rFonts w:ascii="Arial" w:cs="Arial" w:eastAsia="Arial" w:hAnsi="Arial"/>
          <w:sz w:val="13"/>
          <w:szCs w:val="13"/>
          <w:color w:val="auto"/>
        </w:rPr>
        <w:t>changes to any of the industries in which our customers operate could cause them to rent fewer units from us or otherwise be unable to satisfy their obligations to us. In addition, certain of our customers are facing financial pressure and such pressure, from COVID-19 or other factors, may result in consolidation in some industries and/or an increase in bankruptcy filings by certain customers. Each of these facts and industry impacts, individually or in the aggregate, could have a materially adverse effect on our operating results.</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not be able to adequately protect our intellectual property and other proprietary rights that are material to our business.</w:t>
      </w:r>
    </w:p>
    <w:p>
      <w:pPr>
        <w:spacing w:after="0" w:line="55"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Our ability to compete effectively depends in part upon protection of our rights in trademarks, copyrights and other intellectual property rights we own or license, including patents to the Mobile Mini locking system. Our use of contractual provisions, confidentiality procedures and agreements, and trademark, copyright, unfair competition, trade secret and other laws to protect our intellectual property and other proprietary rights may not be adequate. Litigation may be necessary to enforce our intellectual property rights and protect our proprietary information and patents, or to defend against claims by third parties that our services or our use of intellectual property infringe their intellectual property rights. Any litigation or claims brought by or against us could result in substantial costs and diversion of resources. A successful claim of trademark, copyright or other intellectual property infringement against us could prevent us from providing services, which could harm our business, financial condition or results of operations. In addition, a breakdown in our internal policies and procedures may lead to an unintentional disclosure of our proprietary, confidential or material non-public information, which could in turn harm our business, financial condition or results of operations.</w:t>
      </w:r>
    </w:p>
    <w:p>
      <w:pPr>
        <w:spacing w:after="0" w:line="61" w:lineRule="exact"/>
        <w:rPr>
          <w:sz w:val="20"/>
          <w:szCs w:val="20"/>
          <w:color w:val="auto"/>
        </w:rPr>
      </w:pPr>
    </w:p>
    <w:p>
      <w:pPr>
        <w:jc w:val="both"/>
        <w:spacing w:after="0" w:line="270" w:lineRule="auto"/>
        <w:rPr>
          <w:sz w:val="20"/>
          <w:szCs w:val="20"/>
          <w:color w:val="auto"/>
        </w:rPr>
      </w:pPr>
      <w:r>
        <w:rPr>
          <w:rFonts w:ascii="Arial" w:cs="Arial" w:eastAsia="Arial" w:hAnsi="Arial"/>
          <w:sz w:val="15"/>
          <w:szCs w:val="15"/>
          <w:b w:val="1"/>
          <w:bCs w:val="1"/>
          <w:color w:val="auto"/>
        </w:rPr>
        <w:t>Our operations could be subject to natural disasters and other business disruptions, which could materially adversely affect our information systems, future revenue, financial condition, cash flows and increase our costs and expenses.</w:t>
      </w:r>
    </w:p>
    <w:p>
      <w:pPr>
        <w:spacing w:after="0" w:line="25" w:lineRule="exact"/>
        <w:rPr>
          <w:sz w:val="20"/>
          <w:szCs w:val="20"/>
          <w:color w:val="auto"/>
        </w:rPr>
      </w:pPr>
    </w:p>
    <w:p>
      <w:pPr>
        <w:jc w:val="both"/>
        <w:ind w:firstLine="524"/>
        <w:spacing w:after="0" w:line="246" w:lineRule="auto"/>
        <w:rPr>
          <w:sz w:val="20"/>
          <w:szCs w:val="20"/>
          <w:color w:val="auto"/>
        </w:rPr>
      </w:pPr>
      <w:r>
        <w:rPr>
          <w:rFonts w:ascii="Arial" w:cs="Arial" w:eastAsia="Arial" w:hAnsi="Arial"/>
          <w:sz w:val="13"/>
          <w:szCs w:val="13"/>
          <w:color w:val="auto"/>
        </w:rPr>
        <w:t>Our operations could be subject to natural disasters and other business disruptions such as pandemics, fires, floods, hurricanes, earthquakes and terrorism, which could adversely affect our information systems, future revenue, financial condition, and cash flows and increase our costs and expenses. See "Our operations may be adversely impacted as a result of COVID-19." In addition, the occurrence and threat of terrorist attacks may directly or indirectly affect economic conditions, which could adversely affect demand for our products and services. In the event of a major natural or man-made disaster, we could experience loss of life of our employees, destruction of facilities or business interruptions, any of which may materially adversely affect our business. If any of our facilities or a significant amount of our rental equipment were to experience a catastrophic loss, it could disrupt our operations, delay orders, shipments and revenue recognition and result in expenses to repair or replace the damaged rental equipment and facility not covered by asset, liability, business continuity or other insurance contracts. Also, we could face significant increases in premiums or losses of coverage due to the loss experienced during and associated with these and potential future natural or man-made disasters that may materially adversely affect our business. In addition, attacks or armed conflicts that directly impact one or more of our properties could significantly affect our ability to operate those properties and thereby impair our results of operations.</w:t>
      </w:r>
    </w:p>
    <w:p>
      <w:pPr>
        <w:spacing w:after="0" w:line="41"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In general, any of these events could cause consumer confidence and spending to decrease or result in increased volatility in the global economy and worldwide financial markets. Any such occurrence could materially adversely affect our business, results of operations and financial condition.</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operations are dependent, in part, on our ability to establish and profitably maintain the appropriate physical presence in the markets we serve.</w:t>
      </w:r>
    </w:p>
    <w:p>
      <w:pPr>
        <w:spacing w:after="0" w:line="66"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Our operations depend, in part, on our ability to develop and optimize our branch network and market coverage while maintaining profitability. Our ability to optimize our branch network and market coverage requires active management of our real estate portfolio in a manner that permits locations and offerings to evolve over time, which to the extent it involves the relocation of existing branch locations or the opening of additional branch locations will depend on a number of factors, including our identification and availability of suitable locations; our success in negotiating leases on acceptable terms; and our timely development of new branch locations, including the availability of construction materials and labor and the absence of significant construction and other delays based on weather or other events. These factors could potentially increase the cost of doing business and the risk that our business practices could result in liabilities that may adversely affect our business, results of operations and financial condition.</w:t>
      </w:r>
    </w:p>
    <w:p>
      <w:pPr>
        <w:spacing w:after="0" w:line="38"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We have in the past, and we intend in the future, to expand our operations into new geographic markets. This expansion could require financial resources that would not therefore be available for other aspects of our business. In addition, this expansion could require the time and attention of management, leaving less time to focus on existing business. If we fail to manage the risks inherent in our geographic expansion, we could incur capital and operating costs without any related increase in revenue, which would harm our operating results.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28" w:right="319" w:bottom="1440" w:gutter="0" w:footer="0" w:header="0"/>
        </w:sectPr>
      </w:pPr>
    </w:p>
    <w:bookmarkStart w:id="30" w:name="page31"/>
    <w:bookmarkEnd w:id="30"/>
    <w:p>
      <w:pPr>
        <w:spacing w:after="0"/>
        <w:rPr>
          <w:sz w:val="20"/>
          <w:szCs w:val="20"/>
          <w:color w:val="auto"/>
        </w:rPr>
      </w:pPr>
      <w:r>
        <w:rPr>
          <w:rFonts w:ascii="Arial" w:cs="Arial" w:eastAsia="Arial" w:hAnsi="Arial"/>
          <w:sz w:val="15"/>
          <w:szCs w:val="15"/>
          <w:b w:val="1"/>
          <w:bCs w:val="1"/>
          <w:color w:val="auto"/>
        </w:rPr>
        <w:t>We may incur property, casualty or other losses not covered by our insurance.</w:t>
      </w:r>
    </w:p>
    <w:p>
      <w:pPr>
        <w:spacing w:after="0" w:line="66"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We are partly self-insured for a number of different risk categories, such as property, general liability (including product liability), workers' compensation, automobile claims, crime, and cyber liability, with insurance coverage for certain catastrophic risks. The types and amounts of insurance may vary from time to time based on our decisions with respect to risk retention and regulatory requirements. The occurrence of significant claims, a substantial rise in costs to maintain our insurance, or the failure to maintain adequate insurance coverage could have an adverse impact on our financial condition and results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Failure to close our unit sales transactions as we project could cause our actual revenue or cash flow for a particular fiscal period to differ from expectations.</w:t>
      </w:r>
    </w:p>
    <w:p>
      <w:pPr>
        <w:spacing w:after="0" w:line="66" w:lineRule="exact"/>
        <w:rPr>
          <w:sz w:val="20"/>
          <w:szCs w:val="20"/>
          <w:color w:val="auto"/>
        </w:rPr>
      </w:pPr>
    </w:p>
    <w:p>
      <w:pPr>
        <w:jc w:val="both"/>
        <w:ind w:firstLine="524"/>
        <w:spacing w:after="0" w:line="248" w:lineRule="auto"/>
        <w:rPr>
          <w:sz w:val="20"/>
          <w:szCs w:val="20"/>
          <w:color w:val="auto"/>
        </w:rPr>
      </w:pPr>
      <w:r>
        <w:rPr>
          <w:rFonts w:ascii="Arial" w:cs="Arial" w:eastAsia="Arial" w:hAnsi="Arial"/>
          <w:sz w:val="13"/>
          <w:szCs w:val="13"/>
          <w:color w:val="auto"/>
        </w:rPr>
        <w:t>Sales of new and used modular space and portable storage units to customers represented approximately 5.7% of WillScot Mobile Mini's revenue during the year ended December 31, 2021. Sale transactions are subject to certain factors that are beyond our control, including permit requirements, the timely completion of prerequisite work by others and weather conditions. Accordingly, the actual timing of the completion of these transactions may take longer than we expect. As a result, our actual revenue and cash flow in a particular fiscal period may not consistently correlate to our internal operational plans and budgets. If we are unable to accurately predict the timing of these sales, we may fail to take advantage of business and growth opportunities otherwise available, and our business, results of operations, financial condition and cash flows may be materially adversely affected.</w:t>
      </w:r>
    </w:p>
    <w:p>
      <w:pPr>
        <w:spacing w:after="0" w:line="59" w:lineRule="exact"/>
        <w:rPr>
          <w:sz w:val="20"/>
          <w:szCs w:val="20"/>
          <w:color w:val="auto"/>
        </w:rPr>
      </w:pPr>
    </w:p>
    <w:p>
      <w:pPr>
        <w:jc w:val="both"/>
        <w:spacing w:after="0" w:line="270" w:lineRule="auto"/>
        <w:rPr>
          <w:sz w:val="20"/>
          <w:szCs w:val="20"/>
          <w:color w:val="auto"/>
        </w:rPr>
      </w:pPr>
      <w:r>
        <w:rPr>
          <w:rFonts w:ascii="Arial" w:cs="Arial" w:eastAsia="Arial" w:hAnsi="Arial"/>
          <w:sz w:val="15"/>
          <w:szCs w:val="15"/>
          <w:b w:val="1"/>
          <w:bCs w:val="1"/>
          <w:color w:val="auto"/>
        </w:rPr>
        <w:t>If we fail to maintain an effective system of internal controls, we may not be able to accurately report our financial results, which could lead to a loss of investor confidence in our financial statements and have an adverse effect on our stock price.</w:t>
      </w:r>
    </w:p>
    <w:p>
      <w:pPr>
        <w:spacing w:after="0" w:line="25" w:lineRule="exact"/>
        <w:rPr>
          <w:sz w:val="20"/>
          <w:szCs w:val="20"/>
          <w:color w:val="auto"/>
        </w:rPr>
      </w:pPr>
    </w:p>
    <w:p>
      <w:pPr>
        <w:jc w:val="both"/>
        <w:ind w:firstLine="524"/>
        <w:spacing w:after="0" w:line="246" w:lineRule="auto"/>
        <w:rPr>
          <w:sz w:val="20"/>
          <w:szCs w:val="20"/>
          <w:color w:val="auto"/>
        </w:rPr>
      </w:pPr>
      <w:r>
        <w:rPr>
          <w:rFonts w:ascii="Arial" w:cs="Arial" w:eastAsia="Arial" w:hAnsi="Arial"/>
          <w:sz w:val="13"/>
          <w:szCs w:val="13"/>
          <w:color w:val="auto"/>
        </w:rPr>
        <w:t>Effective internal controls are necessary for us to provide reliable and accurate financial statements and to effectively prevent fraud. We devote significant resources and time to comply with the internal control over financial reporting requirements of the Sarbanes-Oxley Act of 2002 as amended (the "Sarbanes-Oxley Act"). There is no assurance that material weaknesses or significant deficiencies will not occur or that we will be successful in adequately remediating any such material weaknesses and significant deficiencies. We may in the future discover areas of our internal controls that need improvement. We cannot be certain that we will be successful in maintaining adequate internal control over our financial reporting and financial processes. Furthermore, as we grow our business, including through acquisition, our internal controls will become more complex, and we will require significantly more resources to ensure our internal controls remain effective. Additionally, the existence of any material weakness or significant deficiency would require management to devote significant time and incur significant expense to remediate any such material weaknesses or significant deficiencies, and management may not be able to remediate any such material weaknesses or significant deficiencies in a timely manner. The existence of any material weakness in our internal control over financial reporting could also result in errors in our financial statements that could require us to restate our financial statements, cause us to fail to meet our reporting obligations, subject us to investigations from regulatory authorities or cause stockholders to lose confidence in our reported financial information, all of which could materially and adversely affect us.</w:t>
      </w:r>
    </w:p>
    <w:p>
      <w:pPr>
        <w:spacing w:after="0" w:line="64" w:lineRule="exact"/>
        <w:rPr>
          <w:sz w:val="20"/>
          <w:szCs w:val="20"/>
          <w:color w:val="auto"/>
        </w:rPr>
      </w:pPr>
    </w:p>
    <w:p>
      <w:pPr>
        <w:jc w:val="both"/>
        <w:spacing w:after="0" w:line="270" w:lineRule="auto"/>
        <w:rPr>
          <w:sz w:val="20"/>
          <w:szCs w:val="20"/>
          <w:color w:val="auto"/>
        </w:rPr>
      </w:pPr>
      <w:r>
        <w:rPr>
          <w:rFonts w:ascii="Arial" w:cs="Arial" w:eastAsia="Arial" w:hAnsi="Arial"/>
          <w:sz w:val="15"/>
          <w:szCs w:val="15"/>
          <w:b w:val="1"/>
          <w:bCs w:val="1"/>
          <w:color w:val="auto"/>
        </w:rPr>
        <w:t>We are subject to evolving public disclosure, financial reporting and corporate governance expectations and regulations that impact compliance costs and risks of noncompliance.</w:t>
      </w:r>
    </w:p>
    <w:p>
      <w:pPr>
        <w:spacing w:after="0" w:line="25"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We are subject to changing rules and regulations promulgated by a number of governmental and self-regulatory organizations, including the SEC and Nasdaq, as well as evolving investor expectations around disclosures, financial reporting, corporate governance and environmental and social practices. These rules and regulations continue to evolve in scope and complexity, and many new requirements have been created in response to laws enacted by the US and foreign governments, making compliance more difficult and uncertain. The increase in costs to comply with such evolving expectations, rules and regulations, as well as any risk of noncompliance, could adversely impact us.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be unable to achieve our environmental, social and governance goals.</w:t>
      </w:r>
    </w:p>
    <w:p>
      <w:pPr>
        <w:spacing w:after="0" w:line="66" w:lineRule="exact"/>
        <w:rPr>
          <w:sz w:val="20"/>
          <w:szCs w:val="20"/>
          <w:color w:val="auto"/>
        </w:rPr>
      </w:pPr>
    </w:p>
    <w:p>
      <w:pPr>
        <w:jc w:val="both"/>
        <w:ind w:firstLine="524"/>
        <w:spacing w:after="0" w:line="246" w:lineRule="auto"/>
        <w:rPr>
          <w:sz w:val="20"/>
          <w:szCs w:val="20"/>
          <w:color w:val="auto"/>
        </w:rPr>
      </w:pPr>
      <w:r>
        <w:rPr>
          <w:rFonts w:ascii="Arial" w:cs="Arial" w:eastAsia="Arial" w:hAnsi="Arial"/>
          <w:sz w:val="13"/>
          <w:szCs w:val="13"/>
          <w:color w:val="auto"/>
        </w:rPr>
        <w:t>We are dedicated to corporate social responsibility and sustainability and face pressures from our employees, customers, and stockholders to make significant advancements in environmental, social and governance matters. In part to address these concerns, we established certain goals as part of our ESG strategy. Achievement of our goals is subject to risks and uncertainties, many of which are outside of our control, and it is possible that we may fail to achieve these goals or that our colleagues, customers, or stockholders might not be satisfied with our efforts. These risks and uncertainties include, but are not limited to: our ability to execute our operational strategies and achieve our goals within the currently projected costs and the expected timeframes; the availability and cost of renewable energy and other materials; compliance with, and changes or additions to, global and regional regulations, taxes, charges, mandates or requirements relating to climate-related goals; labor-related regulations and requirements that restrict or prohibit our ability to impose requirements on third-party contractors; the actions of competitors and competitive pressures; an acquisition of or merger with another company that has not adopted similar goals or whose progress towards reaching its goals is not as advanced as ours; and the pace of regional and global recovery from the COVID-19 pandemic. A failure to meet our goals could adversely affect public perception of our business, employee morale or customer or stockholder support.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07" w:right="319" w:bottom="1440" w:gutter="0" w:footer="0" w:header="0"/>
        </w:sectPr>
      </w:pPr>
    </w:p>
    <w:bookmarkStart w:id="31" w:name="page32"/>
    <w:bookmarkEnd w:id="31"/>
    <w:p>
      <w:pPr>
        <w:jc w:val="both"/>
        <w:ind w:firstLine="524"/>
        <w:spacing w:after="0" w:line="251" w:lineRule="auto"/>
        <w:rPr>
          <w:sz w:val="20"/>
          <w:szCs w:val="20"/>
          <w:color w:val="auto"/>
        </w:rPr>
      </w:pPr>
      <w:r>
        <w:rPr>
          <w:rFonts w:ascii="Arial" w:cs="Arial" w:eastAsia="Arial" w:hAnsi="Arial"/>
          <w:sz w:val="13"/>
          <w:szCs w:val="13"/>
          <w:color w:val="auto"/>
        </w:rPr>
        <w:t>Further, an increasing percentage of employees, customers, and stockholders considers sustainability factors in making employment, business and investment decisions. If we are unable to meet our goals, we may lose employees, and have difficulty recruiting new employees, investors, customers, or partners, our stock price may be negatively impacted, our reputation may be negatively affected, and it may be more difficult for us to compete effectively, all of which would have an adverse effect on our business, operating results, and financial condition.</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1D2758"/>
        </w:rPr>
        <w:t>Risks Relating to Income Tax</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ability to use our net operating loss carryforwards and other tax attributes may be limited.</w:t>
      </w:r>
    </w:p>
    <w:p>
      <w:pPr>
        <w:spacing w:after="0" w:line="66"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As of December 31, 2021, we had US net operating loss (“NOL”) carryforwards of approximately $1,232.7 million and $632.9 million for US federal income tax and state tax purposes, respectively, available to offset future taxable income, prior to consideration of annual limitations that Section 382 of the Internal Revenue Code of 1986 may impose. The US NOL carryforwards begin to expire in 2022 for state and federal if not utilized. In addition, we had foreign NOLs of $3.9 million as a result of operations in Canada and Mexico. Our Mexico and Canada NOL carryforwards begin to expire in 2026 and 2032, respectively, if not utilized.</w:t>
      </w:r>
    </w:p>
    <w:p>
      <w:pPr>
        <w:spacing w:after="0" w:line="35"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Our US NOL and tax credit carryforwards could expire unused and be unavailable to offset future income tax liabilities. Under Section 382 of the Internal Revenue Code and corresponding provisions of US state law, if a corporation undergoes an “ownership change,” generally defined as a greater than 50% change, by value, in its equity ownership over a three-year period, the corporation’s ability to use its US NOLs and other applicable tax attributes before the ownership change, such as research and development tax credits, to offset its income after the ownership change may be limited. Similar provisions apply with respect to certain state and non-US jurisdictions which could limit our ability to offset taxable income. In addition, at the state level, there may be periods during which the use of NOLs is suspended or otherwise limited, which could accelerate or permanently increase state taxes owed. We have tax attributes subject to the foregoing provisions primarily from the Merger.</w:t>
      </w:r>
    </w:p>
    <w:p>
      <w:pPr>
        <w:spacing w:after="0" w:line="38"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Lastly, we may experience ownership changes in the future as a result of subsequent shifts in our stock ownership, some of which may be outside of our control. If we determine that an ownership change has occurred and our ability to use our historical NOL and tax credit carryforwards is materially limited, it may result in increased future tax obligations and income tax expense.</w:t>
      </w:r>
    </w:p>
    <w:p>
      <w:pPr>
        <w:spacing w:after="0" w:line="31"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Some of the tax loss carryforwards could expire, and if we do not have sufficient taxable income in future years to use the tax benefits before they expire, the benefit may be permanently lost. In addition, the taxing authorities could challenge our calculation of the amount of our tax attributes, which could reduce certain of our recognized tax benefits. Further, tax laws in certain jurisdictions may limit the ability to use carryforwards upon a change in control.</w:t>
      </w:r>
    </w:p>
    <w:p>
      <w:pPr>
        <w:spacing w:after="0" w:line="57" w:lineRule="exact"/>
        <w:rPr>
          <w:sz w:val="20"/>
          <w:szCs w:val="20"/>
          <w:color w:val="auto"/>
        </w:rPr>
      </w:pPr>
    </w:p>
    <w:p>
      <w:pPr>
        <w:jc w:val="both"/>
        <w:spacing w:after="0" w:line="270" w:lineRule="auto"/>
        <w:rPr>
          <w:sz w:val="20"/>
          <w:szCs w:val="20"/>
          <w:color w:val="auto"/>
        </w:rPr>
      </w:pPr>
      <w:r>
        <w:rPr>
          <w:rFonts w:ascii="Arial" w:cs="Arial" w:eastAsia="Arial" w:hAnsi="Arial"/>
          <w:sz w:val="15"/>
          <w:szCs w:val="15"/>
          <w:b w:val="1"/>
          <w:bCs w:val="1"/>
          <w:color w:val="auto"/>
        </w:rPr>
        <w:t>We may be unable to recognize deferred tax assets such as those related to our tax loss carryforwards and, as a result, lose future tax savings, which could have a negative impact on our liquidity and financial position.</w:t>
      </w:r>
    </w:p>
    <w:p>
      <w:pPr>
        <w:spacing w:after="0" w:line="69"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We recognize deferred tax assets primarily related to deductible temporary differences based on our assessment that the item will be utilized against future taxable income and the benefit will be sustained upon ultimate settlement with the applicable taxing authority. Such deductible temporary differences primarily relate to tax loss carryforwards and business interest expense limitations. Tax loss carryforwards arising in a given tax jurisdiction may be carried forward to offset taxable income in future years from such tax jurisdiction and reduce or eliminate income taxes otherwise payable on such taxable income, subject to certain limitations. Deferred interest expense exists primarily within our US operating companies, where interest expense was not previously deductible as incurred but may become deductible in the future subject to certain limitations. We may have to write down, through income tax expense, the carrying amount of certain deferred tax assets to the extent we determine it is not more likely than not that we will realize such deferred tax assets under US Generally Accepted Accounting Principles ("GAAP").</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Unanticipated changes in our tax obligations, the adoption of a new tax legislation, or exposure to additional income tax liabilities could affect profitability.</w:t>
      </w:r>
    </w:p>
    <w:p>
      <w:pPr>
        <w:spacing w:after="0" w:line="66"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We are subject to income taxes in the US, Canada, Mexico and the UK. Our tax liabilities are affected by the amounts we charged for inventory, services, funding and other transactions on an intercompany basis. We are subject to potential tax examinations in these jurisdictions. Tax authorities may disagree with our intercompany charges, cross-jurisdictional transfer pricing or other tax positions and assess additional taxes. We regularly assess the appropriateness of our tax positions based on all the facts including on-going tax examinations and the applicable tax laws. However, there can be no assurance that we will accurately predict the outcomes of our tax positions or the challenges of applicable taxing authorities during tax examinations, and the amounts that we ultimately pay upon resolution of examinations could be materially different from the amounts we previously included in our income tax provision and, therefore, could have a material impact on our results of operations and cash flows. In addition, our future effective tax rate could be adversely affected by changes to our operating structure, changes in the mix of earnings in countries with differing statutory tax rates, changes in the valuation allowance of deferred tax assets, changes in tax laws and the discovery of new information in the course of our tax return preparation process. Changes in tax laws or regulations, including changes in the US related to the treatment of accelerated depreciation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28" w:right="319" w:bottom="1440" w:gutter="0" w:footer="0" w:header="0"/>
        </w:sectPr>
      </w:pPr>
    </w:p>
    <w:bookmarkStart w:id="32" w:name="page33"/>
    <w:bookmarkEnd w:id="32"/>
    <w:p>
      <w:pPr>
        <w:spacing w:after="0"/>
        <w:rPr>
          <w:sz w:val="20"/>
          <w:szCs w:val="20"/>
          <w:color w:val="auto"/>
        </w:rPr>
      </w:pPr>
      <w:r>
        <w:rPr>
          <w:rFonts w:ascii="Arial" w:cs="Arial" w:eastAsia="Arial" w:hAnsi="Arial"/>
          <w:sz w:val="13"/>
          <w:szCs w:val="13"/>
          <w:color w:val="auto"/>
        </w:rPr>
        <w:t>expense, carry-forwards of net operating losses, and taxation of foreign income and expenses may increase tax uncertainty and adversely affect our results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9"/>
          <w:szCs w:val="19"/>
          <w:color w:val="1D2758"/>
        </w:rPr>
        <w:t>Risks Relating to Our Capital Structure</w:t>
      </w:r>
    </w:p>
    <w:p>
      <w:pPr>
        <w:spacing w:after="0" w:line="22" w:lineRule="exact"/>
        <w:rPr>
          <w:sz w:val="20"/>
          <w:szCs w:val="20"/>
          <w:color w:val="auto"/>
        </w:rPr>
      </w:pPr>
    </w:p>
    <w:p>
      <w:pPr>
        <w:jc w:val="both"/>
        <w:spacing w:after="0" w:line="270" w:lineRule="auto"/>
        <w:rPr>
          <w:sz w:val="20"/>
          <w:szCs w:val="20"/>
          <w:color w:val="auto"/>
        </w:rPr>
      </w:pPr>
      <w:r>
        <w:rPr>
          <w:rFonts w:ascii="Arial" w:cs="Arial" w:eastAsia="Arial" w:hAnsi="Arial"/>
          <w:sz w:val="15"/>
          <w:szCs w:val="15"/>
          <w:b w:val="1"/>
          <w:bCs w:val="1"/>
          <w:color w:val="auto"/>
        </w:rPr>
        <w:t>Global capital and credit market conditions could materially and adversely affect our ability to access the capital and credit markets or the ability of key counterparties to perform their obligations to us.</w:t>
      </w:r>
    </w:p>
    <w:p>
      <w:pPr>
        <w:spacing w:after="0" w:line="25"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In the future we may need to raise additional funds to, among other things, refinance existing indebtedness, fund existing operations, improve or expand our operations, respond to competitive pressures or make acquisitions. If adequate funds are not available on acceptable terms, we may be unable to achieve our business or strategic objectives or compete effectively. Our ability to pursue certain future opportunities may depend in part on our ongoing access to debt and equity capital markets. We cannot assure you that any such financing will be available on terms satisfactory to us or at all. If we are unable to obtain financing on acceptable terms, we may have to curtail our growth by, among other things, curtailing the expansion of our fleet of units or our acquisition strategy. Additionally, future credit market conditions could increase the likelihood that one or more of our lenders may be unable to honor their commitments under our credit facility, which could have an adverse effect on our financial condition and results of operations.</w:t>
      </w:r>
    </w:p>
    <w:p>
      <w:pPr>
        <w:spacing w:after="0" w:line="38"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Economic disruptions affecting key counterparties could also materially adversely affect our business. We monitor the financial strength of our larger customers, derivative counterparties, lenders, vendors, service providers and insurance carriers on a periodic basis using publicly-available information to evaluate our exposure to those who have or who we believe may likely experience significant threats to their ability to adequately perform their obligations to us. The information available will differ from counterparty to counterparty and may be insufficient for us to adequately interpret or evaluate our exposure and/or determine appropriate or timely responses.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leverage may make it difficult for us to service our debt and operate our business.</w:t>
      </w:r>
    </w:p>
    <w:p>
      <w:pPr>
        <w:spacing w:after="0" w:line="66" w:lineRule="exact"/>
        <w:rPr>
          <w:sz w:val="20"/>
          <w:szCs w:val="20"/>
          <w:color w:val="auto"/>
        </w:rPr>
      </w:pPr>
    </w:p>
    <w:p>
      <w:pPr>
        <w:jc w:val="both"/>
        <w:ind w:firstLine="524"/>
        <w:spacing w:after="0" w:line="246" w:lineRule="auto"/>
        <w:rPr>
          <w:sz w:val="20"/>
          <w:szCs w:val="20"/>
          <w:color w:val="auto"/>
        </w:rPr>
      </w:pPr>
      <w:r>
        <w:rPr>
          <w:rFonts w:ascii="Arial" w:cs="Arial" w:eastAsia="Arial" w:hAnsi="Arial"/>
          <w:sz w:val="13"/>
          <w:szCs w:val="13"/>
          <w:color w:val="auto"/>
        </w:rPr>
        <w:t>As of December 31, 2021, we had $2,760.1 million of total indebtedness, excluding deferred financing fees, consisting of $1,644.5 million of borrowings under our 2020 ABL Facility, $526.50 million of our 2025 Secured Notes, $500.0 million of our 2028 Secured Notes and $89.1 million of finance leases. Our leverage could have important consequences, including (a) making it more difficult to satisfy our obligations with respect to our various debt and liabilities; (b) requiring us to dedicate a substantial portion of our cash flow from operations to debt payments, thus reducing the availability of cash flow to fund internal growth through working capital and capital expenditure on our existing fleet or a new fleet and for other general corporate purposes; (c) increasing our vulnerability to a downturn in our business or adverse economic or industry conditions; (d) placing us at a competitive disadvantage compared to our competitors that have less debt in relation to cash flow and that, therefore, may be able to take advantage of opportunities that our leverage would prevent us from pursuing; (e) limiting our flexibility in planning for or reacting to changes in our business and industry; (f) restricting us from pursuing strategic acquisitions or exploiting certain business opportunities or causing us to make non-strategic divestitures; restricting us from pursuing strategic acquisitions or exploiting certain business opportunities or causing us to make non-strategic divestitures; (g) requiring additional monitoring, reporting and borrowing base requirements under our 2020 ABL Facility if borrowings significantly increase or if certain liquidity thresholds are not satisfied; and (h) limiting our ability to borrow additional funds or raise equity capital in the future and increasing the costs of such additional financings.</w:t>
      </w:r>
    </w:p>
    <w:p>
      <w:pPr>
        <w:spacing w:after="0" w:line="41" w:lineRule="exact"/>
        <w:rPr>
          <w:sz w:val="20"/>
          <w:szCs w:val="20"/>
          <w:color w:val="auto"/>
        </w:rPr>
      </w:pPr>
    </w:p>
    <w:p>
      <w:pPr>
        <w:jc w:val="both"/>
        <w:ind w:firstLine="524"/>
        <w:spacing w:after="0" w:line="246" w:lineRule="auto"/>
        <w:rPr>
          <w:sz w:val="20"/>
          <w:szCs w:val="20"/>
          <w:color w:val="auto"/>
        </w:rPr>
      </w:pPr>
      <w:r>
        <w:rPr>
          <w:rFonts w:ascii="Arial" w:cs="Arial" w:eastAsia="Arial" w:hAnsi="Arial"/>
          <w:sz w:val="13"/>
          <w:szCs w:val="13"/>
          <w:color w:val="auto"/>
        </w:rPr>
        <w:t>Our ability to meet our debt service obligations or to refinance our debt depends on our future operating and financial performance, which will be affected by our ability to successfully implement our business strategy as well as general economic, financial, competitive, regulatory and other factors beyond our control. If our business does not generate sufficient cash flow from operations, or if future borrowings are not available to us in an amount sufficient to enable us to pay our indebtedness or to fund our other liquidity needs, we may need to refinance all or a portion of our indebtedness on or before its maturity, sell assets, reduce or delay capital investments or seek to raise additional capital, any of which could have a material adverse effect on our operations. In addition, we may not be able to affect any of these actions, if necessary, on commercially reasonable terms or at all. Any refinancing of our debt could be at higher interest rates and may require us to comply with more onerous covenants, which could further restrict our business operations. The terms of our existing or future debt instruments may limit or prevent us from taking any of these actions. If we default on the payments required under the terms of certain of our indebtedness, that indebtedness, together with debt incurred pursuant to other debt agreements or instruments that contain cross-default or cross-acceleration provisions, may become payable on demand, and we may not have sufficient funds to repay all of our debts. As a result, our inability to generate sufficient cash flow to satisfy our debt service obligations, or to refinance or restructure our obligations on commercially reasonable terms or at all, would have an</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adverse effect, which could be material, on our business, financial condition and results of operations, as well as on our ability to satisfy our debt obligations</w:t>
      </w:r>
      <w:r>
        <w:rPr>
          <w:rFonts w:ascii="Arial" w:cs="Arial" w:eastAsia="Arial" w:hAnsi="Arial"/>
          <w:sz w:val="17"/>
          <w:szCs w:val="17"/>
          <w:color w:val="auto"/>
        </w:rPr>
        <w:t>.</w:t>
      </w:r>
    </w:p>
    <w:p>
      <w:pPr>
        <w:spacing w:after="0" w:line="31" w:lineRule="exact"/>
        <w:rPr>
          <w:sz w:val="20"/>
          <w:szCs w:val="20"/>
          <w:color w:val="auto"/>
        </w:rPr>
      </w:pPr>
    </w:p>
    <w:p>
      <w:pPr>
        <w:jc w:val="both"/>
        <w:spacing w:after="0" w:line="270" w:lineRule="auto"/>
        <w:rPr>
          <w:sz w:val="20"/>
          <w:szCs w:val="20"/>
          <w:color w:val="auto"/>
        </w:rPr>
      </w:pPr>
      <w:r>
        <w:rPr>
          <w:rFonts w:ascii="Arial" w:cs="Arial" w:eastAsia="Arial" w:hAnsi="Arial"/>
          <w:sz w:val="15"/>
          <w:szCs w:val="15"/>
          <w:b w:val="1"/>
          <w:bCs w:val="1"/>
          <w:color w:val="auto"/>
        </w:rPr>
        <w:t>Despite our current level of indebtedness, we and our subsidiaries will still be able to incur significant additional amounts of debt, which could further exacerbate the risks associated with our substantial indebtedness.</w:t>
      </w:r>
    </w:p>
    <w:p>
      <w:pPr>
        <w:spacing w:after="0" w:line="25"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We and our subsidiaries may be able to incur substantial additional debt in the future, including in connection with capital leases. Although the credit agreement that governs our credit facility and the indentures that govern our outstanding notes contain restrictions on the incurrence of additional debt, these restrictions are subject to a number of significant qualifications and exceptions, and under certain circumstances, the amount of debt that we could incur in compliance with</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28" w:right="319" w:bottom="1440" w:gutter="0" w:footer="0" w:header="0"/>
        </w:sectPr>
      </w:pPr>
    </w:p>
    <w:bookmarkStart w:id="33" w:name="page34"/>
    <w:bookmarkEnd w:id="33"/>
    <w:p>
      <w:pPr>
        <w:jc w:val="both"/>
        <w:spacing w:after="0" w:line="251" w:lineRule="auto"/>
        <w:rPr>
          <w:sz w:val="20"/>
          <w:szCs w:val="20"/>
          <w:color w:val="auto"/>
        </w:rPr>
      </w:pPr>
      <w:r>
        <w:rPr>
          <w:rFonts w:ascii="Arial" w:cs="Arial" w:eastAsia="Arial" w:hAnsi="Arial"/>
          <w:sz w:val="13"/>
          <w:szCs w:val="13"/>
          <w:color w:val="auto"/>
        </w:rPr>
        <w:t>these restrictions could be substantial. In addition, the credit agreement that governs our credit facility and the indentures do not prevent us from incurring other obligations that do not constitute indebtedness under those agreements. If we add debt to our and our subsidiaries’ existing debt levels, the risks associated with our substantial indebtedness described above, including our possible inability to service our debt, will increase.</w:t>
      </w:r>
    </w:p>
    <w:p>
      <w:pPr>
        <w:spacing w:after="0" w:line="57" w:lineRule="exact"/>
        <w:rPr>
          <w:sz w:val="20"/>
          <w:szCs w:val="20"/>
          <w:color w:val="auto"/>
        </w:rPr>
      </w:pPr>
    </w:p>
    <w:p>
      <w:pPr>
        <w:jc w:val="both"/>
        <w:spacing w:after="0" w:line="270" w:lineRule="auto"/>
        <w:rPr>
          <w:sz w:val="20"/>
          <w:szCs w:val="20"/>
          <w:color w:val="auto"/>
        </w:rPr>
      </w:pPr>
      <w:r>
        <w:rPr>
          <w:rFonts w:ascii="Arial" w:cs="Arial" w:eastAsia="Arial" w:hAnsi="Arial"/>
          <w:sz w:val="15"/>
          <w:szCs w:val="15"/>
          <w:b w:val="1"/>
          <w:bCs w:val="1"/>
          <w:color w:val="auto"/>
        </w:rPr>
        <w:t>We are subject to and may, in the future become subject to, covenants that limit our operating and financial flexibility and, if we default under our debt covenants, we may not be able to meet our payment obligations.</w:t>
      </w:r>
    </w:p>
    <w:p>
      <w:pPr>
        <w:spacing w:after="0" w:line="25" w:lineRule="exact"/>
        <w:rPr>
          <w:sz w:val="20"/>
          <w:szCs w:val="20"/>
          <w:color w:val="auto"/>
        </w:rPr>
      </w:pPr>
    </w:p>
    <w:p>
      <w:pPr>
        <w:jc w:val="both"/>
        <w:ind w:firstLine="524"/>
        <w:spacing w:after="0" w:line="245" w:lineRule="auto"/>
        <w:rPr>
          <w:sz w:val="20"/>
          <w:szCs w:val="20"/>
          <w:color w:val="auto"/>
        </w:rPr>
      </w:pPr>
      <w:r>
        <w:rPr>
          <w:rFonts w:ascii="Arial" w:cs="Arial" w:eastAsia="Arial" w:hAnsi="Arial"/>
          <w:sz w:val="13"/>
          <w:szCs w:val="13"/>
          <w:color w:val="auto"/>
        </w:rPr>
        <w:t>The credit agreement that governs our credit facility and the indentures that govern our outstanding notes, as well as any instruments that govern any future debt obligations, contain covenants that impose significant restrictions on the way our subsidiaries can operate, including restrictions on the ability to (a) incur or guarantee additional debt and issue certain types of stock;</w:t>
      </w:r>
    </w:p>
    <w:p>
      <w:pPr>
        <w:spacing w:after="0" w:line="1" w:lineRule="exact"/>
        <w:rPr>
          <w:sz w:val="20"/>
          <w:szCs w:val="20"/>
          <w:color w:val="auto"/>
        </w:rPr>
      </w:pPr>
    </w:p>
    <w:p>
      <w:pPr>
        <w:jc w:val="both"/>
        <w:ind w:firstLine="7"/>
        <w:spacing w:after="0" w:line="249" w:lineRule="auto"/>
        <w:tabs>
          <w:tab w:leader="none" w:pos="210" w:val="left"/>
        </w:tabs>
        <w:numPr>
          <w:ilvl w:val="0"/>
          <w:numId w:val="12"/>
        </w:numPr>
        <w:rPr>
          <w:rFonts w:ascii="Arial" w:cs="Arial" w:eastAsia="Arial" w:hAnsi="Arial"/>
          <w:sz w:val="13"/>
          <w:szCs w:val="13"/>
          <w:color w:val="auto"/>
        </w:rPr>
      </w:pPr>
      <w:r>
        <w:rPr>
          <w:rFonts w:ascii="Arial" w:cs="Arial" w:eastAsia="Arial" w:hAnsi="Arial"/>
          <w:sz w:val="13"/>
          <w:szCs w:val="13"/>
          <w:color w:val="auto"/>
        </w:rPr>
        <w:t>create or incur certain liens; (c) make certain payments, including dividends or other distributions, with respect to our equity securities; (d) prepay or redeem junior debt; (e) make certain investments or acquisitions, including participating in joint ventures; (f) engage in certain transactions with affiliates; (g) create unrestricted subsidiaries; (h) create encumbrances or restrictions on the payment of dividends or other distributions, loans or advances to, and on the transfer of, assets to the issuer or any restricted subsidiary; (i) sell assets, consolidate or merge with or into other companies; (j) sell or transfer all or substantially all our assets or those of our subsidiaries on a consolidated basis; and (k) issue or sell share capital of certain subsidiaries.</w:t>
      </w:r>
    </w:p>
    <w:p>
      <w:pPr>
        <w:spacing w:after="0" w:line="35" w:lineRule="exact"/>
        <w:rPr>
          <w:sz w:val="20"/>
          <w:szCs w:val="20"/>
          <w:color w:val="auto"/>
        </w:rPr>
      </w:pPr>
    </w:p>
    <w:p>
      <w:pPr>
        <w:jc w:val="both"/>
        <w:ind w:firstLine="524"/>
        <w:spacing w:after="0" w:line="248" w:lineRule="auto"/>
        <w:rPr>
          <w:sz w:val="20"/>
          <w:szCs w:val="20"/>
          <w:color w:val="auto"/>
        </w:rPr>
      </w:pPr>
      <w:r>
        <w:rPr>
          <w:rFonts w:ascii="Arial" w:cs="Arial" w:eastAsia="Arial" w:hAnsi="Arial"/>
          <w:sz w:val="13"/>
          <w:szCs w:val="13"/>
          <w:color w:val="auto"/>
        </w:rPr>
        <w:t>Although these limitations are subject to significant exceptions and qualifications, these covenants could limit our ability to finance future operations and capital needs and our ability to pursue acquisitions and other business activities that may be in our interest. Our subsidiaries’ ability to comply with these covenants and restrictions may be affected by events beyond our control. These include prevailing economic, financial and industry conditions. If any of our subsidiaries default on their obligations under our credit facility or our secured notes, then the relevant lenders or holders could elect to declare the debt, together with accrued and unpaid interest and other fees, if any, immediately due and payable and proceed against any collateral securing that debt. If the debt under our credit facility, the indentures or any other material financing arrangement that we enter into were to be accelerated, our assets may be insufficient to repay in full such indebtedness.</w:t>
      </w:r>
    </w:p>
    <w:p>
      <w:pPr>
        <w:spacing w:after="0" w:line="189"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The credit agreement that governs our credit facility also requires our subsidiaries to satisfy specified financial maintenance tests in the event that we do not satisfy certain excess liquidity requirements. Deterioration in our operating results, as well as events beyond our control, including increases in raw materials prices and unfavorable economic conditions, could affect the ability to meet these tests, and we cannot assure that we will meet these tests. If an event of default occurs under our credit facility, the lenders could terminate their commitments and declare all amounts borrowed, together with accrued and unpaid interest and other fees, to be immediately due and payable. Borrowings under other debt instruments that contain cross-acceleration or cross-default provisions also may be accelerated or become payable on demand. In these circumstances, our assets may not be sufficient to repay in full that indebtedness and our other indebtedness then outstanding.</w:t>
      </w:r>
    </w:p>
    <w:p>
      <w:pPr>
        <w:spacing w:after="0" w:line="38" w:lineRule="exact"/>
        <w:rPr>
          <w:sz w:val="20"/>
          <w:szCs w:val="20"/>
          <w:color w:val="auto"/>
        </w:rPr>
      </w:pPr>
    </w:p>
    <w:p>
      <w:pPr>
        <w:jc w:val="both"/>
        <w:ind w:firstLine="524"/>
        <w:spacing w:after="0" w:line="248" w:lineRule="auto"/>
        <w:rPr>
          <w:sz w:val="20"/>
          <w:szCs w:val="20"/>
          <w:color w:val="auto"/>
        </w:rPr>
      </w:pPr>
      <w:r>
        <w:rPr>
          <w:rFonts w:ascii="Arial" w:cs="Arial" w:eastAsia="Arial" w:hAnsi="Arial"/>
          <w:sz w:val="13"/>
          <w:szCs w:val="13"/>
          <w:color w:val="auto"/>
        </w:rPr>
        <w:t>The amount of borrowings permitted at any time under our credit facility is subject to compliance with limits based on a periodic borrowing base valuation of the collateral thereunder. As a result, our access to credit under the credit facility is subject to potential fluctuations depending on the value of the borrowing base of eligible assets as of any measurement date, as well as certain discretionary rights of the agent in respect of the calculation of such borrowing base value. As a result of any change in valuation, the availability under the credit facility may be reduced, or we may be required to make a repayment of the credit facility, which may be significant. The inability to borrow under the credit facility or the use of available cash to repay the credit facility as a result of a valuation change may adversely affect our liquidity, results of operations and financial position.</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uncertainty regarding the phase-out of LIBOR may negatively impact our operating results.</w:t>
      </w:r>
    </w:p>
    <w:p>
      <w:pPr>
        <w:spacing w:after="0" w:line="66" w:lineRule="exact"/>
        <w:rPr>
          <w:sz w:val="20"/>
          <w:szCs w:val="20"/>
          <w:color w:val="auto"/>
        </w:rPr>
      </w:pPr>
    </w:p>
    <w:p>
      <w:pPr>
        <w:jc w:val="both"/>
        <w:ind w:firstLine="524"/>
        <w:spacing w:after="0" w:line="154" w:lineRule="exact"/>
        <w:rPr>
          <w:sz w:val="20"/>
          <w:szCs w:val="20"/>
          <w:color w:val="auto"/>
        </w:rPr>
      </w:pPr>
      <w:r>
        <w:rPr>
          <w:rFonts w:ascii="Arial" w:cs="Arial" w:eastAsia="Arial" w:hAnsi="Arial"/>
          <w:sz w:val="13"/>
          <w:szCs w:val="13"/>
          <w:color w:val="auto"/>
        </w:rPr>
        <w:t>LIBOR, the interest rate benchmark used as a reference rate on our variable rate debt, including our credit facility and interest rate swaps, is expected to be phased out after 2021, when private-sector banks are no longer required to report the information used to set the rate. Without this data, LIBOR may no longer be published, or the lack of quality and quantity of data may cause the rate to no longer be representative of the market, though the ICE Benchmark Administration, in its capacity as administrator of US dollar LIBOR, announced that it intends to extend publication of USD LIBOR (other than one-week and two-month tenors) until June 30, 2023. At this time, no consensus exists as to what rate or rates may become accepted alternatives to LIBOR, and it is impossible to predict whether and to what extent banks will continue to provide LIBOR submissions to the administrator of LIBOR and whether one-month, three-month, six</w:t>
      </w:r>
      <w:r>
        <w:rPr>
          <w:rFonts w:ascii="MS PGothic" w:cs="MS PGothic" w:eastAsia="MS PGothic" w:hAnsi="MS PGothic"/>
          <w:sz w:val="13"/>
          <w:szCs w:val="13"/>
          <w:color w:val="auto"/>
        </w:rPr>
        <w:t>‑</w:t>
      </w:r>
      <w:r>
        <w:rPr>
          <w:rFonts w:ascii="Arial" w:cs="Arial" w:eastAsia="Arial" w:hAnsi="Arial"/>
          <w:sz w:val="13"/>
          <w:szCs w:val="13"/>
          <w:color w:val="auto"/>
        </w:rPr>
        <w:t>month, and twelve-month USD LIBOR rates will continue to be published until June 2023. The US Federal Reserve, in connection with the Alternative Reference Rates Committee ("ARRC"), a steering committee comprised of large US financial institutions, is considering replacing US dollar LIBOR with the Secured Overnight Financing Rate ("SOFR"). SOFR is a more generic measure than LIBOR and considers the cost of borrowing cash overnight collateralized by US Treasury securities. Given the inherent differences between LIBOR and SOFR or any other alternative benchmark rate that may be established, there are many uncertainties regarding a transition from LIBOR, including but not limited to the need to amend all contracts with LIBOR as the referenced rate and how this will impact our cost of variable rate debt and derivative financial instruments. We will also need to consider new contracts and if they should reference an alternative benchmark rate or include suggested fallback language, as published by the ARRC. The consequences of these developments with respect to LIBOR cannot be entirely predicted and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28" w:right="319" w:bottom="1440" w:gutter="0" w:footer="0" w:header="0"/>
        </w:sectPr>
      </w:pPr>
    </w:p>
    <w:bookmarkStart w:id="34" w:name="page35"/>
    <w:bookmarkEnd w:id="34"/>
    <w:p>
      <w:pPr>
        <w:jc w:val="both"/>
        <w:spacing w:after="0" w:line="256" w:lineRule="auto"/>
        <w:rPr>
          <w:sz w:val="20"/>
          <w:szCs w:val="20"/>
          <w:color w:val="auto"/>
        </w:rPr>
      </w:pPr>
      <w:r>
        <w:rPr>
          <w:rFonts w:ascii="Arial" w:cs="Arial" w:eastAsia="Arial" w:hAnsi="Arial"/>
          <w:sz w:val="13"/>
          <w:szCs w:val="13"/>
          <w:color w:val="auto"/>
        </w:rPr>
        <w:t>span multiple future periods but could result in an increase in the cost of our variable rate debt or derivative financial instruments which may be detrimental to our financial position or operating results.</w:t>
      </w:r>
    </w:p>
    <w:p>
      <w:pPr>
        <w:spacing w:after="0" w:line="31"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On December 6, 2021, our indirect subsidiary entered into a LIBOR Transition Amendment to our credit facility for the application of a successor rate for borrowings denominated in Pounds Sterling from a LIBOR-based rate to a SONIA (Sterling Overnight Index Average)-based rate and borrowings denominated in Euros from a LIBOR-based rate to a EURIBOR (Euro Interbank Offered Rate)-based rate, subject to certain adjustments specified in our credit facility. It is not currently possible to predict the effect of any establishment of alternative reference rates or any other reforms to LIBOR that may be enacted.</w:t>
      </w:r>
    </w:p>
    <w:p>
      <w:pPr>
        <w:spacing w:after="0" w:line="58" w:lineRule="exact"/>
        <w:rPr>
          <w:sz w:val="20"/>
          <w:szCs w:val="20"/>
          <w:color w:val="auto"/>
        </w:rPr>
      </w:pPr>
    </w:p>
    <w:p>
      <w:pPr>
        <w:jc w:val="both"/>
        <w:spacing w:after="0" w:line="270" w:lineRule="auto"/>
        <w:rPr>
          <w:sz w:val="20"/>
          <w:szCs w:val="20"/>
          <w:color w:val="auto"/>
        </w:rPr>
      </w:pPr>
      <w:r>
        <w:rPr>
          <w:rFonts w:ascii="Arial" w:cs="Arial" w:eastAsia="Arial" w:hAnsi="Arial"/>
          <w:sz w:val="15"/>
          <w:szCs w:val="15"/>
          <w:b w:val="1"/>
          <w:bCs w:val="1"/>
          <w:color w:val="auto"/>
        </w:rPr>
        <w:t>The historical market price of WillScot Mobile Mini’s Common Stock has been volatile and the market price of our Common Stock may continue to be volatile and the value of your investment may decline.</w:t>
      </w:r>
    </w:p>
    <w:p>
      <w:pPr>
        <w:spacing w:after="0" w:line="25" w:lineRule="exact"/>
        <w:rPr>
          <w:sz w:val="20"/>
          <w:szCs w:val="20"/>
          <w:color w:val="auto"/>
        </w:rPr>
      </w:pPr>
    </w:p>
    <w:p>
      <w:pPr>
        <w:jc w:val="both"/>
        <w:ind w:firstLine="524"/>
        <w:spacing w:after="0" w:line="245" w:lineRule="auto"/>
        <w:rPr>
          <w:sz w:val="20"/>
          <w:szCs w:val="20"/>
          <w:color w:val="auto"/>
        </w:rPr>
      </w:pPr>
      <w:r>
        <w:rPr>
          <w:rFonts w:ascii="Arial" w:cs="Arial" w:eastAsia="Arial" w:hAnsi="Arial"/>
          <w:sz w:val="13"/>
          <w:szCs w:val="13"/>
          <w:color w:val="auto"/>
        </w:rPr>
        <w:t>The historical market price of our Common Stock has been volatile and the market price of our Common Stock may continue to be volatile moving forward. Volatility may cause wide fluctuations in the price of our Common Stock on Nasdaq. The market price of our Common Stock is likely to be affected by (a) changes in general conditions in the economy, geopolitical events or the financial markets; (b) variations in our quarterly operating results; (c) changes in financial estimates by securities analysts; (d) our share repurchase or dividend policies; (e) other developments affecting us, our industry, customers or competitors; (f) changes in demand for our products or the prices we charge due to changes in economic conditions, competition or other factors; (g) general economic conditions in the markets where we operate; (h) the cyclical nature of our customers’ businesses and certain end markets that we service; (i) rental rate changes in response to competitive factors; (j) bankruptcy or insolvency of our customers, thereby reducing demand for our used units; (k) seasonal rental patterns; (l) acquisitions or divestitures and related costs; (m) labor shortages, work stoppages or other labor difficulties; (n) possible unrecorded liabilities of acquired companies; (o) possible write-offs or exceptional charges due to changes in applicable accounting standards, goodwill impairment, or divestiture or impairment of assets; (p) the operating and stock price performance of companies that investors deem comparable to us;</w:t>
      </w:r>
    </w:p>
    <w:p>
      <w:pPr>
        <w:spacing w:after="0" w:line="3" w:lineRule="exact"/>
        <w:rPr>
          <w:sz w:val="20"/>
          <w:szCs w:val="20"/>
          <w:color w:val="auto"/>
        </w:rPr>
      </w:pPr>
    </w:p>
    <w:p>
      <w:pPr>
        <w:ind w:firstLine="7"/>
        <w:spacing w:after="0" w:line="256" w:lineRule="auto"/>
        <w:tabs>
          <w:tab w:leader="none" w:pos="199"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number of shares available for resale in the public markets under applicable securities laws; (r) the composition of our shareholder base; and (s) other unspecified circumstances that may be company specific circumstances or overall industry and market driven.</w:t>
      </w:r>
    </w:p>
    <w:p>
      <w:pPr>
        <w:spacing w:after="0" w:line="158" w:lineRule="exact"/>
        <w:rPr>
          <w:sz w:val="20"/>
          <w:szCs w:val="20"/>
          <w:color w:val="auto"/>
        </w:rPr>
      </w:pPr>
    </w:p>
    <w:p>
      <w:pPr>
        <w:spacing w:after="0"/>
        <w:tabs>
          <w:tab w:leader="none" w:pos="1700" w:val="left"/>
        </w:tabs>
        <w:rPr>
          <w:sz w:val="20"/>
          <w:szCs w:val="20"/>
          <w:color w:val="auto"/>
        </w:rPr>
      </w:pPr>
      <w:r>
        <w:rPr>
          <w:rFonts w:ascii="Arial" w:cs="Arial" w:eastAsia="Arial" w:hAnsi="Arial"/>
          <w:sz w:val="32"/>
          <w:szCs w:val="32"/>
          <w:b w:val="1"/>
          <w:bCs w:val="1"/>
          <w:color w:val="auto"/>
        </w:rPr>
        <w:t>ITEM 1B.</w:t>
      </w:r>
      <w:r>
        <w:rPr>
          <w:sz w:val="20"/>
          <w:szCs w:val="20"/>
          <w:color w:val="auto"/>
        </w:rPr>
        <w:tab/>
      </w:r>
      <w:r>
        <w:rPr>
          <w:rFonts w:ascii="Arial" w:cs="Arial" w:eastAsia="Arial" w:hAnsi="Arial"/>
          <w:sz w:val="31"/>
          <w:szCs w:val="31"/>
          <w:b w:val="1"/>
          <w:bCs w:val="1"/>
          <w:color w:val="auto"/>
        </w:rPr>
        <w:t>Unresolved Staff Comments</w:t>
      </w:r>
    </w:p>
    <w:p>
      <w:pPr>
        <w:spacing w:after="0" w:line="84" w:lineRule="exact"/>
        <w:rPr>
          <w:sz w:val="20"/>
          <w:szCs w:val="20"/>
          <w:color w:val="auto"/>
        </w:rPr>
      </w:pPr>
    </w:p>
    <w:p>
      <w:pPr>
        <w:ind w:left="540"/>
        <w:spacing w:after="0"/>
        <w:rPr>
          <w:sz w:val="20"/>
          <w:szCs w:val="20"/>
          <w:color w:val="auto"/>
        </w:rPr>
      </w:pPr>
      <w:r>
        <w:rPr>
          <w:rFonts w:ascii="Arial" w:cs="Arial" w:eastAsia="Arial" w:hAnsi="Arial"/>
          <w:sz w:val="13"/>
          <w:szCs w:val="13"/>
          <w:color w:val="auto"/>
        </w:rPr>
        <w:t>None.</w:t>
      </w:r>
    </w:p>
    <w:p>
      <w:pPr>
        <w:spacing w:after="0" w:line="174" w:lineRule="exact"/>
        <w:rPr>
          <w:sz w:val="20"/>
          <w:szCs w:val="20"/>
          <w:color w:val="auto"/>
        </w:rPr>
      </w:pPr>
    </w:p>
    <w:p>
      <w:pPr>
        <w:ind w:left="80"/>
        <w:spacing w:after="0"/>
        <w:tabs>
          <w:tab w:leader="none" w:pos="1540" w:val="left"/>
        </w:tabs>
        <w:rPr>
          <w:sz w:val="20"/>
          <w:szCs w:val="20"/>
          <w:color w:val="auto"/>
        </w:rPr>
      </w:pPr>
      <w:r>
        <w:rPr>
          <w:rFonts w:ascii="Arial" w:cs="Arial" w:eastAsia="Arial" w:hAnsi="Arial"/>
          <w:sz w:val="32"/>
          <w:szCs w:val="32"/>
          <w:b w:val="1"/>
          <w:bCs w:val="1"/>
          <w:color w:val="auto"/>
        </w:rPr>
        <w:t>ITEM 2.</w:t>
      </w:r>
      <w:r>
        <w:rPr>
          <w:sz w:val="20"/>
          <w:szCs w:val="20"/>
          <w:color w:val="auto"/>
        </w:rPr>
        <w:tab/>
      </w:r>
      <w:r>
        <w:rPr>
          <w:rFonts w:ascii="Arial" w:cs="Arial" w:eastAsia="Arial" w:hAnsi="Arial"/>
          <w:sz w:val="31"/>
          <w:szCs w:val="31"/>
          <w:b w:val="1"/>
          <w:bCs w:val="1"/>
          <w:color w:val="auto"/>
        </w:rPr>
        <w:t>Properties</w:t>
      </w:r>
    </w:p>
    <w:p>
      <w:pPr>
        <w:spacing w:after="0" w:line="84" w:lineRule="exact"/>
        <w:rPr>
          <w:sz w:val="20"/>
          <w:szCs w:val="20"/>
          <w:color w:val="auto"/>
        </w:rPr>
      </w:pPr>
    </w:p>
    <w:p>
      <w:pPr>
        <w:ind w:left="540"/>
        <w:spacing w:after="0"/>
        <w:rPr>
          <w:sz w:val="20"/>
          <w:szCs w:val="20"/>
          <w:color w:val="auto"/>
        </w:rPr>
      </w:pPr>
      <w:r>
        <w:rPr>
          <w:rFonts w:ascii="Arial" w:cs="Arial" w:eastAsia="Arial" w:hAnsi="Arial"/>
          <w:sz w:val="13"/>
          <w:szCs w:val="13"/>
          <w:color w:val="auto"/>
        </w:rPr>
        <w:t>Our primary corporate headquarters is located in Phoenix, Arizona. We operate approximately 275 branch locations and additional drop lots across the US, Canada, Mexico, and the UK.</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Collectively, we lease approximately 85% of our branch properties and own the remaining balance.</w:t>
      </w:r>
    </w:p>
    <w:p>
      <w:pPr>
        <w:spacing w:after="0" w:line="29" w:lineRule="exact"/>
        <w:rPr>
          <w:sz w:val="20"/>
          <w:szCs w:val="20"/>
          <w:color w:val="auto"/>
        </w:rPr>
      </w:pPr>
    </w:p>
    <w:p>
      <w:pPr>
        <w:ind w:left="540"/>
        <w:spacing w:after="0"/>
        <w:rPr>
          <w:sz w:val="20"/>
          <w:szCs w:val="20"/>
          <w:color w:val="auto"/>
        </w:rPr>
      </w:pPr>
      <w:r>
        <w:rPr>
          <w:rFonts w:ascii="Arial" w:cs="Arial" w:eastAsia="Arial" w:hAnsi="Arial"/>
          <w:sz w:val="13"/>
          <w:szCs w:val="13"/>
          <w:color w:val="auto"/>
        </w:rPr>
        <w:t>Our management believes that none of our properties, on an individual basis, is material to our operations, and that our properties are well maintained and suitable for their intended use.</w:t>
      </w:r>
    </w:p>
    <w:p>
      <w:pPr>
        <w:spacing w:after="0"/>
        <w:rPr>
          <w:sz w:val="20"/>
          <w:szCs w:val="20"/>
          <w:color w:val="auto"/>
        </w:rPr>
      </w:pPr>
      <w:r>
        <w:rPr>
          <w:rFonts w:ascii="Arial" w:cs="Arial" w:eastAsia="Arial" w:hAnsi="Arial"/>
          <w:sz w:val="13"/>
          <w:szCs w:val="13"/>
          <w:color w:val="auto"/>
        </w:rPr>
        <w:t>We further believe that these locations generally have adequate capacity and can accommodate seasonal demands, changing product mixes and additional growth.</w:t>
      </w:r>
    </w:p>
    <w:p>
      <w:pPr>
        <w:spacing w:after="0" w:line="47"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Subject to certain exceptions, substantially all of our owned real and personal property in the US and Canada is encumbered under our credit facility and our secured notes. We do not believe that the encumbrances will materially detract from the value of our properties, or materially interfere with their use in the operation of our business.</w:t>
      </w:r>
    </w:p>
    <w:p>
      <w:pPr>
        <w:spacing w:after="0" w:line="158" w:lineRule="exact"/>
        <w:rPr>
          <w:sz w:val="20"/>
          <w:szCs w:val="20"/>
          <w:color w:val="auto"/>
        </w:rPr>
      </w:pPr>
    </w:p>
    <w:p>
      <w:pPr>
        <w:spacing w:after="0"/>
        <w:tabs>
          <w:tab w:leader="none" w:pos="1460" w:val="left"/>
        </w:tabs>
        <w:rPr>
          <w:sz w:val="20"/>
          <w:szCs w:val="20"/>
          <w:color w:val="auto"/>
        </w:rPr>
      </w:pPr>
      <w:r>
        <w:rPr>
          <w:rFonts w:ascii="Arial" w:cs="Arial" w:eastAsia="Arial" w:hAnsi="Arial"/>
          <w:sz w:val="32"/>
          <w:szCs w:val="32"/>
          <w:b w:val="1"/>
          <w:bCs w:val="1"/>
          <w:color w:val="auto"/>
        </w:rPr>
        <w:t>ITEM 3.</w:t>
        <w:tab/>
        <w:t>Legal Proceedings</w:t>
      </w:r>
    </w:p>
    <w:p>
      <w:pPr>
        <w:spacing w:after="0" w:line="84"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The Company is involved in various lawsuits, claims and legal proceedings that arise in the ordinary course of business. The Company assesses these matters on a case-by-case basis as they arise and establishes reserves as required. As of December 31, 2021, with respect to these outstanding matters, the Company believes that the amount or range of reasonably possible loss will not, either individually or in the aggregate, have a material adverse effect on the consolidated financial position, results of operations, or cash flows. However, the outcome of such matters is inherently unpredictable and subject to significant uncertainties.</w:t>
      </w:r>
    </w:p>
    <w:p>
      <w:pPr>
        <w:spacing w:after="0" w:line="206" w:lineRule="exact"/>
        <w:rPr>
          <w:sz w:val="20"/>
          <w:szCs w:val="20"/>
          <w:color w:val="auto"/>
        </w:rPr>
      </w:pPr>
    </w:p>
    <w:p>
      <w:pPr>
        <w:spacing w:after="0"/>
        <w:tabs>
          <w:tab w:leader="none" w:pos="1460" w:val="left"/>
        </w:tabs>
        <w:rPr>
          <w:sz w:val="20"/>
          <w:szCs w:val="20"/>
          <w:color w:val="auto"/>
        </w:rPr>
      </w:pPr>
      <w:r>
        <w:rPr>
          <w:rFonts w:ascii="Arial" w:cs="Arial" w:eastAsia="Arial" w:hAnsi="Arial"/>
          <w:sz w:val="32"/>
          <w:szCs w:val="32"/>
          <w:b w:val="1"/>
          <w:bCs w:val="1"/>
          <w:color w:val="auto"/>
        </w:rPr>
        <w:t>ITEM 4.</w:t>
        <w:tab/>
        <w:t>Mine Safety Disclosures</w:t>
      </w:r>
    </w:p>
    <w:p>
      <w:pPr>
        <w:spacing w:after="0" w:line="84" w:lineRule="exact"/>
        <w:rPr>
          <w:sz w:val="20"/>
          <w:szCs w:val="20"/>
          <w:color w:val="auto"/>
        </w:rPr>
      </w:pPr>
    </w:p>
    <w:p>
      <w:pPr>
        <w:ind w:left="540"/>
        <w:spacing w:after="0"/>
        <w:rPr>
          <w:sz w:val="20"/>
          <w:szCs w:val="20"/>
          <w:color w:val="auto"/>
        </w:rPr>
      </w:pPr>
      <w:r>
        <w:rPr>
          <w:rFonts w:ascii="Arial" w:cs="Arial" w:eastAsia="Arial" w:hAnsi="Arial"/>
          <w:sz w:val="13"/>
          <w:szCs w:val="13"/>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28" w:right="319" w:bottom="1440" w:gutter="0" w:footer="0" w:header="0"/>
        </w:sectPr>
      </w:pPr>
    </w:p>
    <w:bookmarkStart w:id="35" w:name="page36"/>
    <w:bookmarkEnd w:id="35"/>
    <w:p>
      <w:pPr>
        <w:jc w:val="center"/>
        <w:spacing w:after="0"/>
        <w:rPr>
          <w:sz w:val="20"/>
          <w:szCs w:val="20"/>
          <w:color w:val="auto"/>
        </w:rPr>
      </w:pPr>
      <w:r>
        <w:rPr>
          <w:rFonts w:ascii="Arial" w:cs="Arial" w:eastAsia="Arial" w:hAnsi="Arial"/>
          <w:sz w:val="32"/>
          <w:szCs w:val="32"/>
          <w:b w:val="1"/>
          <w:bCs w:val="1"/>
          <w:color w:val="1D2758"/>
        </w:rPr>
        <w:t>PART II</w:t>
      </w:r>
    </w:p>
    <w:p>
      <w:pPr>
        <w:spacing w:after="0" w:line="211" w:lineRule="exact"/>
        <w:rPr>
          <w:sz w:val="20"/>
          <w:szCs w:val="20"/>
          <w:color w:val="auto"/>
        </w:rPr>
      </w:pPr>
    </w:p>
    <w:p>
      <w:pPr>
        <w:jc w:val="center"/>
        <w:ind w:right="520"/>
        <w:spacing w:after="0" w:line="272" w:lineRule="auto"/>
        <w:rPr>
          <w:sz w:val="20"/>
          <w:szCs w:val="20"/>
          <w:color w:val="auto"/>
        </w:rPr>
      </w:pPr>
      <w:r>
        <w:rPr>
          <w:rFonts w:ascii="Arial" w:cs="Arial" w:eastAsia="Arial" w:hAnsi="Arial"/>
          <w:sz w:val="32"/>
          <w:szCs w:val="32"/>
          <w:b w:val="1"/>
          <w:bCs w:val="1"/>
          <w:color w:val="auto"/>
        </w:rPr>
        <w:t>ITEM 5.  Market for Registrant’s Common Equity, Related Stockholder Matters and Issuer Purchases of Equity Securities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1D2758"/>
        </w:rPr>
        <w:t>Common Stock</w:t>
      </w:r>
    </w:p>
    <w:p>
      <w:pPr>
        <w:spacing w:after="0" w:line="42"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Our Common Stock is listed on the Nasdaq Capital Market under the symbol “WSC.” Our certificate of incorporation authorizes the issuance of 500,000,000 shares of Common Stock with a par value of $0.0001 per share. The Company had 223,939,527 shares of Common Stock issued and outstanding as of December 31, 2021. The outstanding shares of the Company's Common Stock are duly authorized, validly issued, fully paid and non-assessable.</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1D2758"/>
        </w:rPr>
        <w:t>Preferred Stock</w:t>
      </w:r>
    </w:p>
    <w:p>
      <w:pPr>
        <w:spacing w:after="0" w:line="42"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Our certificate of incorporation authorizes the issuance of 1,000,000 shares of Preferred Stock with a par value of $0.0001 per share. As of December 31, 2021, no shares of Preferred Stock were issued and outstanding, and no designation of rights and preferences of preferred stock had been adopted.</w:t>
      </w:r>
    </w:p>
    <w:p>
      <w:pPr>
        <w:spacing w:after="0" w:line="76" w:lineRule="exact"/>
        <w:rPr>
          <w:sz w:val="20"/>
          <w:szCs w:val="20"/>
          <w:color w:val="auto"/>
        </w:rPr>
      </w:pPr>
    </w:p>
    <w:p>
      <w:pPr>
        <w:spacing w:after="0"/>
        <w:rPr>
          <w:sz w:val="20"/>
          <w:szCs w:val="20"/>
          <w:color w:val="auto"/>
        </w:rPr>
      </w:pPr>
      <w:r>
        <w:rPr>
          <w:rFonts w:ascii="Arial" w:cs="Arial" w:eastAsia="Arial" w:hAnsi="Arial"/>
          <w:sz w:val="19"/>
          <w:szCs w:val="19"/>
          <w:color w:val="1D2758"/>
        </w:rPr>
        <w:t>2018 Warrants</w:t>
      </w:r>
    </w:p>
    <w:p>
      <w:pPr>
        <w:spacing w:after="0" w:line="42"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On August 15, 2018, WillScot issued warrants (the "2018 Warrants") to the former ModSpace shareholders as part of the acquisition of ModSpace. Our 2018 Warrants are listed on an OTC Markets Group, Inc. Pink Open Market under the symbol "WSCTW." Over-the-counter market quotations reflect inter-dealer prices, without retail mark-up, mark-down or commission, and may not represent actual transactions.</w:t>
      </w:r>
    </w:p>
    <w:p>
      <w:pPr>
        <w:spacing w:after="0" w:line="33"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Each 2018 Warrant entitles the holder thereof to purchase one share of our Common Stock at an exercise price of $15.50 per share, subject to potential adjustment. The 2018 Warrants were not exercisable or transferable until February 11, 2019 and expire on November 29, 2022. As of December 31, 2021, 4,078,173 of the 2018 Warrants were outstanding.</w:t>
      </w:r>
    </w:p>
    <w:p>
      <w:pPr>
        <w:spacing w:after="0" w:line="76" w:lineRule="exact"/>
        <w:rPr>
          <w:sz w:val="20"/>
          <w:szCs w:val="20"/>
          <w:color w:val="auto"/>
        </w:rPr>
      </w:pPr>
    </w:p>
    <w:p>
      <w:pPr>
        <w:spacing w:after="0"/>
        <w:rPr>
          <w:sz w:val="20"/>
          <w:szCs w:val="20"/>
          <w:color w:val="auto"/>
        </w:rPr>
      </w:pPr>
      <w:r>
        <w:rPr>
          <w:rFonts w:ascii="Arial" w:cs="Arial" w:eastAsia="Arial" w:hAnsi="Arial"/>
          <w:sz w:val="19"/>
          <w:szCs w:val="19"/>
          <w:color w:val="1D2758"/>
        </w:rPr>
        <w:t>Holders</w:t>
      </w:r>
    </w:p>
    <w:p>
      <w:pPr>
        <w:spacing w:after="0" w:line="42"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As of December 31, 2021, there were 44 holders of record of our Common Stock, no holders of record of our Preferred Stock, and 23 holders of record of our 2018 Warrants. The number of holders of record does not include a substantially greater number of “street name” holders or beneficial holders whose Common Stock or warrants are held of record by banks, brokers and other financial institutions.</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1D2758"/>
        </w:rPr>
        <w:t>Dividend Policy</w:t>
      </w:r>
    </w:p>
    <w:p>
      <w:pPr>
        <w:spacing w:after="0" w:line="42"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To date, we have not declared or paid dividends on our Common Stock. We have strong recurring cash flows, which gives us flexibility in how we allocate capital, and we review the appropriate mix of growth investments, debt reduction, and returns to shareholders on an ongoing basis. Declaration or payment of dividends, if any, in the future, will be at the discretion of our Board of Directors and will depend on our then current financial condition, results of operations, capital requirements and other factors deemed relevant by the Board of Directors.</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1D2758"/>
        </w:rPr>
        <w:t>Securities Authorized for Issuance under Equity Compensation Plans</w:t>
      </w:r>
    </w:p>
    <w:p>
      <w:pPr>
        <w:spacing w:after="0" w:line="42"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On February 5, 2018, we filed a registration statement on Form S-8, registering 4,000,000 shares of Common Stock, relating to awards to be undertaken in the future, with such vesting conditions, as applicable, to be determined in accordance with the WillScot Corporation 2017 Incentive Award Plan (the "2017 Incentive Award Plan"). On July 2, 2020, we filed a registration statement on Form S-8 registering 6,488,988 shares of Common Stock (including 1,488,988 shares that remained available under the 2017 Incentive Award Plan), relating to awards to be undertaken in the future, with such vesting conditions, as applicable, to be determined in accordance with the WillScot Mobile Mini 2020 Incentive Award Plan (the "2020 Incentive Plan"). The following types of awards can be issued under the 2020 Incentive Plan: non-qualified stock options, incentive stock options, stock appreciation rights, restricted stock awards, restricted stock units, performance compensation awards and stock bonus awards. See Note 16 in Part II, Item 8 herein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36" w:name="page37"/>
    <w:bookmarkEnd w:id="36"/>
    <w:p>
      <w:pPr>
        <w:ind w:left="540"/>
        <w:spacing w:after="0"/>
        <w:rPr>
          <w:sz w:val="20"/>
          <w:szCs w:val="20"/>
          <w:color w:val="auto"/>
        </w:rPr>
      </w:pPr>
      <w:r>
        <w:rPr>
          <w:rFonts w:ascii="Arial" w:cs="Arial" w:eastAsia="Arial" w:hAnsi="Arial"/>
          <w:sz w:val="13"/>
          <w:szCs w:val="13"/>
          <w:color w:val="auto"/>
        </w:rPr>
        <w:t>The following table sets forth information as of December 31, 2021 with respect to compensation plans under which equity securities are authorized for issuance: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shd w:val="clear" w:color="auto" w:fill="1D2758"/>
          </w:tcPr>
          <w:p>
            <w:pPr>
              <w:spacing w:after="0"/>
              <w:rPr>
                <w:sz w:val="12"/>
                <w:szCs w:val="12"/>
                <w:color w:val="auto"/>
              </w:rPr>
            </w:pPr>
          </w:p>
        </w:tc>
        <w:tc>
          <w:tcPr>
            <w:tcW w:w="2280" w:type="dxa"/>
            <w:vAlign w:val="bottom"/>
            <w:shd w:val="clear" w:color="auto" w:fill="1D2758"/>
          </w:tcPr>
          <w:p>
            <w:pPr>
              <w:jc w:val="center"/>
              <w:spacing w:after="0"/>
              <w:rPr>
                <w:sz w:val="20"/>
                <w:szCs w:val="20"/>
                <w:color w:val="auto"/>
              </w:rPr>
            </w:pPr>
            <w:r>
              <w:rPr>
                <w:rFonts w:ascii="Arial" w:cs="Arial" w:eastAsia="Arial" w:hAnsi="Arial"/>
                <w:sz w:val="12"/>
                <w:szCs w:val="12"/>
                <w:b w:val="1"/>
                <w:bCs w:val="1"/>
                <w:color w:val="FFFFFF"/>
                <w:w w:val="97"/>
              </w:rPr>
              <w:t>Number of securities to be issued upon</w:t>
            </w:r>
          </w:p>
        </w:tc>
        <w:tc>
          <w:tcPr>
            <w:tcW w:w="340" w:type="dxa"/>
            <w:vAlign w:val="bottom"/>
            <w:shd w:val="clear" w:color="auto" w:fill="1D2758"/>
          </w:tcPr>
          <w:p>
            <w:pPr>
              <w:spacing w:after="0"/>
              <w:rPr>
                <w:sz w:val="12"/>
                <w:szCs w:val="12"/>
                <w:color w:val="auto"/>
              </w:rPr>
            </w:pPr>
          </w:p>
        </w:tc>
        <w:tc>
          <w:tcPr>
            <w:tcW w:w="120" w:type="dxa"/>
            <w:vAlign w:val="bottom"/>
            <w:shd w:val="clear" w:color="auto" w:fill="1D2758"/>
          </w:tcPr>
          <w:p>
            <w:pPr>
              <w:spacing w:after="0"/>
              <w:rPr>
                <w:sz w:val="12"/>
                <w:szCs w:val="12"/>
                <w:color w:val="auto"/>
              </w:rPr>
            </w:pPr>
          </w:p>
        </w:tc>
        <w:tc>
          <w:tcPr>
            <w:tcW w:w="2080" w:type="dxa"/>
            <w:vAlign w:val="bottom"/>
            <w:shd w:val="clear" w:color="auto" w:fill="1D2758"/>
          </w:tcPr>
          <w:p>
            <w:pPr>
              <w:jc w:val="center"/>
              <w:ind w:right="38"/>
              <w:spacing w:after="0"/>
              <w:rPr>
                <w:sz w:val="20"/>
                <w:szCs w:val="20"/>
                <w:color w:val="auto"/>
              </w:rPr>
            </w:pPr>
            <w:r>
              <w:rPr>
                <w:rFonts w:ascii="Arial" w:cs="Arial" w:eastAsia="Arial" w:hAnsi="Arial"/>
                <w:sz w:val="12"/>
                <w:szCs w:val="12"/>
                <w:b w:val="1"/>
                <w:bCs w:val="1"/>
                <w:color w:val="FFFFFF"/>
                <w:w w:val="96"/>
              </w:rPr>
              <w:t>Weighted-average exercise price of</w:t>
            </w:r>
          </w:p>
        </w:tc>
        <w:tc>
          <w:tcPr>
            <w:tcW w:w="360" w:type="dxa"/>
            <w:vAlign w:val="bottom"/>
            <w:shd w:val="clear" w:color="auto" w:fill="1D2758"/>
          </w:tcPr>
          <w:p>
            <w:pPr>
              <w:spacing w:after="0"/>
              <w:rPr>
                <w:sz w:val="12"/>
                <w:szCs w:val="12"/>
                <w:color w:val="auto"/>
              </w:rPr>
            </w:pPr>
          </w:p>
        </w:tc>
        <w:tc>
          <w:tcPr>
            <w:tcW w:w="2560" w:type="dxa"/>
            <w:vAlign w:val="bottom"/>
            <w:vMerge w:val="restart"/>
            <w:shd w:val="clear" w:color="auto" w:fill="1D2758"/>
          </w:tcPr>
          <w:p>
            <w:pPr>
              <w:jc w:val="center"/>
              <w:spacing w:after="0"/>
              <w:rPr>
                <w:sz w:val="20"/>
                <w:szCs w:val="20"/>
                <w:color w:val="auto"/>
              </w:rPr>
            </w:pPr>
            <w:r>
              <w:rPr>
                <w:rFonts w:ascii="Arial" w:cs="Arial" w:eastAsia="Arial" w:hAnsi="Arial"/>
                <w:sz w:val="12"/>
                <w:szCs w:val="12"/>
                <w:b w:val="1"/>
                <w:bCs w:val="1"/>
                <w:color w:val="FFFFFF"/>
                <w:w w:val="97"/>
              </w:rPr>
              <w:t>Number of securities remaining available for</w:t>
            </w:r>
          </w:p>
        </w:tc>
        <w:tc>
          <w:tcPr>
            <w:tcW w:w="0" w:type="dxa"/>
            <w:vAlign w:val="bottom"/>
          </w:tcPr>
          <w:p>
            <w:pPr>
              <w:spacing w:after="0"/>
              <w:rPr>
                <w:sz w:val="1"/>
                <w:szCs w:val="1"/>
                <w:color w:val="auto"/>
              </w:rPr>
            </w:pPr>
          </w:p>
        </w:tc>
      </w:tr>
      <w:tr>
        <w:trPr>
          <w:trHeight w:val="109"/>
        </w:trPr>
        <w:tc>
          <w:tcPr>
            <w:tcW w:w="3540" w:type="dxa"/>
            <w:vAlign w:val="bottom"/>
            <w:shd w:val="clear" w:color="auto" w:fill="1D2758"/>
          </w:tcPr>
          <w:p>
            <w:pPr>
              <w:spacing w:after="0"/>
              <w:rPr>
                <w:sz w:val="9"/>
                <w:szCs w:val="9"/>
                <w:color w:val="auto"/>
              </w:rPr>
            </w:pPr>
          </w:p>
        </w:tc>
        <w:tc>
          <w:tcPr>
            <w:tcW w:w="2280" w:type="dxa"/>
            <w:vAlign w:val="bottom"/>
            <w:shd w:val="clear" w:color="auto" w:fill="1D2758"/>
          </w:tcPr>
          <w:p>
            <w:pPr>
              <w:jc w:val="center"/>
              <w:spacing w:after="0" w:line="109" w:lineRule="exact"/>
              <w:rPr>
                <w:sz w:val="20"/>
                <w:szCs w:val="20"/>
                <w:color w:val="auto"/>
              </w:rPr>
            </w:pPr>
            <w:r>
              <w:rPr>
                <w:rFonts w:ascii="Arial" w:cs="Arial" w:eastAsia="Arial" w:hAnsi="Arial"/>
                <w:sz w:val="12"/>
                <w:szCs w:val="12"/>
                <w:b w:val="1"/>
                <w:bCs w:val="1"/>
                <w:color w:val="FFFFFF"/>
                <w:w w:val="97"/>
              </w:rPr>
              <w:t>exercise of outstanding options,</w:t>
            </w:r>
          </w:p>
        </w:tc>
        <w:tc>
          <w:tcPr>
            <w:tcW w:w="340" w:type="dxa"/>
            <w:vAlign w:val="bottom"/>
            <w:shd w:val="clear" w:color="auto" w:fill="1D2758"/>
          </w:tcPr>
          <w:p>
            <w:pPr>
              <w:spacing w:after="0"/>
              <w:rPr>
                <w:sz w:val="9"/>
                <w:szCs w:val="9"/>
                <w:color w:val="auto"/>
              </w:rPr>
            </w:pPr>
          </w:p>
        </w:tc>
        <w:tc>
          <w:tcPr>
            <w:tcW w:w="120" w:type="dxa"/>
            <w:vAlign w:val="bottom"/>
            <w:shd w:val="clear" w:color="auto" w:fill="1D2758"/>
          </w:tcPr>
          <w:p>
            <w:pPr>
              <w:spacing w:after="0"/>
              <w:rPr>
                <w:sz w:val="9"/>
                <w:szCs w:val="9"/>
                <w:color w:val="auto"/>
              </w:rPr>
            </w:pPr>
          </w:p>
        </w:tc>
        <w:tc>
          <w:tcPr>
            <w:tcW w:w="2080" w:type="dxa"/>
            <w:vAlign w:val="bottom"/>
            <w:shd w:val="clear" w:color="auto" w:fill="1D2758"/>
          </w:tcPr>
          <w:p>
            <w:pPr>
              <w:jc w:val="center"/>
              <w:ind w:right="38"/>
              <w:spacing w:after="0" w:line="109" w:lineRule="exact"/>
              <w:rPr>
                <w:sz w:val="20"/>
                <w:szCs w:val="20"/>
                <w:color w:val="auto"/>
              </w:rPr>
            </w:pPr>
            <w:r>
              <w:rPr>
                <w:rFonts w:ascii="Arial" w:cs="Arial" w:eastAsia="Arial" w:hAnsi="Arial"/>
                <w:sz w:val="12"/>
                <w:szCs w:val="12"/>
                <w:b w:val="1"/>
                <w:bCs w:val="1"/>
                <w:color w:val="FFFFFF"/>
                <w:w w:val="96"/>
              </w:rPr>
              <w:t>outstanding options, warrants, and</w:t>
            </w:r>
          </w:p>
        </w:tc>
        <w:tc>
          <w:tcPr>
            <w:tcW w:w="360" w:type="dxa"/>
            <w:vAlign w:val="bottom"/>
            <w:shd w:val="clear" w:color="auto" w:fill="1D2758"/>
          </w:tcPr>
          <w:p>
            <w:pPr>
              <w:spacing w:after="0"/>
              <w:rPr>
                <w:sz w:val="9"/>
                <w:szCs w:val="9"/>
                <w:color w:val="auto"/>
              </w:rPr>
            </w:pPr>
          </w:p>
        </w:tc>
        <w:tc>
          <w:tcPr>
            <w:tcW w:w="2560" w:type="dxa"/>
            <w:vAlign w:val="bottom"/>
            <w:vMerge w:val="continue"/>
            <w:shd w:val="clear" w:color="auto" w:fill="1D2758"/>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3540" w:type="dxa"/>
            <w:vAlign w:val="bottom"/>
            <w:shd w:val="clear" w:color="auto" w:fill="1D2758"/>
          </w:tcPr>
          <w:p>
            <w:pPr>
              <w:spacing w:after="0"/>
              <w:rPr>
                <w:sz w:val="9"/>
                <w:szCs w:val="9"/>
                <w:color w:val="auto"/>
              </w:rPr>
            </w:pPr>
          </w:p>
        </w:tc>
        <w:tc>
          <w:tcPr>
            <w:tcW w:w="2280" w:type="dxa"/>
            <w:vAlign w:val="bottom"/>
            <w:shd w:val="clear" w:color="auto" w:fill="1D2758"/>
          </w:tcPr>
          <w:p>
            <w:pPr>
              <w:jc w:val="center"/>
              <w:spacing w:after="0" w:line="109" w:lineRule="exact"/>
              <w:rPr>
                <w:sz w:val="20"/>
                <w:szCs w:val="20"/>
                <w:color w:val="auto"/>
              </w:rPr>
            </w:pPr>
            <w:r>
              <w:rPr>
                <w:rFonts w:ascii="Arial" w:cs="Arial" w:eastAsia="Arial" w:hAnsi="Arial"/>
                <w:sz w:val="12"/>
                <w:szCs w:val="12"/>
                <w:b w:val="1"/>
                <w:bCs w:val="1"/>
                <w:color w:val="FFFFFF"/>
                <w:w w:val="96"/>
              </w:rPr>
              <w:t>warrants and rights</w:t>
            </w:r>
          </w:p>
        </w:tc>
        <w:tc>
          <w:tcPr>
            <w:tcW w:w="340" w:type="dxa"/>
            <w:vAlign w:val="bottom"/>
            <w:shd w:val="clear" w:color="auto" w:fill="1D2758"/>
          </w:tcPr>
          <w:p>
            <w:pPr>
              <w:spacing w:after="0"/>
              <w:rPr>
                <w:sz w:val="9"/>
                <w:szCs w:val="9"/>
                <w:color w:val="auto"/>
              </w:rPr>
            </w:pPr>
          </w:p>
        </w:tc>
        <w:tc>
          <w:tcPr>
            <w:tcW w:w="120" w:type="dxa"/>
            <w:vAlign w:val="bottom"/>
            <w:shd w:val="clear" w:color="auto" w:fill="1D2758"/>
          </w:tcPr>
          <w:p>
            <w:pPr>
              <w:spacing w:after="0"/>
              <w:rPr>
                <w:sz w:val="9"/>
                <w:szCs w:val="9"/>
                <w:color w:val="auto"/>
              </w:rPr>
            </w:pPr>
          </w:p>
        </w:tc>
        <w:tc>
          <w:tcPr>
            <w:tcW w:w="2080" w:type="dxa"/>
            <w:vAlign w:val="bottom"/>
            <w:shd w:val="clear" w:color="auto" w:fill="1D2758"/>
          </w:tcPr>
          <w:p>
            <w:pPr>
              <w:jc w:val="center"/>
              <w:ind w:right="58"/>
              <w:spacing w:after="0" w:line="109" w:lineRule="exact"/>
              <w:rPr>
                <w:sz w:val="20"/>
                <w:szCs w:val="20"/>
                <w:color w:val="auto"/>
              </w:rPr>
            </w:pPr>
            <w:r>
              <w:rPr>
                <w:rFonts w:ascii="Arial" w:cs="Arial" w:eastAsia="Arial" w:hAnsi="Arial"/>
                <w:sz w:val="12"/>
                <w:szCs w:val="12"/>
                <w:b w:val="1"/>
                <w:bCs w:val="1"/>
                <w:color w:val="FFFFFF"/>
                <w:w w:val="95"/>
              </w:rPr>
              <w:t>rights</w:t>
            </w:r>
          </w:p>
        </w:tc>
        <w:tc>
          <w:tcPr>
            <w:tcW w:w="360" w:type="dxa"/>
            <w:vAlign w:val="bottom"/>
            <w:shd w:val="clear" w:color="auto" w:fill="1D2758"/>
          </w:tcPr>
          <w:p>
            <w:pPr>
              <w:spacing w:after="0"/>
              <w:rPr>
                <w:sz w:val="9"/>
                <w:szCs w:val="9"/>
                <w:color w:val="auto"/>
              </w:rPr>
            </w:pPr>
          </w:p>
        </w:tc>
        <w:tc>
          <w:tcPr>
            <w:tcW w:w="2560" w:type="dxa"/>
            <w:vAlign w:val="bottom"/>
            <w:shd w:val="clear" w:color="auto" w:fill="1D2758"/>
          </w:tcPr>
          <w:p>
            <w:pPr>
              <w:jc w:val="center"/>
              <w:spacing w:after="0" w:line="109" w:lineRule="exact"/>
              <w:rPr>
                <w:sz w:val="20"/>
                <w:szCs w:val="20"/>
                <w:color w:val="auto"/>
              </w:rPr>
            </w:pPr>
            <w:r>
              <w:rPr>
                <w:rFonts w:ascii="Arial" w:cs="Arial" w:eastAsia="Arial" w:hAnsi="Arial"/>
                <w:sz w:val="12"/>
                <w:szCs w:val="12"/>
                <w:b w:val="1"/>
                <w:bCs w:val="1"/>
                <w:color w:val="FFFFFF"/>
                <w:w w:val="97"/>
              </w:rPr>
              <w:t>issuance under equity compensation plans</w:t>
            </w:r>
          </w:p>
        </w:tc>
        <w:tc>
          <w:tcPr>
            <w:tcW w:w="0" w:type="dxa"/>
            <w:vAlign w:val="bottom"/>
          </w:tcPr>
          <w:p>
            <w:pPr>
              <w:spacing w:after="0"/>
              <w:rPr>
                <w:sz w:val="1"/>
                <w:szCs w:val="1"/>
                <w:color w:val="auto"/>
              </w:rPr>
            </w:pPr>
          </w:p>
        </w:tc>
      </w:tr>
      <w:tr>
        <w:trPr>
          <w:trHeight w:val="87"/>
        </w:trPr>
        <w:tc>
          <w:tcPr>
            <w:tcW w:w="3540" w:type="dxa"/>
            <w:vAlign w:val="bottom"/>
            <w:vMerge w:val="restart"/>
            <w:shd w:val="clear" w:color="auto" w:fill="1D2758"/>
          </w:tcPr>
          <w:p>
            <w:pPr>
              <w:ind w:left="1340"/>
              <w:spacing w:after="0"/>
              <w:rPr>
                <w:sz w:val="20"/>
                <w:szCs w:val="20"/>
                <w:color w:val="auto"/>
              </w:rPr>
            </w:pPr>
            <w:r>
              <w:rPr>
                <w:rFonts w:ascii="Arial" w:cs="Arial" w:eastAsia="Arial" w:hAnsi="Arial"/>
                <w:sz w:val="13"/>
                <w:szCs w:val="13"/>
                <w:b w:val="1"/>
                <w:bCs w:val="1"/>
                <w:color w:val="FFFFFF"/>
              </w:rPr>
              <w:t>Plan Category</w:t>
            </w:r>
          </w:p>
        </w:tc>
        <w:tc>
          <w:tcPr>
            <w:tcW w:w="2280" w:type="dxa"/>
            <w:vAlign w:val="bottom"/>
            <w:shd w:val="clear" w:color="auto" w:fill="1D2758"/>
          </w:tcPr>
          <w:p>
            <w:pPr>
              <w:spacing w:after="0"/>
              <w:rPr>
                <w:sz w:val="7"/>
                <w:szCs w:val="7"/>
                <w:color w:val="auto"/>
              </w:rPr>
            </w:pPr>
          </w:p>
        </w:tc>
        <w:tc>
          <w:tcPr>
            <w:tcW w:w="340" w:type="dxa"/>
            <w:vAlign w:val="bottom"/>
            <w:shd w:val="clear" w:color="auto" w:fill="1D2758"/>
          </w:tcPr>
          <w:p>
            <w:pPr>
              <w:spacing w:after="0"/>
              <w:rPr>
                <w:sz w:val="7"/>
                <w:szCs w:val="7"/>
                <w:color w:val="auto"/>
              </w:rPr>
            </w:pPr>
          </w:p>
        </w:tc>
        <w:tc>
          <w:tcPr>
            <w:tcW w:w="120" w:type="dxa"/>
            <w:vAlign w:val="bottom"/>
            <w:shd w:val="clear" w:color="auto" w:fill="1D2758"/>
          </w:tcPr>
          <w:p>
            <w:pPr>
              <w:spacing w:after="0"/>
              <w:rPr>
                <w:sz w:val="7"/>
                <w:szCs w:val="7"/>
                <w:color w:val="auto"/>
              </w:rPr>
            </w:pPr>
          </w:p>
        </w:tc>
        <w:tc>
          <w:tcPr>
            <w:tcW w:w="2080" w:type="dxa"/>
            <w:vAlign w:val="bottom"/>
            <w:shd w:val="clear" w:color="auto" w:fill="1D2758"/>
          </w:tcPr>
          <w:p>
            <w:pPr>
              <w:spacing w:after="0"/>
              <w:rPr>
                <w:sz w:val="7"/>
                <w:szCs w:val="7"/>
                <w:color w:val="auto"/>
              </w:rPr>
            </w:pPr>
          </w:p>
        </w:tc>
        <w:tc>
          <w:tcPr>
            <w:tcW w:w="360" w:type="dxa"/>
            <w:vAlign w:val="bottom"/>
            <w:shd w:val="clear" w:color="auto" w:fill="1D2758"/>
          </w:tcPr>
          <w:p>
            <w:pPr>
              <w:spacing w:after="0"/>
              <w:rPr>
                <w:sz w:val="7"/>
                <w:szCs w:val="7"/>
                <w:color w:val="auto"/>
              </w:rPr>
            </w:pPr>
          </w:p>
        </w:tc>
        <w:tc>
          <w:tcPr>
            <w:tcW w:w="2560" w:type="dxa"/>
            <w:vAlign w:val="bottom"/>
            <w:shd w:val="clear" w:color="auto" w:fill="1D2758"/>
          </w:tcPr>
          <w:p>
            <w:pPr>
              <w:jc w:val="center"/>
              <w:spacing w:after="0" w:line="88" w:lineRule="exact"/>
              <w:rPr>
                <w:sz w:val="20"/>
                <w:szCs w:val="20"/>
                <w:color w:val="auto"/>
              </w:rPr>
            </w:pPr>
            <w:r>
              <w:rPr>
                <w:rFonts w:ascii="Arial" w:cs="Arial" w:eastAsia="Arial" w:hAnsi="Arial"/>
                <w:sz w:val="10"/>
                <w:szCs w:val="10"/>
                <w:b w:val="1"/>
                <w:bCs w:val="1"/>
                <w:color w:val="FFFFFF"/>
              </w:rPr>
              <w:t>(excluding securities reflected the first</w:t>
            </w:r>
          </w:p>
        </w:tc>
        <w:tc>
          <w:tcPr>
            <w:tcW w:w="0" w:type="dxa"/>
            <w:vAlign w:val="bottom"/>
          </w:tcPr>
          <w:p>
            <w:pPr>
              <w:spacing w:after="0"/>
              <w:rPr>
                <w:sz w:val="1"/>
                <w:szCs w:val="1"/>
                <w:color w:val="auto"/>
              </w:rPr>
            </w:pPr>
          </w:p>
        </w:tc>
      </w:tr>
      <w:tr>
        <w:trPr>
          <w:trHeight w:val="142"/>
        </w:trPr>
        <w:tc>
          <w:tcPr>
            <w:tcW w:w="3540" w:type="dxa"/>
            <w:vAlign w:val="bottom"/>
            <w:vMerge w:val="continue"/>
            <w:shd w:val="clear" w:color="auto" w:fill="1D2758"/>
          </w:tcPr>
          <w:p>
            <w:pPr>
              <w:spacing w:after="0"/>
              <w:rPr>
                <w:sz w:val="12"/>
                <w:szCs w:val="12"/>
                <w:color w:val="auto"/>
              </w:rPr>
            </w:pPr>
          </w:p>
        </w:tc>
        <w:tc>
          <w:tcPr>
            <w:tcW w:w="2280" w:type="dxa"/>
            <w:vAlign w:val="bottom"/>
            <w:shd w:val="clear" w:color="auto" w:fill="1D2758"/>
          </w:tcPr>
          <w:p>
            <w:pPr>
              <w:spacing w:after="0"/>
              <w:rPr>
                <w:sz w:val="12"/>
                <w:szCs w:val="12"/>
                <w:color w:val="auto"/>
              </w:rPr>
            </w:pPr>
          </w:p>
        </w:tc>
        <w:tc>
          <w:tcPr>
            <w:tcW w:w="340" w:type="dxa"/>
            <w:vAlign w:val="bottom"/>
            <w:shd w:val="clear" w:color="auto" w:fill="1D2758"/>
          </w:tcPr>
          <w:p>
            <w:pPr>
              <w:spacing w:after="0"/>
              <w:rPr>
                <w:sz w:val="12"/>
                <w:szCs w:val="12"/>
                <w:color w:val="auto"/>
              </w:rPr>
            </w:pPr>
          </w:p>
        </w:tc>
        <w:tc>
          <w:tcPr>
            <w:tcW w:w="120" w:type="dxa"/>
            <w:vAlign w:val="bottom"/>
            <w:shd w:val="clear" w:color="auto" w:fill="1D2758"/>
          </w:tcPr>
          <w:p>
            <w:pPr>
              <w:spacing w:after="0"/>
              <w:rPr>
                <w:sz w:val="12"/>
                <w:szCs w:val="12"/>
                <w:color w:val="auto"/>
              </w:rPr>
            </w:pPr>
          </w:p>
        </w:tc>
        <w:tc>
          <w:tcPr>
            <w:tcW w:w="2080" w:type="dxa"/>
            <w:vAlign w:val="bottom"/>
            <w:shd w:val="clear" w:color="auto" w:fill="1D2758"/>
          </w:tcPr>
          <w:p>
            <w:pPr>
              <w:spacing w:after="0"/>
              <w:rPr>
                <w:sz w:val="12"/>
                <w:szCs w:val="12"/>
                <w:color w:val="auto"/>
              </w:rPr>
            </w:pPr>
          </w:p>
        </w:tc>
        <w:tc>
          <w:tcPr>
            <w:tcW w:w="360" w:type="dxa"/>
            <w:vAlign w:val="bottom"/>
            <w:shd w:val="clear" w:color="auto" w:fill="1D2758"/>
          </w:tcPr>
          <w:p>
            <w:pPr>
              <w:spacing w:after="0"/>
              <w:rPr>
                <w:sz w:val="12"/>
                <w:szCs w:val="12"/>
                <w:color w:val="auto"/>
              </w:rPr>
            </w:pPr>
          </w:p>
        </w:tc>
        <w:tc>
          <w:tcPr>
            <w:tcW w:w="2560" w:type="dxa"/>
            <w:vAlign w:val="bottom"/>
            <w:shd w:val="clear" w:color="auto" w:fill="1D2758"/>
          </w:tcPr>
          <w:p>
            <w:pPr>
              <w:jc w:val="center"/>
              <w:spacing w:after="0"/>
              <w:rPr>
                <w:sz w:val="20"/>
                <w:szCs w:val="20"/>
                <w:color w:val="auto"/>
              </w:rPr>
            </w:pPr>
            <w:r>
              <w:rPr>
                <w:rFonts w:ascii="Arial" w:cs="Arial" w:eastAsia="Arial" w:hAnsi="Arial"/>
                <w:sz w:val="12"/>
                <w:szCs w:val="12"/>
                <w:b w:val="1"/>
                <w:bCs w:val="1"/>
                <w:color w:val="FFFFFF"/>
                <w:w w:val="94"/>
              </w:rPr>
              <w:t>column)</w:t>
            </w:r>
          </w:p>
        </w:tc>
        <w:tc>
          <w:tcPr>
            <w:tcW w:w="0" w:type="dxa"/>
            <w:vAlign w:val="bottom"/>
          </w:tcPr>
          <w:p>
            <w:pPr>
              <w:spacing w:after="0"/>
              <w:rPr>
                <w:sz w:val="1"/>
                <w:szCs w:val="1"/>
                <w:color w:val="auto"/>
              </w:rPr>
            </w:pPr>
          </w:p>
        </w:tc>
      </w:tr>
      <w:tr>
        <w:trPr>
          <w:trHeight w:val="175"/>
        </w:trPr>
        <w:tc>
          <w:tcPr>
            <w:tcW w:w="3540" w:type="dxa"/>
            <w:vAlign w:val="bottom"/>
            <w:shd w:val="clear" w:color="auto" w:fill="DDDDDD"/>
          </w:tcPr>
          <w:p>
            <w:pPr>
              <w:ind w:left="20"/>
              <w:spacing w:after="0"/>
              <w:rPr>
                <w:sz w:val="20"/>
                <w:szCs w:val="20"/>
                <w:color w:val="auto"/>
              </w:rPr>
            </w:pPr>
            <w:r>
              <w:rPr>
                <w:rFonts w:ascii="Arial" w:cs="Arial" w:eastAsia="Arial" w:hAnsi="Arial"/>
                <w:sz w:val="13"/>
                <w:szCs w:val="13"/>
                <w:color w:val="auto"/>
              </w:rPr>
              <w:t>Equity compensation plans approved by security holders</w:t>
            </w:r>
          </w:p>
        </w:tc>
        <w:tc>
          <w:tcPr>
            <w:tcW w:w="2280" w:type="dxa"/>
            <w:vAlign w:val="bottom"/>
            <w:shd w:val="clear" w:color="auto" w:fill="DDDDDD"/>
          </w:tcPr>
          <w:p>
            <w:pPr>
              <w:jc w:val="right"/>
              <w:spacing w:after="0"/>
              <w:rPr>
                <w:sz w:val="20"/>
                <w:szCs w:val="20"/>
                <w:color w:val="auto"/>
              </w:rPr>
            </w:pPr>
            <w:r>
              <w:rPr>
                <w:rFonts w:ascii="Arial" w:cs="Arial" w:eastAsia="Arial" w:hAnsi="Arial"/>
                <w:sz w:val="13"/>
                <w:szCs w:val="13"/>
                <w:color w:val="auto"/>
              </w:rPr>
              <w:t>3,195,304</w:t>
            </w:r>
          </w:p>
        </w:tc>
        <w:tc>
          <w:tcPr>
            <w:tcW w:w="340" w:type="dxa"/>
            <w:vAlign w:val="bottom"/>
            <w:shd w:val="clear" w:color="auto" w:fill="DDDDDD"/>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DDDDDD"/>
          </w:tcPr>
          <w:p>
            <w:pPr>
              <w:jc w:val="right"/>
              <w:spacing w:after="0"/>
              <w:rPr>
                <w:sz w:val="20"/>
                <w:szCs w:val="20"/>
                <w:color w:val="auto"/>
              </w:rPr>
            </w:pPr>
            <w:r>
              <w:rPr>
                <w:rFonts w:ascii="Arial" w:cs="Arial" w:eastAsia="Arial" w:hAnsi="Arial"/>
                <w:sz w:val="13"/>
                <w:szCs w:val="13"/>
                <w:color w:val="auto"/>
              </w:rPr>
              <w:t>$</w:t>
            </w:r>
          </w:p>
        </w:tc>
        <w:tc>
          <w:tcPr>
            <w:tcW w:w="2080" w:type="dxa"/>
            <w:vAlign w:val="bottom"/>
            <w:shd w:val="clear" w:color="auto" w:fill="DDDDDD"/>
          </w:tcPr>
          <w:p>
            <w:pPr>
              <w:jc w:val="right"/>
              <w:spacing w:after="0"/>
              <w:rPr>
                <w:sz w:val="20"/>
                <w:szCs w:val="20"/>
                <w:color w:val="auto"/>
              </w:rPr>
            </w:pPr>
            <w:r>
              <w:rPr>
                <w:rFonts w:ascii="Arial" w:cs="Arial" w:eastAsia="Arial" w:hAnsi="Arial"/>
                <w:sz w:val="13"/>
                <w:szCs w:val="13"/>
                <w:color w:val="auto"/>
              </w:rPr>
              <w:t>13.60</w:t>
            </w:r>
          </w:p>
        </w:tc>
        <w:tc>
          <w:tcPr>
            <w:tcW w:w="360" w:type="dxa"/>
            <w:vAlign w:val="bottom"/>
            <w:shd w:val="clear" w:color="auto" w:fill="DDDDDD"/>
          </w:tcPr>
          <w:p>
            <w:pPr>
              <w:jc w:val="right"/>
              <w:spacing w:after="0"/>
              <w:rPr>
                <w:sz w:val="20"/>
                <w:szCs w:val="20"/>
                <w:color w:val="auto"/>
              </w:rPr>
            </w:pPr>
            <w:r>
              <w:rPr>
                <w:rFonts w:ascii="Arial" w:cs="Arial" w:eastAsia="Arial" w:hAnsi="Arial"/>
                <w:sz w:val="13"/>
                <w:szCs w:val="13"/>
                <w:color w:val="auto"/>
              </w:rPr>
              <w:t>(2)</w:t>
            </w:r>
          </w:p>
        </w:tc>
        <w:tc>
          <w:tcPr>
            <w:tcW w:w="2560" w:type="dxa"/>
            <w:vAlign w:val="bottom"/>
            <w:shd w:val="clear" w:color="auto" w:fill="DDDDDD"/>
          </w:tcPr>
          <w:p>
            <w:pPr>
              <w:jc w:val="right"/>
              <w:spacing w:after="0"/>
              <w:rPr>
                <w:sz w:val="20"/>
                <w:szCs w:val="20"/>
                <w:color w:val="auto"/>
              </w:rPr>
            </w:pPr>
            <w:r>
              <w:rPr>
                <w:rFonts w:ascii="Arial" w:cs="Arial" w:eastAsia="Arial" w:hAnsi="Arial"/>
                <w:sz w:val="13"/>
                <w:szCs w:val="13"/>
                <w:color w:val="auto"/>
              </w:rPr>
              <w:t>4,627,837</w:t>
            </w:r>
          </w:p>
        </w:tc>
        <w:tc>
          <w:tcPr>
            <w:tcW w:w="0" w:type="dxa"/>
            <w:vAlign w:val="bottom"/>
          </w:tcPr>
          <w:p>
            <w:pPr>
              <w:spacing w:after="0"/>
              <w:rPr>
                <w:sz w:val="1"/>
                <w:szCs w:val="1"/>
                <w:color w:val="auto"/>
              </w:rPr>
            </w:pPr>
          </w:p>
        </w:tc>
      </w:tr>
      <w:tr>
        <w:trPr>
          <w:trHeight w:val="172"/>
        </w:trPr>
        <w:tc>
          <w:tcPr>
            <w:tcW w:w="3540" w:type="dxa"/>
            <w:vAlign w:val="bottom"/>
            <w:tcBorders>
              <w:bottom w:val="single" w:sz="8" w:color="DDDDDD"/>
            </w:tcBorders>
          </w:tcPr>
          <w:p>
            <w:pPr>
              <w:ind w:left="20"/>
              <w:spacing w:after="0"/>
              <w:rPr>
                <w:sz w:val="20"/>
                <w:szCs w:val="20"/>
                <w:color w:val="auto"/>
              </w:rPr>
            </w:pPr>
            <w:r>
              <w:rPr>
                <w:rFonts w:ascii="Arial" w:cs="Arial" w:eastAsia="Arial" w:hAnsi="Arial"/>
                <w:sz w:val="13"/>
                <w:szCs w:val="13"/>
                <w:color w:val="auto"/>
              </w:rPr>
              <w:t>Equity compensation plans not approved by security holders</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N/A</w:t>
            </w:r>
          </w:p>
        </w:tc>
        <w:tc>
          <w:tcPr>
            <w:tcW w:w="340" w:type="dxa"/>
            <w:vAlign w:val="bottom"/>
            <w:tcBorders>
              <w:bottom w:val="single" w:sz="8" w:color="DDDDDD"/>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N/A</w:t>
            </w:r>
          </w:p>
        </w:tc>
        <w:tc>
          <w:tcPr>
            <w:tcW w:w="360" w:type="dxa"/>
            <w:vAlign w:val="bottom"/>
            <w:tcBorders>
              <w:bottom w:val="single" w:sz="8" w:color="DDDDDD"/>
            </w:tcBorders>
          </w:tcPr>
          <w:p>
            <w:pPr>
              <w:spacing w:after="0"/>
              <w:rPr>
                <w:sz w:val="14"/>
                <w:szCs w:val="14"/>
                <w:color w:val="auto"/>
              </w:rPr>
            </w:pP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94"/>
        </w:trPr>
        <w:tc>
          <w:tcPr>
            <w:tcW w:w="3540" w:type="dxa"/>
            <w:vAlign w:val="bottom"/>
            <w:tcBorders>
              <w:bottom w:val="single" w:sz="8" w:color="DDDDDD"/>
            </w:tcBorders>
            <w:shd w:val="clear" w:color="auto" w:fill="DDDDDD"/>
          </w:tcPr>
          <w:p>
            <w:pPr>
              <w:ind w:left="200"/>
              <w:spacing w:after="0"/>
              <w:rPr>
                <w:sz w:val="20"/>
                <w:szCs w:val="20"/>
                <w:color w:val="auto"/>
              </w:rPr>
            </w:pPr>
            <w:r>
              <w:rPr>
                <w:rFonts w:ascii="Arial" w:cs="Arial" w:eastAsia="Arial" w:hAnsi="Arial"/>
                <w:sz w:val="13"/>
                <w:szCs w:val="13"/>
                <w:color w:val="auto"/>
              </w:rPr>
              <w:t>Total</w:t>
            </w:r>
          </w:p>
        </w:tc>
        <w:tc>
          <w:tcPr>
            <w:tcW w:w="22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3"/>
                <w:szCs w:val="13"/>
                <w:color w:val="auto"/>
              </w:rPr>
              <w:t>3,195,304</w:t>
            </w:r>
          </w:p>
        </w:tc>
        <w:tc>
          <w:tcPr>
            <w:tcW w:w="34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3"/>
                <w:szCs w:val="13"/>
                <w:color w:val="auto"/>
              </w:rPr>
              <w:t>$</w:t>
            </w:r>
          </w:p>
        </w:tc>
        <w:tc>
          <w:tcPr>
            <w:tcW w:w="20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3"/>
                <w:szCs w:val="13"/>
                <w:color w:val="auto"/>
              </w:rPr>
              <w:t>13.60</w:t>
            </w:r>
          </w:p>
        </w:tc>
        <w:tc>
          <w:tcPr>
            <w:tcW w:w="360" w:type="dxa"/>
            <w:vAlign w:val="bottom"/>
            <w:tcBorders>
              <w:bottom w:val="single" w:sz="8" w:color="DDDDDD"/>
            </w:tcBorders>
            <w:shd w:val="clear" w:color="auto" w:fill="DDDDDD"/>
          </w:tcPr>
          <w:p>
            <w:pPr>
              <w:spacing w:after="0"/>
              <w:rPr>
                <w:sz w:val="16"/>
                <w:szCs w:val="16"/>
                <w:color w:val="auto"/>
              </w:rPr>
            </w:pPr>
          </w:p>
        </w:tc>
        <w:tc>
          <w:tcPr>
            <w:tcW w:w="25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3"/>
                <w:szCs w:val="13"/>
                <w:color w:val="auto"/>
              </w:rPr>
              <w:t>4,627,837</w:t>
            </w:r>
          </w:p>
        </w:tc>
        <w:tc>
          <w:tcPr>
            <w:tcW w:w="0" w:type="dxa"/>
            <w:vAlign w:val="bottom"/>
          </w:tcPr>
          <w:p>
            <w:pPr>
              <w:spacing w:after="0"/>
              <w:rPr>
                <w:sz w:val="1"/>
                <w:szCs w:val="1"/>
                <w:color w:val="auto"/>
              </w:rPr>
            </w:pPr>
          </w:p>
        </w:tc>
      </w:tr>
      <w:tr>
        <w:trPr>
          <w:trHeight w:val="20"/>
        </w:trPr>
        <w:tc>
          <w:tcPr>
            <w:tcW w:w="3540" w:type="dxa"/>
            <w:vAlign w:val="bottom"/>
            <w:tcBorders>
              <w:top w:val="single" w:sz="8" w:color="DDDDDD"/>
            </w:tcBorders>
          </w:tcPr>
          <w:p>
            <w:pPr>
              <w:spacing w:after="0" w:line="20" w:lineRule="exact"/>
              <w:rPr>
                <w:sz w:val="1"/>
                <w:szCs w:val="1"/>
                <w:color w:val="auto"/>
              </w:rPr>
            </w:pPr>
          </w:p>
        </w:tc>
        <w:tc>
          <w:tcPr>
            <w:tcW w:w="2280" w:type="dxa"/>
            <w:vAlign w:val="bottom"/>
            <w:tcBorders>
              <w:top w:val="single" w:sz="8" w:color="DDDDDD"/>
              <w:bottom w:val="single" w:sz="8" w:color="auto"/>
            </w:tcBorders>
          </w:tcPr>
          <w:p>
            <w:pPr>
              <w:spacing w:after="0" w:line="20" w:lineRule="exact"/>
              <w:rPr>
                <w:sz w:val="1"/>
                <w:szCs w:val="1"/>
                <w:color w:val="auto"/>
              </w:rPr>
            </w:pPr>
          </w:p>
        </w:tc>
        <w:tc>
          <w:tcPr>
            <w:tcW w:w="340" w:type="dxa"/>
            <w:vAlign w:val="bottom"/>
            <w:tcBorders>
              <w:top w:val="single" w:sz="8" w:color="DDDDDD"/>
            </w:tcBorders>
          </w:tcPr>
          <w:p>
            <w:pPr>
              <w:spacing w:after="0" w:line="20" w:lineRule="exact"/>
              <w:rPr>
                <w:sz w:val="1"/>
                <w:szCs w:val="1"/>
                <w:color w:val="auto"/>
              </w:rPr>
            </w:pPr>
          </w:p>
        </w:tc>
        <w:tc>
          <w:tcPr>
            <w:tcW w:w="120" w:type="dxa"/>
            <w:vAlign w:val="bottom"/>
            <w:tcBorders>
              <w:top w:val="single" w:sz="8" w:color="DDDDDD"/>
              <w:bottom w:val="single" w:sz="8" w:color="auto"/>
            </w:tcBorders>
          </w:tcPr>
          <w:p>
            <w:pPr>
              <w:spacing w:after="0" w:line="20" w:lineRule="exact"/>
              <w:rPr>
                <w:sz w:val="1"/>
                <w:szCs w:val="1"/>
                <w:color w:val="auto"/>
              </w:rPr>
            </w:pPr>
          </w:p>
        </w:tc>
        <w:tc>
          <w:tcPr>
            <w:tcW w:w="2080" w:type="dxa"/>
            <w:vAlign w:val="bottom"/>
            <w:tcBorders>
              <w:top w:val="single" w:sz="8" w:color="DDDDDD"/>
              <w:bottom w:val="single" w:sz="8" w:color="auto"/>
            </w:tcBorders>
          </w:tcPr>
          <w:p>
            <w:pPr>
              <w:spacing w:after="0" w:line="20" w:lineRule="exact"/>
              <w:rPr>
                <w:sz w:val="1"/>
                <w:szCs w:val="1"/>
                <w:color w:val="auto"/>
              </w:rPr>
            </w:pPr>
          </w:p>
        </w:tc>
        <w:tc>
          <w:tcPr>
            <w:tcW w:w="360" w:type="dxa"/>
            <w:vAlign w:val="bottom"/>
            <w:tcBorders>
              <w:top w:val="single" w:sz="8" w:color="DDDDDD"/>
            </w:tcBorders>
          </w:tcPr>
          <w:p>
            <w:pPr>
              <w:spacing w:after="0" w:line="20" w:lineRule="exact"/>
              <w:rPr>
                <w:sz w:val="1"/>
                <w:szCs w:val="1"/>
                <w:color w:val="auto"/>
              </w:rPr>
            </w:pPr>
          </w:p>
        </w:tc>
        <w:tc>
          <w:tcPr>
            <w:tcW w:w="256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firstLine="532"/>
        <w:spacing w:after="0" w:line="235" w:lineRule="auto"/>
        <w:tabs>
          <w:tab w:leader="none" w:pos="710" w:val="left"/>
        </w:tabs>
        <w:numPr>
          <w:ilvl w:val="0"/>
          <w:numId w:val="14"/>
        </w:numPr>
        <w:rPr>
          <w:rFonts w:ascii="Arial" w:cs="Arial" w:eastAsia="Arial" w:hAnsi="Arial"/>
          <w:sz w:val="12"/>
          <w:szCs w:val="12"/>
          <w:color w:val="auto"/>
        </w:rPr>
      </w:pPr>
      <w:r>
        <w:rPr>
          <w:rFonts w:ascii="Arial" w:cs="Arial" w:eastAsia="Arial" w:hAnsi="Arial"/>
          <w:sz w:val="12"/>
          <w:szCs w:val="12"/>
          <w:color w:val="auto"/>
        </w:rPr>
        <w:t>Includes (a) 0.5 million stock options, (b) 1.0 million restricted stock units and 1.8 million performance-based restricted stock units based on relative total stockholder return ("TSR") attainment levels at December 31, 2021, and (c) 0.04 million restricted stock awards issued to non-employee directors.</w:t>
      </w:r>
    </w:p>
    <w:p>
      <w:pPr>
        <w:spacing w:after="0" w:line="79" w:lineRule="exact"/>
        <w:rPr>
          <w:rFonts w:ascii="Arial" w:cs="Arial" w:eastAsia="Arial" w:hAnsi="Arial"/>
          <w:sz w:val="12"/>
          <w:szCs w:val="12"/>
          <w:color w:val="auto"/>
        </w:rPr>
      </w:pPr>
    </w:p>
    <w:p>
      <w:pPr>
        <w:ind w:firstLine="532"/>
        <w:spacing w:after="0" w:line="235" w:lineRule="auto"/>
        <w:tabs>
          <w:tab w:leader="none" w:pos="702"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weighted-average exercise price is reported for the outstanding stock options reported in the first column. There are no exercise prices for the restricted stock units, performance-based restricted stock units or restricted stock awards in the first column.</w:t>
      </w:r>
    </w:p>
    <w:p>
      <w:pPr>
        <w:spacing w:after="0" w:line="77" w:lineRule="exact"/>
        <w:rPr>
          <w:sz w:val="20"/>
          <w:szCs w:val="20"/>
          <w:color w:val="auto"/>
        </w:rPr>
      </w:pPr>
    </w:p>
    <w:p>
      <w:pPr>
        <w:jc w:val="both"/>
        <w:ind w:firstLine="524"/>
        <w:spacing w:after="0" w:line="248" w:lineRule="auto"/>
        <w:rPr>
          <w:sz w:val="20"/>
          <w:szCs w:val="20"/>
          <w:color w:val="auto"/>
        </w:rPr>
      </w:pPr>
      <w:r>
        <w:rPr>
          <w:rFonts w:ascii="Arial" w:cs="Arial" w:eastAsia="Arial" w:hAnsi="Arial"/>
          <w:sz w:val="13"/>
          <w:szCs w:val="13"/>
          <w:color w:val="auto"/>
        </w:rPr>
        <w:t>In connection with the Merger, on July 2, 2020, we converted Mobile Mini's outstanding fully vested stock options to 7,361,516 WillScot Mobile Mini stock options using a conversion ratio of 2.405 as contemplated by the Agreement and Plan of Merger, dated as of March 1, 2020, as amended on May 28, 2020 (as so amended, the “Merger Agreement”), by and among WillScot, Mobile Mini, and Picasso Merger Sub, Inc. As of December 31, 2021, 1,527,643 options were outstanding and exercisable; each option is exercisable for one share of Common Stock. The weighted average exercise price of the outstanding options was $14.66 as of December 31, 2021. These options are not included in the table above as they were not issued under the incentive award plans.</w:t>
      </w:r>
    </w:p>
    <w:p>
      <w:pPr>
        <w:spacing w:after="0" w:line="82" w:lineRule="exact"/>
        <w:rPr>
          <w:sz w:val="20"/>
          <w:szCs w:val="20"/>
          <w:color w:val="auto"/>
        </w:rPr>
      </w:pPr>
    </w:p>
    <w:p>
      <w:pPr>
        <w:spacing w:after="0"/>
        <w:rPr>
          <w:sz w:val="20"/>
          <w:szCs w:val="20"/>
          <w:color w:val="auto"/>
        </w:rPr>
      </w:pPr>
      <w:r>
        <w:rPr>
          <w:rFonts w:ascii="Arial" w:cs="Arial" w:eastAsia="Arial" w:hAnsi="Arial"/>
          <w:sz w:val="19"/>
          <w:szCs w:val="19"/>
          <w:color w:val="1D2758"/>
        </w:rPr>
        <w:t>Repurchases</w:t>
      </w:r>
    </w:p>
    <w:p>
      <w:pPr>
        <w:spacing w:after="0" w:line="85"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In October 2021, our Board of Directors replaced the existing share repurchase program with a new share repurchase program that authorizes us to repurchase up to $1.0 billion of our outstanding shares of Common Stock and equivalents. The stock repurchase program does not obligate us to purchase any particular number of shares, and the timing and exact amount of any repurchases will depend on various factors, including market pricing and conditions, business, legal, accounting, and other considerations. As of December 31, 2021, $956.7 million of the $1.0 billion share repurchase authorization remained available for use.</w:t>
      </w:r>
    </w:p>
    <w:p>
      <w:pPr>
        <w:spacing w:after="0" w:line="35"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following table summarizes our purchase of Common Stock and equivalents during the fourth quarter of 2021:</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60" w:type="dxa"/>
            <w:vAlign w:val="bottom"/>
            <w:shd w:val="clear" w:color="auto" w:fill="1D2758"/>
          </w:tcPr>
          <w:p>
            <w:pPr>
              <w:spacing w:after="0"/>
              <w:rPr>
                <w:sz w:val="13"/>
                <w:szCs w:val="13"/>
                <w:color w:val="auto"/>
              </w:rPr>
            </w:pPr>
          </w:p>
        </w:tc>
        <w:tc>
          <w:tcPr>
            <w:tcW w:w="2460" w:type="dxa"/>
            <w:vAlign w:val="bottom"/>
            <w:shd w:val="clear" w:color="auto" w:fill="1D2758"/>
          </w:tcPr>
          <w:p>
            <w:pPr>
              <w:spacing w:after="0"/>
              <w:rPr>
                <w:sz w:val="13"/>
                <w:szCs w:val="13"/>
                <w:color w:val="auto"/>
              </w:rPr>
            </w:pPr>
          </w:p>
        </w:tc>
        <w:tc>
          <w:tcPr>
            <w:tcW w:w="200" w:type="dxa"/>
            <w:vAlign w:val="bottom"/>
            <w:shd w:val="clear" w:color="auto" w:fill="1D2758"/>
          </w:tcPr>
          <w:p>
            <w:pPr>
              <w:spacing w:after="0"/>
              <w:rPr>
                <w:sz w:val="13"/>
                <w:szCs w:val="13"/>
                <w:color w:val="auto"/>
              </w:rPr>
            </w:pPr>
          </w:p>
        </w:tc>
        <w:tc>
          <w:tcPr>
            <w:tcW w:w="1060" w:type="dxa"/>
            <w:vAlign w:val="bottom"/>
            <w:shd w:val="clear" w:color="auto" w:fill="1D2758"/>
          </w:tcPr>
          <w:p>
            <w:pPr>
              <w:spacing w:after="0"/>
              <w:rPr>
                <w:sz w:val="13"/>
                <w:szCs w:val="13"/>
                <w:color w:val="auto"/>
              </w:rPr>
            </w:pPr>
          </w:p>
        </w:tc>
        <w:tc>
          <w:tcPr>
            <w:tcW w:w="1860" w:type="dxa"/>
            <w:vAlign w:val="bottom"/>
            <w:shd w:val="clear" w:color="auto" w:fill="1D2758"/>
          </w:tcPr>
          <w:p>
            <w:pPr>
              <w:spacing w:after="0"/>
              <w:rPr>
                <w:sz w:val="13"/>
                <w:szCs w:val="13"/>
                <w:color w:val="auto"/>
              </w:rPr>
            </w:pPr>
          </w:p>
        </w:tc>
        <w:tc>
          <w:tcPr>
            <w:tcW w:w="120" w:type="dxa"/>
            <w:vAlign w:val="bottom"/>
            <w:shd w:val="clear" w:color="auto" w:fill="1D2758"/>
          </w:tcPr>
          <w:p>
            <w:pPr>
              <w:spacing w:after="0"/>
              <w:rPr>
                <w:sz w:val="13"/>
                <w:szCs w:val="13"/>
                <w:color w:val="auto"/>
              </w:rPr>
            </w:pPr>
          </w:p>
        </w:tc>
        <w:tc>
          <w:tcPr>
            <w:tcW w:w="1720" w:type="dxa"/>
            <w:vAlign w:val="bottom"/>
            <w:shd w:val="clear" w:color="auto" w:fill="1D2758"/>
          </w:tcPr>
          <w:p>
            <w:pPr>
              <w:jc w:val="center"/>
              <w:ind w:right="54"/>
              <w:spacing w:after="0"/>
              <w:rPr>
                <w:sz w:val="20"/>
                <w:szCs w:val="20"/>
                <w:color w:val="auto"/>
              </w:rPr>
            </w:pPr>
            <w:r>
              <w:rPr>
                <w:rFonts w:ascii="Arial" w:cs="Arial" w:eastAsia="Arial" w:hAnsi="Arial"/>
                <w:sz w:val="13"/>
                <w:szCs w:val="13"/>
                <w:b w:val="1"/>
                <w:bCs w:val="1"/>
                <w:color w:val="FFFFFF"/>
              </w:rPr>
              <w:t>Maximum Dollar Value of</w:t>
            </w:r>
          </w:p>
        </w:tc>
        <w:tc>
          <w:tcPr>
            <w:tcW w:w="0" w:type="dxa"/>
            <w:vAlign w:val="bottom"/>
          </w:tcPr>
          <w:p>
            <w:pPr>
              <w:spacing w:after="0"/>
              <w:rPr>
                <w:sz w:val="1"/>
                <w:szCs w:val="1"/>
                <w:color w:val="auto"/>
              </w:rPr>
            </w:pPr>
          </w:p>
        </w:tc>
      </w:tr>
      <w:tr>
        <w:trPr>
          <w:trHeight w:val="131"/>
        </w:trPr>
        <w:tc>
          <w:tcPr>
            <w:tcW w:w="3860" w:type="dxa"/>
            <w:vAlign w:val="bottom"/>
            <w:shd w:val="clear" w:color="auto" w:fill="1D2758"/>
          </w:tcPr>
          <w:p>
            <w:pPr>
              <w:spacing w:after="0"/>
              <w:rPr>
                <w:sz w:val="11"/>
                <w:szCs w:val="11"/>
                <w:color w:val="auto"/>
              </w:rPr>
            </w:pPr>
          </w:p>
        </w:tc>
        <w:tc>
          <w:tcPr>
            <w:tcW w:w="2460" w:type="dxa"/>
            <w:vAlign w:val="bottom"/>
            <w:shd w:val="clear" w:color="auto" w:fill="1D2758"/>
          </w:tcPr>
          <w:p>
            <w:pPr>
              <w:spacing w:after="0"/>
              <w:rPr>
                <w:sz w:val="11"/>
                <w:szCs w:val="11"/>
                <w:color w:val="auto"/>
              </w:rPr>
            </w:pPr>
          </w:p>
        </w:tc>
        <w:tc>
          <w:tcPr>
            <w:tcW w:w="200" w:type="dxa"/>
            <w:vAlign w:val="bottom"/>
            <w:shd w:val="clear" w:color="auto" w:fill="1D2758"/>
          </w:tcPr>
          <w:p>
            <w:pPr>
              <w:spacing w:after="0"/>
              <w:rPr>
                <w:sz w:val="11"/>
                <w:szCs w:val="11"/>
                <w:color w:val="auto"/>
              </w:rPr>
            </w:pPr>
          </w:p>
        </w:tc>
        <w:tc>
          <w:tcPr>
            <w:tcW w:w="1060" w:type="dxa"/>
            <w:vAlign w:val="bottom"/>
            <w:shd w:val="clear" w:color="auto" w:fill="1D2758"/>
          </w:tcPr>
          <w:p>
            <w:pPr>
              <w:spacing w:after="0"/>
              <w:rPr>
                <w:sz w:val="11"/>
                <w:szCs w:val="11"/>
                <w:color w:val="auto"/>
              </w:rPr>
            </w:pPr>
          </w:p>
        </w:tc>
        <w:tc>
          <w:tcPr>
            <w:tcW w:w="3700" w:type="dxa"/>
            <w:vAlign w:val="bottom"/>
            <w:gridSpan w:val="3"/>
            <w:shd w:val="clear" w:color="auto" w:fill="1D2758"/>
          </w:tcPr>
          <w:p>
            <w:pPr>
              <w:jc w:val="right"/>
              <w:spacing w:after="0" w:line="131" w:lineRule="exact"/>
              <w:rPr>
                <w:sz w:val="20"/>
                <w:szCs w:val="20"/>
                <w:color w:val="auto"/>
              </w:rPr>
            </w:pPr>
            <w:r>
              <w:rPr>
                <w:rFonts w:ascii="Arial" w:cs="Arial" w:eastAsia="Arial" w:hAnsi="Arial"/>
                <w:sz w:val="13"/>
                <w:szCs w:val="13"/>
                <w:b w:val="1"/>
                <w:bCs w:val="1"/>
                <w:color w:val="FFFFFF"/>
              </w:rPr>
              <w:t>Total Numbers of Shares and Shares and Equivalents that</w:t>
            </w:r>
          </w:p>
        </w:tc>
        <w:tc>
          <w:tcPr>
            <w:tcW w:w="0" w:type="dxa"/>
            <w:vAlign w:val="bottom"/>
          </w:tcPr>
          <w:p>
            <w:pPr>
              <w:spacing w:after="0"/>
              <w:rPr>
                <w:sz w:val="1"/>
                <w:szCs w:val="1"/>
                <w:color w:val="auto"/>
              </w:rPr>
            </w:pPr>
          </w:p>
        </w:tc>
      </w:tr>
      <w:tr>
        <w:trPr>
          <w:trHeight w:val="131"/>
        </w:trPr>
        <w:tc>
          <w:tcPr>
            <w:tcW w:w="3860" w:type="dxa"/>
            <w:vAlign w:val="bottom"/>
            <w:shd w:val="clear" w:color="auto" w:fill="1D2758"/>
          </w:tcPr>
          <w:p>
            <w:pPr>
              <w:spacing w:after="0"/>
              <w:rPr>
                <w:sz w:val="11"/>
                <w:szCs w:val="11"/>
                <w:color w:val="auto"/>
              </w:rPr>
            </w:pPr>
          </w:p>
        </w:tc>
        <w:tc>
          <w:tcPr>
            <w:tcW w:w="2460" w:type="dxa"/>
            <w:vAlign w:val="bottom"/>
            <w:vMerge w:val="restart"/>
            <w:shd w:val="clear" w:color="auto" w:fill="1D2758"/>
          </w:tcPr>
          <w:p>
            <w:pPr>
              <w:jc w:val="center"/>
              <w:spacing w:after="0"/>
              <w:rPr>
                <w:sz w:val="20"/>
                <w:szCs w:val="20"/>
                <w:color w:val="auto"/>
              </w:rPr>
            </w:pPr>
            <w:r>
              <w:rPr>
                <w:rFonts w:ascii="Arial" w:cs="Arial" w:eastAsia="Arial" w:hAnsi="Arial"/>
                <w:sz w:val="13"/>
                <w:szCs w:val="13"/>
                <w:b w:val="1"/>
                <w:bCs w:val="1"/>
                <w:color w:val="FFFFFF"/>
              </w:rPr>
              <w:t>Total Number of Shares and</w:t>
            </w:r>
          </w:p>
        </w:tc>
        <w:tc>
          <w:tcPr>
            <w:tcW w:w="1260" w:type="dxa"/>
            <w:vAlign w:val="bottom"/>
            <w:gridSpan w:val="2"/>
            <w:vMerge w:val="restart"/>
            <w:shd w:val="clear" w:color="auto" w:fill="1D2758"/>
          </w:tcPr>
          <w:p>
            <w:pPr>
              <w:jc w:val="right"/>
              <w:spacing w:after="0"/>
              <w:rPr>
                <w:sz w:val="20"/>
                <w:szCs w:val="20"/>
                <w:color w:val="auto"/>
              </w:rPr>
            </w:pPr>
            <w:r>
              <w:rPr>
                <w:rFonts w:ascii="Arial" w:cs="Arial" w:eastAsia="Arial" w:hAnsi="Arial"/>
                <w:sz w:val="13"/>
                <w:szCs w:val="13"/>
                <w:b w:val="1"/>
                <w:bCs w:val="1"/>
                <w:color w:val="FFFFFF"/>
              </w:rPr>
              <w:t>Average Price Paid</w:t>
            </w:r>
          </w:p>
        </w:tc>
        <w:tc>
          <w:tcPr>
            <w:tcW w:w="1860" w:type="dxa"/>
            <w:vAlign w:val="bottom"/>
            <w:shd w:val="clear" w:color="auto" w:fill="1D2758"/>
          </w:tcPr>
          <w:p>
            <w:pPr>
              <w:jc w:val="center"/>
              <w:spacing w:after="0" w:line="131" w:lineRule="exact"/>
              <w:rPr>
                <w:sz w:val="20"/>
                <w:szCs w:val="20"/>
                <w:color w:val="auto"/>
              </w:rPr>
            </w:pPr>
            <w:r>
              <w:rPr>
                <w:rFonts w:ascii="Arial" w:cs="Arial" w:eastAsia="Arial" w:hAnsi="Arial"/>
                <w:sz w:val="13"/>
                <w:szCs w:val="13"/>
                <w:b w:val="1"/>
                <w:bCs w:val="1"/>
                <w:color w:val="FFFFFF"/>
              </w:rPr>
              <w:t>Equivalents Purchased as</w:t>
            </w:r>
          </w:p>
        </w:tc>
        <w:tc>
          <w:tcPr>
            <w:tcW w:w="120" w:type="dxa"/>
            <w:vAlign w:val="bottom"/>
            <w:shd w:val="clear" w:color="auto" w:fill="1D2758"/>
          </w:tcPr>
          <w:p>
            <w:pPr>
              <w:spacing w:after="0"/>
              <w:rPr>
                <w:sz w:val="11"/>
                <w:szCs w:val="11"/>
                <w:color w:val="auto"/>
              </w:rPr>
            </w:pPr>
          </w:p>
        </w:tc>
        <w:tc>
          <w:tcPr>
            <w:tcW w:w="1720" w:type="dxa"/>
            <w:vAlign w:val="bottom"/>
            <w:shd w:val="clear" w:color="auto" w:fill="1D2758"/>
          </w:tcPr>
          <w:p>
            <w:pPr>
              <w:jc w:val="center"/>
              <w:ind w:right="54"/>
              <w:spacing w:after="0" w:line="131" w:lineRule="exact"/>
              <w:rPr>
                <w:sz w:val="20"/>
                <w:szCs w:val="20"/>
                <w:color w:val="auto"/>
              </w:rPr>
            </w:pPr>
            <w:r>
              <w:rPr>
                <w:rFonts w:ascii="Arial" w:cs="Arial" w:eastAsia="Arial" w:hAnsi="Arial"/>
                <w:sz w:val="13"/>
                <w:szCs w:val="13"/>
                <w:b w:val="1"/>
                <w:bCs w:val="1"/>
                <w:color w:val="FFFFFF"/>
              </w:rPr>
              <w:t>May Yet Be Purchased</w:t>
            </w:r>
          </w:p>
        </w:tc>
        <w:tc>
          <w:tcPr>
            <w:tcW w:w="0" w:type="dxa"/>
            <w:vAlign w:val="bottom"/>
          </w:tcPr>
          <w:p>
            <w:pPr>
              <w:spacing w:after="0"/>
              <w:rPr>
                <w:sz w:val="1"/>
                <w:szCs w:val="1"/>
                <w:color w:val="auto"/>
              </w:rPr>
            </w:pPr>
          </w:p>
        </w:tc>
      </w:tr>
      <w:tr>
        <w:trPr>
          <w:trHeight w:val="131"/>
        </w:trPr>
        <w:tc>
          <w:tcPr>
            <w:tcW w:w="3860" w:type="dxa"/>
            <w:vAlign w:val="bottom"/>
            <w:vMerge w:val="restart"/>
            <w:shd w:val="clear" w:color="auto" w:fill="1D2758"/>
          </w:tcPr>
          <w:p>
            <w:pPr>
              <w:ind w:left="1720"/>
              <w:spacing w:after="0"/>
              <w:rPr>
                <w:sz w:val="20"/>
                <w:szCs w:val="20"/>
                <w:color w:val="auto"/>
              </w:rPr>
            </w:pPr>
            <w:r>
              <w:rPr>
                <w:rFonts w:ascii="Arial" w:cs="Arial" w:eastAsia="Arial" w:hAnsi="Arial"/>
                <w:sz w:val="13"/>
                <w:szCs w:val="13"/>
                <w:b w:val="1"/>
                <w:bCs w:val="1"/>
                <w:color w:val="FFFFFF"/>
              </w:rPr>
              <w:t>Period</w:t>
            </w:r>
          </w:p>
        </w:tc>
        <w:tc>
          <w:tcPr>
            <w:tcW w:w="2460" w:type="dxa"/>
            <w:vAlign w:val="bottom"/>
            <w:vMerge w:val="continue"/>
            <w:shd w:val="clear" w:color="auto" w:fill="1D2758"/>
          </w:tcPr>
          <w:p>
            <w:pPr>
              <w:spacing w:after="0"/>
              <w:rPr>
                <w:sz w:val="11"/>
                <w:szCs w:val="11"/>
                <w:color w:val="auto"/>
              </w:rPr>
            </w:pPr>
          </w:p>
        </w:tc>
        <w:tc>
          <w:tcPr>
            <w:tcW w:w="1260" w:type="dxa"/>
            <w:vAlign w:val="bottom"/>
            <w:gridSpan w:val="2"/>
            <w:vMerge w:val="continue"/>
            <w:shd w:val="clear" w:color="auto" w:fill="1D2758"/>
          </w:tcPr>
          <w:p>
            <w:pPr>
              <w:spacing w:after="0"/>
              <w:rPr>
                <w:sz w:val="11"/>
                <w:szCs w:val="11"/>
                <w:color w:val="auto"/>
              </w:rPr>
            </w:pPr>
          </w:p>
        </w:tc>
        <w:tc>
          <w:tcPr>
            <w:tcW w:w="1860" w:type="dxa"/>
            <w:vAlign w:val="bottom"/>
            <w:shd w:val="clear" w:color="auto" w:fill="1D2758"/>
          </w:tcPr>
          <w:p>
            <w:pPr>
              <w:jc w:val="center"/>
              <w:spacing w:after="0" w:line="131" w:lineRule="exact"/>
              <w:rPr>
                <w:sz w:val="20"/>
                <w:szCs w:val="20"/>
                <w:color w:val="auto"/>
              </w:rPr>
            </w:pPr>
            <w:r>
              <w:rPr>
                <w:rFonts w:ascii="Arial" w:cs="Arial" w:eastAsia="Arial" w:hAnsi="Arial"/>
                <w:sz w:val="13"/>
                <w:szCs w:val="13"/>
                <w:b w:val="1"/>
                <w:bCs w:val="1"/>
                <w:color w:val="FFFFFF"/>
              </w:rPr>
              <w:t>part of Publicly Announced</w:t>
            </w:r>
          </w:p>
        </w:tc>
        <w:tc>
          <w:tcPr>
            <w:tcW w:w="120" w:type="dxa"/>
            <w:vAlign w:val="bottom"/>
            <w:shd w:val="clear" w:color="auto" w:fill="1D2758"/>
          </w:tcPr>
          <w:p>
            <w:pPr>
              <w:spacing w:after="0"/>
              <w:rPr>
                <w:sz w:val="11"/>
                <w:szCs w:val="11"/>
                <w:color w:val="auto"/>
              </w:rPr>
            </w:pPr>
          </w:p>
        </w:tc>
        <w:tc>
          <w:tcPr>
            <w:tcW w:w="1720" w:type="dxa"/>
            <w:vAlign w:val="bottom"/>
            <w:shd w:val="clear" w:color="auto" w:fill="1D2758"/>
          </w:tcPr>
          <w:p>
            <w:pPr>
              <w:jc w:val="center"/>
              <w:ind w:right="54"/>
              <w:spacing w:after="0" w:line="131" w:lineRule="exact"/>
              <w:rPr>
                <w:sz w:val="20"/>
                <w:szCs w:val="20"/>
                <w:color w:val="auto"/>
              </w:rPr>
            </w:pPr>
            <w:r>
              <w:rPr>
                <w:rFonts w:ascii="Arial" w:cs="Arial" w:eastAsia="Arial" w:hAnsi="Arial"/>
                <w:sz w:val="13"/>
                <w:szCs w:val="13"/>
                <w:b w:val="1"/>
                <w:bCs w:val="1"/>
                <w:color w:val="FFFFFF"/>
              </w:rPr>
              <w:t>Under the Plan (in</w:t>
            </w:r>
          </w:p>
        </w:tc>
        <w:tc>
          <w:tcPr>
            <w:tcW w:w="0" w:type="dxa"/>
            <w:vAlign w:val="bottom"/>
          </w:tcPr>
          <w:p>
            <w:pPr>
              <w:spacing w:after="0"/>
              <w:rPr>
                <w:sz w:val="1"/>
                <w:szCs w:val="1"/>
                <w:color w:val="auto"/>
              </w:rPr>
            </w:pPr>
          </w:p>
        </w:tc>
      </w:tr>
      <w:tr>
        <w:trPr>
          <w:trHeight w:val="175"/>
        </w:trPr>
        <w:tc>
          <w:tcPr>
            <w:tcW w:w="3860" w:type="dxa"/>
            <w:vAlign w:val="bottom"/>
            <w:vMerge w:val="continue"/>
            <w:shd w:val="clear" w:color="auto" w:fill="1D2758"/>
          </w:tcPr>
          <w:p>
            <w:pPr>
              <w:spacing w:after="0"/>
              <w:rPr>
                <w:sz w:val="15"/>
                <w:szCs w:val="15"/>
                <w:color w:val="auto"/>
              </w:rPr>
            </w:pPr>
          </w:p>
        </w:tc>
        <w:tc>
          <w:tcPr>
            <w:tcW w:w="2460" w:type="dxa"/>
            <w:vAlign w:val="bottom"/>
            <w:shd w:val="clear" w:color="auto" w:fill="1D2758"/>
          </w:tcPr>
          <w:p>
            <w:pPr>
              <w:jc w:val="center"/>
              <w:spacing w:after="0"/>
              <w:rPr>
                <w:sz w:val="20"/>
                <w:szCs w:val="20"/>
                <w:color w:val="auto"/>
              </w:rPr>
            </w:pPr>
            <w:r>
              <w:rPr>
                <w:rFonts w:ascii="Arial" w:cs="Arial" w:eastAsia="Arial" w:hAnsi="Arial"/>
                <w:sz w:val="13"/>
                <w:szCs w:val="13"/>
                <w:b w:val="1"/>
                <w:bCs w:val="1"/>
                <w:color w:val="FFFFFF"/>
              </w:rPr>
              <w:t>Equivalents Purchased (in thousands)</w:t>
            </w:r>
          </w:p>
        </w:tc>
        <w:tc>
          <w:tcPr>
            <w:tcW w:w="200" w:type="dxa"/>
            <w:vAlign w:val="bottom"/>
            <w:shd w:val="clear" w:color="auto" w:fill="1D2758"/>
          </w:tcPr>
          <w:p>
            <w:pPr>
              <w:spacing w:after="0"/>
              <w:rPr>
                <w:sz w:val="15"/>
                <w:szCs w:val="15"/>
                <w:color w:val="auto"/>
              </w:rPr>
            </w:pPr>
          </w:p>
        </w:tc>
        <w:tc>
          <w:tcPr>
            <w:tcW w:w="1060" w:type="dxa"/>
            <w:vAlign w:val="bottom"/>
            <w:shd w:val="clear" w:color="auto" w:fill="1D2758"/>
          </w:tcPr>
          <w:p>
            <w:pPr>
              <w:jc w:val="right"/>
              <w:ind w:right="254"/>
              <w:spacing w:after="0"/>
              <w:rPr>
                <w:sz w:val="20"/>
                <w:szCs w:val="20"/>
                <w:color w:val="auto"/>
              </w:rPr>
            </w:pPr>
            <w:r>
              <w:rPr>
                <w:rFonts w:ascii="Arial" w:cs="Arial" w:eastAsia="Arial" w:hAnsi="Arial"/>
                <w:sz w:val="13"/>
                <w:szCs w:val="13"/>
                <w:b w:val="1"/>
                <w:bCs w:val="1"/>
                <w:color w:val="FFFFFF"/>
              </w:rPr>
              <w:t>per Share</w:t>
            </w:r>
          </w:p>
        </w:tc>
        <w:tc>
          <w:tcPr>
            <w:tcW w:w="1860" w:type="dxa"/>
            <w:vAlign w:val="bottom"/>
            <w:shd w:val="clear" w:color="auto" w:fill="1D2758"/>
          </w:tcPr>
          <w:p>
            <w:pPr>
              <w:jc w:val="center"/>
              <w:spacing w:after="0"/>
              <w:rPr>
                <w:sz w:val="20"/>
                <w:szCs w:val="20"/>
                <w:color w:val="auto"/>
              </w:rPr>
            </w:pPr>
            <w:r>
              <w:rPr>
                <w:rFonts w:ascii="Arial" w:cs="Arial" w:eastAsia="Arial" w:hAnsi="Arial"/>
                <w:sz w:val="13"/>
                <w:szCs w:val="13"/>
                <w:b w:val="1"/>
                <w:bCs w:val="1"/>
                <w:color w:val="FFFFFF"/>
              </w:rPr>
              <w:t>Plan (in thousands)</w:t>
            </w:r>
          </w:p>
        </w:tc>
        <w:tc>
          <w:tcPr>
            <w:tcW w:w="120" w:type="dxa"/>
            <w:vAlign w:val="bottom"/>
            <w:shd w:val="clear" w:color="auto" w:fill="1D2758"/>
          </w:tcPr>
          <w:p>
            <w:pPr>
              <w:spacing w:after="0"/>
              <w:rPr>
                <w:sz w:val="15"/>
                <w:szCs w:val="15"/>
                <w:color w:val="auto"/>
              </w:rPr>
            </w:pPr>
          </w:p>
        </w:tc>
        <w:tc>
          <w:tcPr>
            <w:tcW w:w="1720" w:type="dxa"/>
            <w:vAlign w:val="bottom"/>
            <w:shd w:val="clear" w:color="auto" w:fill="1D2758"/>
          </w:tcPr>
          <w:p>
            <w:pPr>
              <w:jc w:val="center"/>
              <w:ind w:right="54"/>
              <w:spacing w:after="0"/>
              <w:rPr>
                <w:sz w:val="20"/>
                <w:szCs w:val="20"/>
                <w:color w:val="auto"/>
              </w:rPr>
            </w:pPr>
            <w:r>
              <w:rPr>
                <w:rFonts w:ascii="Arial" w:cs="Arial" w:eastAsia="Arial" w:hAnsi="Arial"/>
                <w:sz w:val="13"/>
                <w:szCs w:val="13"/>
                <w:b w:val="1"/>
                <w:bCs w:val="1"/>
                <w:color w:val="FFFFFF"/>
              </w:rPr>
              <w:t>thousands)</w:t>
            </w:r>
          </w:p>
        </w:tc>
        <w:tc>
          <w:tcPr>
            <w:tcW w:w="0" w:type="dxa"/>
            <w:vAlign w:val="bottom"/>
          </w:tcPr>
          <w:p>
            <w:pPr>
              <w:spacing w:after="0"/>
              <w:rPr>
                <w:sz w:val="1"/>
                <w:szCs w:val="1"/>
                <w:color w:val="auto"/>
              </w:rPr>
            </w:pPr>
          </w:p>
        </w:tc>
      </w:tr>
      <w:tr>
        <w:trPr>
          <w:trHeight w:val="202"/>
        </w:trPr>
        <w:tc>
          <w:tcPr>
            <w:tcW w:w="3860" w:type="dxa"/>
            <w:vAlign w:val="bottom"/>
            <w:shd w:val="clear" w:color="auto" w:fill="DBDBDB"/>
          </w:tcPr>
          <w:p>
            <w:pPr>
              <w:spacing w:after="0"/>
              <w:rPr>
                <w:sz w:val="17"/>
                <w:szCs w:val="17"/>
                <w:color w:val="auto"/>
              </w:rPr>
            </w:pPr>
          </w:p>
        </w:tc>
        <w:tc>
          <w:tcPr>
            <w:tcW w:w="2460" w:type="dxa"/>
            <w:vAlign w:val="bottom"/>
            <w:shd w:val="clear" w:color="auto" w:fill="DBDBDB"/>
          </w:tcPr>
          <w:p>
            <w:pPr>
              <w:jc w:val="center"/>
              <w:spacing w:after="0"/>
              <w:rPr>
                <w:sz w:val="20"/>
                <w:szCs w:val="20"/>
                <w:color w:val="auto"/>
              </w:rPr>
            </w:pPr>
            <w:r>
              <w:rPr>
                <w:rFonts w:ascii="Arial" w:cs="Arial" w:eastAsia="Arial" w:hAnsi="Arial"/>
                <w:sz w:val="13"/>
                <w:szCs w:val="13"/>
                <w:color w:val="auto"/>
              </w:rPr>
              <w:t>Common Stock - 638.7</w:t>
            </w:r>
          </w:p>
        </w:tc>
        <w:tc>
          <w:tcPr>
            <w:tcW w:w="200" w:type="dxa"/>
            <w:vAlign w:val="bottom"/>
            <w:shd w:val="clear" w:color="auto" w:fill="DBDBDB"/>
          </w:tcPr>
          <w:p>
            <w:pPr>
              <w:jc w:val="right"/>
              <w:ind w:right="54"/>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32.82</w:t>
            </w:r>
          </w:p>
        </w:tc>
        <w:tc>
          <w:tcPr>
            <w:tcW w:w="18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638.7</w:t>
            </w: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7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978,663</w:t>
            </w:r>
          </w:p>
        </w:tc>
        <w:tc>
          <w:tcPr>
            <w:tcW w:w="0" w:type="dxa"/>
            <w:vAlign w:val="bottom"/>
          </w:tcPr>
          <w:p>
            <w:pPr>
              <w:spacing w:after="0"/>
              <w:rPr>
                <w:sz w:val="1"/>
                <w:szCs w:val="1"/>
                <w:color w:val="auto"/>
              </w:rPr>
            </w:pPr>
          </w:p>
        </w:tc>
      </w:tr>
      <w:tr>
        <w:trPr>
          <w:trHeight w:val="87"/>
        </w:trPr>
        <w:tc>
          <w:tcPr>
            <w:tcW w:w="3860" w:type="dxa"/>
            <w:vAlign w:val="bottom"/>
            <w:vMerge w:val="restart"/>
            <w:shd w:val="clear" w:color="auto" w:fill="DBDBDB"/>
          </w:tcPr>
          <w:p>
            <w:pPr>
              <w:ind w:left="20"/>
              <w:spacing w:after="0"/>
              <w:rPr>
                <w:sz w:val="20"/>
                <w:szCs w:val="20"/>
                <w:color w:val="auto"/>
              </w:rPr>
            </w:pPr>
            <w:r>
              <w:rPr>
                <w:rFonts w:ascii="Arial" w:cs="Arial" w:eastAsia="Arial" w:hAnsi="Arial"/>
                <w:sz w:val="13"/>
                <w:szCs w:val="13"/>
                <w:color w:val="auto"/>
              </w:rPr>
              <w:t>October 1, 2021 - October 31, 2021</w:t>
            </w:r>
          </w:p>
        </w:tc>
        <w:tc>
          <w:tcPr>
            <w:tcW w:w="2460" w:type="dxa"/>
            <w:vAlign w:val="bottom"/>
            <w:vMerge w:val="restart"/>
            <w:shd w:val="clear" w:color="auto" w:fill="DBDBDB"/>
          </w:tcPr>
          <w:p>
            <w:pPr>
              <w:jc w:val="center"/>
              <w:spacing w:after="0"/>
              <w:rPr>
                <w:sz w:val="20"/>
                <w:szCs w:val="20"/>
                <w:color w:val="auto"/>
              </w:rPr>
            </w:pPr>
            <w:r>
              <w:rPr>
                <w:rFonts w:ascii="Arial" w:cs="Arial" w:eastAsia="Arial" w:hAnsi="Arial"/>
                <w:sz w:val="13"/>
                <w:szCs w:val="13"/>
                <w:color w:val="auto"/>
                <w:w w:val="99"/>
              </w:rPr>
              <w:t>2018 Warrants - 11.3</w:t>
            </w:r>
          </w:p>
        </w:tc>
        <w:tc>
          <w:tcPr>
            <w:tcW w:w="200" w:type="dxa"/>
            <w:vAlign w:val="bottom"/>
            <w:vMerge w:val="restart"/>
            <w:shd w:val="clear" w:color="auto" w:fill="DBDBDB"/>
          </w:tcPr>
          <w:p>
            <w:pPr>
              <w:jc w:val="right"/>
              <w:ind w:right="54"/>
              <w:spacing w:after="0"/>
              <w:rPr>
                <w:sz w:val="20"/>
                <w:szCs w:val="20"/>
                <w:color w:val="auto"/>
              </w:rPr>
            </w:pPr>
            <w:r>
              <w:rPr>
                <w:rFonts w:ascii="Arial" w:cs="Arial" w:eastAsia="Arial" w:hAnsi="Arial"/>
                <w:sz w:val="13"/>
                <w:szCs w:val="13"/>
                <w:color w:val="auto"/>
                <w:w w:val="82"/>
              </w:rPr>
              <w:t>$</w:t>
            </w:r>
          </w:p>
        </w:tc>
        <w:tc>
          <w:tcPr>
            <w:tcW w:w="10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31.91</w:t>
            </w:r>
          </w:p>
        </w:tc>
        <w:tc>
          <w:tcPr>
            <w:tcW w:w="18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11.3</w:t>
            </w:r>
          </w:p>
        </w:tc>
        <w:tc>
          <w:tcPr>
            <w:tcW w:w="120" w:type="dxa"/>
            <w:vAlign w:val="bottom"/>
            <w:vMerge w:val="continue"/>
            <w:shd w:val="clear" w:color="auto" w:fill="DBDBDB"/>
          </w:tcPr>
          <w:p>
            <w:pPr>
              <w:spacing w:after="0"/>
              <w:rPr>
                <w:sz w:val="7"/>
                <w:szCs w:val="7"/>
                <w:color w:val="auto"/>
              </w:rPr>
            </w:pPr>
          </w:p>
        </w:tc>
        <w:tc>
          <w:tcPr>
            <w:tcW w:w="1720" w:type="dxa"/>
            <w:vAlign w:val="bottom"/>
            <w:vMerge w:val="continue"/>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3860" w:type="dxa"/>
            <w:vAlign w:val="bottom"/>
            <w:vMerge w:val="continue"/>
            <w:shd w:val="clear" w:color="auto" w:fill="DBDBDB"/>
          </w:tcPr>
          <w:p>
            <w:pPr>
              <w:spacing w:after="0"/>
              <w:rPr>
                <w:sz w:val="10"/>
                <w:szCs w:val="10"/>
                <w:color w:val="auto"/>
              </w:rPr>
            </w:pPr>
          </w:p>
        </w:tc>
        <w:tc>
          <w:tcPr>
            <w:tcW w:w="2460" w:type="dxa"/>
            <w:vAlign w:val="bottom"/>
            <w:vMerge w:val="continue"/>
            <w:shd w:val="clear" w:color="auto" w:fill="DBDBDB"/>
          </w:tcPr>
          <w:p>
            <w:pPr>
              <w:spacing w:after="0"/>
              <w:rPr>
                <w:sz w:val="10"/>
                <w:szCs w:val="10"/>
                <w:color w:val="auto"/>
              </w:rPr>
            </w:pPr>
          </w:p>
        </w:tc>
        <w:tc>
          <w:tcPr>
            <w:tcW w:w="200" w:type="dxa"/>
            <w:vAlign w:val="bottom"/>
            <w:vMerge w:val="continue"/>
            <w:shd w:val="clear" w:color="auto" w:fill="DBDBDB"/>
          </w:tcPr>
          <w:p>
            <w:pPr>
              <w:spacing w:after="0"/>
              <w:rPr>
                <w:sz w:val="10"/>
                <w:szCs w:val="10"/>
                <w:color w:val="auto"/>
              </w:rPr>
            </w:pPr>
          </w:p>
        </w:tc>
        <w:tc>
          <w:tcPr>
            <w:tcW w:w="1060" w:type="dxa"/>
            <w:vAlign w:val="bottom"/>
            <w:vMerge w:val="continue"/>
            <w:shd w:val="clear" w:color="auto" w:fill="DBDBDB"/>
          </w:tcPr>
          <w:p>
            <w:pPr>
              <w:spacing w:after="0"/>
              <w:rPr>
                <w:sz w:val="10"/>
                <w:szCs w:val="10"/>
                <w:color w:val="auto"/>
              </w:rPr>
            </w:pPr>
          </w:p>
        </w:tc>
        <w:tc>
          <w:tcPr>
            <w:tcW w:w="1860" w:type="dxa"/>
            <w:vAlign w:val="bottom"/>
            <w:vMerge w:val="continue"/>
            <w:shd w:val="clear" w:color="auto" w:fill="DBDBDB"/>
          </w:tcPr>
          <w:p>
            <w:pPr>
              <w:spacing w:after="0"/>
              <w:rPr>
                <w:sz w:val="10"/>
                <w:szCs w:val="10"/>
                <w:color w:val="auto"/>
              </w:rPr>
            </w:pPr>
          </w:p>
        </w:tc>
        <w:tc>
          <w:tcPr>
            <w:tcW w:w="120" w:type="dxa"/>
            <w:vAlign w:val="bottom"/>
            <w:shd w:val="clear" w:color="auto" w:fill="DBDBDB"/>
          </w:tcPr>
          <w:p>
            <w:pPr>
              <w:spacing w:after="0"/>
              <w:rPr>
                <w:sz w:val="10"/>
                <w:szCs w:val="10"/>
                <w:color w:val="auto"/>
              </w:rPr>
            </w:pPr>
          </w:p>
        </w:tc>
        <w:tc>
          <w:tcPr>
            <w:tcW w:w="1720" w:type="dxa"/>
            <w:vAlign w:val="bottom"/>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860" w:type="dxa"/>
            <w:vAlign w:val="bottom"/>
            <w:vMerge w:val="restart"/>
          </w:tcPr>
          <w:p>
            <w:pPr>
              <w:ind w:left="20"/>
              <w:spacing w:after="0"/>
              <w:rPr>
                <w:sz w:val="20"/>
                <w:szCs w:val="20"/>
                <w:color w:val="auto"/>
              </w:rPr>
            </w:pPr>
            <w:r>
              <w:rPr>
                <w:rFonts w:ascii="Arial" w:cs="Arial" w:eastAsia="Arial" w:hAnsi="Arial"/>
                <w:sz w:val="13"/>
                <w:szCs w:val="13"/>
                <w:color w:val="auto"/>
              </w:rPr>
              <w:t>November 1, 2021 - November 30, 2021</w:t>
            </w:r>
          </w:p>
        </w:tc>
        <w:tc>
          <w:tcPr>
            <w:tcW w:w="2460" w:type="dxa"/>
            <w:vAlign w:val="bottom"/>
          </w:tcPr>
          <w:p>
            <w:pPr>
              <w:jc w:val="center"/>
              <w:spacing w:after="0"/>
              <w:rPr>
                <w:sz w:val="20"/>
                <w:szCs w:val="20"/>
                <w:color w:val="auto"/>
              </w:rPr>
            </w:pPr>
            <w:r>
              <w:rPr>
                <w:rFonts w:ascii="Arial" w:cs="Arial" w:eastAsia="Arial" w:hAnsi="Arial"/>
                <w:sz w:val="13"/>
                <w:szCs w:val="13"/>
                <w:color w:val="auto"/>
              </w:rPr>
              <w:t>Common Stock - 224.0</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35.66</w:t>
            </w:r>
          </w:p>
        </w:tc>
        <w:tc>
          <w:tcPr>
            <w:tcW w:w="1860" w:type="dxa"/>
            <w:vAlign w:val="bottom"/>
          </w:tcPr>
          <w:p>
            <w:pPr>
              <w:jc w:val="right"/>
              <w:spacing w:after="0"/>
              <w:rPr>
                <w:sz w:val="20"/>
                <w:szCs w:val="20"/>
                <w:color w:val="auto"/>
              </w:rPr>
            </w:pPr>
            <w:r>
              <w:rPr>
                <w:rFonts w:ascii="Arial" w:cs="Arial" w:eastAsia="Arial" w:hAnsi="Arial"/>
                <w:sz w:val="13"/>
                <w:szCs w:val="13"/>
                <w:color w:val="auto"/>
              </w:rPr>
              <w:t>224.0</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720" w:type="dxa"/>
            <w:vAlign w:val="bottom"/>
          </w:tcPr>
          <w:p>
            <w:pPr>
              <w:jc w:val="right"/>
              <w:spacing w:after="0"/>
              <w:rPr>
                <w:sz w:val="20"/>
                <w:szCs w:val="20"/>
                <w:color w:val="auto"/>
              </w:rPr>
            </w:pPr>
            <w:r>
              <w:rPr>
                <w:rFonts w:ascii="Arial" w:cs="Arial" w:eastAsia="Arial" w:hAnsi="Arial"/>
                <w:sz w:val="13"/>
                <w:szCs w:val="13"/>
                <w:color w:val="auto"/>
              </w:rPr>
              <w:t>970,468</w:t>
            </w:r>
          </w:p>
        </w:tc>
        <w:tc>
          <w:tcPr>
            <w:tcW w:w="0" w:type="dxa"/>
            <w:vAlign w:val="bottom"/>
          </w:tcPr>
          <w:p>
            <w:pPr>
              <w:spacing w:after="0"/>
              <w:rPr>
                <w:sz w:val="1"/>
                <w:szCs w:val="1"/>
                <w:color w:val="auto"/>
              </w:rPr>
            </w:pPr>
          </w:p>
        </w:tc>
      </w:tr>
      <w:tr>
        <w:trPr>
          <w:trHeight w:val="159"/>
        </w:trPr>
        <w:tc>
          <w:tcPr>
            <w:tcW w:w="3860" w:type="dxa"/>
            <w:vAlign w:val="bottom"/>
            <w:vMerge w:val="continue"/>
          </w:tcPr>
          <w:p>
            <w:pPr>
              <w:spacing w:after="0"/>
              <w:rPr>
                <w:sz w:val="13"/>
                <w:szCs w:val="13"/>
                <w:color w:val="auto"/>
              </w:rPr>
            </w:pPr>
          </w:p>
        </w:tc>
        <w:tc>
          <w:tcPr>
            <w:tcW w:w="2460" w:type="dxa"/>
            <w:vAlign w:val="bottom"/>
          </w:tcPr>
          <w:p>
            <w:pPr>
              <w:jc w:val="center"/>
              <w:spacing w:after="0"/>
              <w:rPr>
                <w:sz w:val="20"/>
                <w:szCs w:val="20"/>
                <w:color w:val="auto"/>
              </w:rPr>
            </w:pPr>
            <w:r>
              <w:rPr>
                <w:rFonts w:ascii="Arial" w:cs="Arial" w:eastAsia="Arial" w:hAnsi="Arial"/>
                <w:sz w:val="13"/>
                <w:szCs w:val="13"/>
                <w:color w:val="auto"/>
                <w:w w:val="99"/>
              </w:rPr>
              <w:t>2018 Warrants - 5.3</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37.83</w:t>
            </w:r>
          </w:p>
        </w:tc>
        <w:tc>
          <w:tcPr>
            <w:tcW w:w="1860" w:type="dxa"/>
            <w:vAlign w:val="bottom"/>
          </w:tcPr>
          <w:p>
            <w:pPr>
              <w:jc w:val="right"/>
              <w:spacing w:after="0"/>
              <w:rPr>
                <w:sz w:val="20"/>
                <w:szCs w:val="20"/>
                <w:color w:val="auto"/>
              </w:rPr>
            </w:pPr>
            <w:r>
              <w:rPr>
                <w:rFonts w:ascii="Arial" w:cs="Arial" w:eastAsia="Arial" w:hAnsi="Arial"/>
                <w:sz w:val="13"/>
                <w:szCs w:val="13"/>
                <w:color w:val="auto"/>
              </w:rPr>
              <w:t>5.3</w:t>
            </w:r>
          </w:p>
        </w:tc>
        <w:tc>
          <w:tcPr>
            <w:tcW w:w="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3860" w:type="dxa"/>
            <w:vAlign w:val="bottom"/>
            <w:shd w:val="clear" w:color="auto" w:fill="DBDBDB"/>
          </w:tcPr>
          <w:p>
            <w:pPr>
              <w:spacing w:after="0"/>
              <w:rPr>
                <w:sz w:val="17"/>
                <w:szCs w:val="17"/>
                <w:color w:val="auto"/>
              </w:rPr>
            </w:pPr>
          </w:p>
        </w:tc>
        <w:tc>
          <w:tcPr>
            <w:tcW w:w="2460" w:type="dxa"/>
            <w:vAlign w:val="bottom"/>
            <w:shd w:val="clear" w:color="auto" w:fill="DBDBDB"/>
          </w:tcPr>
          <w:p>
            <w:pPr>
              <w:jc w:val="center"/>
              <w:spacing w:after="0"/>
              <w:rPr>
                <w:sz w:val="20"/>
                <w:szCs w:val="20"/>
                <w:color w:val="auto"/>
              </w:rPr>
            </w:pPr>
            <w:r>
              <w:rPr>
                <w:rFonts w:ascii="Arial" w:cs="Arial" w:eastAsia="Arial" w:hAnsi="Arial"/>
                <w:sz w:val="13"/>
                <w:szCs w:val="13"/>
                <w:color w:val="auto"/>
              </w:rPr>
              <w:t>Common Stock - 342.6</w:t>
            </w:r>
          </w:p>
        </w:tc>
        <w:tc>
          <w:tcPr>
            <w:tcW w:w="200" w:type="dxa"/>
            <w:vAlign w:val="bottom"/>
            <w:shd w:val="clear" w:color="auto" w:fill="DBDBDB"/>
          </w:tcPr>
          <w:p>
            <w:pPr>
              <w:jc w:val="right"/>
              <w:ind w:right="54"/>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40.23</w:t>
            </w:r>
          </w:p>
        </w:tc>
        <w:tc>
          <w:tcPr>
            <w:tcW w:w="18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342.6</w:t>
            </w: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7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956,679</w:t>
            </w:r>
          </w:p>
        </w:tc>
        <w:tc>
          <w:tcPr>
            <w:tcW w:w="0" w:type="dxa"/>
            <w:vAlign w:val="bottom"/>
          </w:tcPr>
          <w:p>
            <w:pPr>
              <w:spacing w:after="0"/>
              <w:rPr>
                <w:sz w:val="1"/>
                <w:szCs w:val="1"/>
                <w:color w:val="auto"/>
              </w:rPr>
            </w:pPr>
          </w:p>
        </w:tc>
      </w:tr>
      <w:tr>
        <w:trPr>
          <w:trHeight w:val="87"/>
        </w:trPr>
        <w:tc>
          <w:tcPr>
            <w:tcW w:w="3860" w:type="dxa"/>
            <w:vAlign w:val="bottom"/>
            <w:vMerge w:val="restart"/>
            <w:shd w:val="clear" w:color="auto" w:fill="DBDBDB"/>
          </w:tcPr>
          <w:p>
            <w:pPr>
              <w:ind w:left="20"/>
              <w:spacing w:after="0"/>
              <w:rPr>
                <w:sz w:val="20"/>
                <w:szCs w:val="20"/>
                <w:color w:val="auto"/>
              </w:rPr>
            </w:pPr>
            <w:r>
              <w:rPr>
                <w:rFonts w:ascii="Arial" w:cs="Arial" w:eastAsia="Arial" w:hAnsi="Arial"/>
                <w:sz w:val="13"/>
                <w:szCs w:val="13"/>
                <w:color w:val="auto"/>
              </w:rPr>
              <w:t>December 1, 2021 - December 31, 2021</w:t>
            </w:r>
          </w:p>
        </w:tc>
        <w:tc>
          <w:tcPr>
            <w:tcW w:w="2460" w:type="dxa"/>
            <w:vAlign w:val="bottom"/>
            <w:vMerge w:val="restart"/>
            <w:shd w:val="clear" w:color="auto" w:fill="DBDBDB"/>
          </w:tcPr>
          <w:p>
            <w:pPr>
              <w:jc w:val="center"/>
              <w:spacing w:after="0"/>
              <w:rPr>
                <w:sz w:val="20"/>
                <w:szCs w:val="20"/>
                <w:color w:val="auto"/>
              </w:rPr>
            </w:pPr>
            <w:r>
              <w:rPr>
                <w:rFonts w:ascii="Arial" w:cs="Arial" w:eastAsia="Arial" w:hAnsi="Arial"/>
                <w:sz w:val="13"/>
                <w:szCs w:val="13"/>
                <w:color w:val="auto"/>
                <w:w w:val="99"/>
              </w:rPr>
              <w:t>2018 Warrants - 0</w:t>
            </w:r>
          </w:p>
        </w:tc>
        <w:tc>
          <w:tcPr>
            <w:tcW w:w="200" w:type="dxa"/>
            <w:vAlign w:val="bottom"/>
            <w:shd w:val="clear" w:color="auto" w:fill="DBDBDB"/>
          </w:tcPr>
          <w:p>
            <w:pPr>
              <w:spacing w:after="0"/>
              <w:rPr>
                <w:sz w:val="7"/>
                <w:szCs w:val="7"/>
                <w:color w:val="auto"/>
              </w:rPr>
            </w:pPr>
          </w:p>
        </w:tc>
        <w:tc>
          <w:tcPr>
            <w:tcW w:w="10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N/A</w:t>
            </w:r>
          </w:p>
        </w:tc>
        <w:tc>
          <w:tcPr>
            <w:tcW w:w="18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N/A</w:t>
            </w:r>
          </w:p>
        </w:tc>
        <w:tc>
          <w:tcPr>
            <w:tcW w:w="120" w:type="dxa"/>
            <w:vAlign w:val="bottom"/>
            <w:vMerge w:val="continue"/>
            <w:shd w:val="clear" w:color="auto" w:fill="DBDBDB"/>
          </w:tcPr>
          <w:p>
            <w:pPr>
              <w:spacing w:after="0"/>
              <w:rPr>
                <w:sz w:val="7"/>
                <w:szCs w:val="7"/>
                <w:color w:val="auto"/>
              </w:rPr>
            </w:pPr>
          </w:p>
        </w:tc>
        <w:tc>
          <w:tcPr>
            <w:tcW w:w="1720" w:type="dxa"/>
            <w:vAlign w:val="bottom"/>
            <w:vMerge w:val="continue"/>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3860" w:type="dxa"/>
            <w:vAlign w:val="bottom"/>
            <w:vMerge w:val="continue"/>
            <w:shd w:val="clear" w:color="auto" w:fill="DBDBDB"/>
          </w:tcPr>
          <w:p>
            <w:pPr>
              <w:spacing w:after="0"/>
              <w:rPr>
                <w:sz w:val="10"/>
                <w:szCs w:val="10"/>
                <w:color w:val="auto"/>
              </w:rPr>
            </w:pPr>
          </w:p>
        </w:tc>
        <w:tc>
          <w:tcPr>
            <w:tcW w:w="2460" w:type="dxa"/>
            <w:vAlign w:val="bottom"/>
            <w:tcBorders>
              <w:bottom w:val="single" w:sz="8" w:color="auto"/>
            </w:tcBorders>
            <w:vMerge w:val="continue"/>
            <w:shd w:val="clear" w:color="auto" w:fill="DBDBDB"/>
          </w:tcPr>
          <w:p>
            <w:pPr>
              <w:spacing w:after="0"/>
              <w:rPr>
                <w:sz w:val="10"/>
                <w:szCs w:val="10"/>
                <w:color w:val="auto"/>
              </w:rPr>
            </w:pPr>
          </w:p>
        </w:tc>
        <w:tc>
          <w:tcPr>
            <w:tcW w:w="200" w:type="dxa"/>
            <w:vAlign w:val="bottom"/>
            <w:shd w:val="clear" w:color="auto" w:fill="DBDBDB"/>
          </w:tcPr>
          <w:p>
            <w:pPr>
              <w:spacing w:after="0"/>
              <w:rPr>
                <w:sz w:val="10"/>
                <w:szCs w:val="10"/>
                <w:color w:val="auto"/>
              </w:rPr>
            </w:pPr>
          </w:p>
        </w:tc>
        <w:tc>
          <w:tcPr>
            <w:tcW w:w="1060" w:type="dxa"/>
            <w:vAlign w:val="bottom"/>
            <w:vMerge w:val="continue"/>
            <w:shd w:val="clear" w:color="auto" w:fill="DBDBDB"/>
          </w:tcPr>
          <w:p>
            <w:pPr>
              <w:spacing w:after="0"/>
              <w:rPr>
                <w:sz w:val="10"/>
                <w:szCs w:val="10"/>
                <w:color w:val="auto"/>
              </w:rPr>
            </w:pPr>
          </w:p>
        </w:tc>
        <w:tc>
          <w:tcPr>
            <w:tcW w:w="1860" w:type="dxa"/>
            <w:vAlign w:val="bottom"/>
            <w:tcBorders>
              <w:bottom w:val="single" w:sz="8" w:color="auto"/>
            </w:tcBorders>
            <w:vMerge w:val="continue"/>
            <w:shd w:val="clear" w:color="auto" w:fill="DBDBDB"/>
          </w:tcPr>
          <w:p>
            <w:pPr>
              <w:spacing w:after="0"/>
              <w:rPr>
                <w:sz w:val="10"/>
                <w:szCs w:val="10"/>
                <w:color w:val="auto"/>
              </w:rPr>
            </w:pPr>
          </w:p>
        </w:tc>
        <w:tc>
          <w:tcPr>
            <w:tcW w:w="120" w:type="dxa"/>
            <w:vAlign w:val="bottom"/>
            <w:shd w:val="clear" w:color="auto" w:fill="DBDBDB"/>
          </w:tcPr>
          <w:p>
            <w:pPr>
              <w:spacing w:after="0"/>
              <w:rPr>
                <w:sz w:val="10"/>
                <w:szCs w:val="10"/>
                <w:color w:val="auto"/>
              </w:rPr>
            </w:pPr>
          </w:p>
        </w:tc>
        <w:tc>
          <w:tcPr>
            <w:tcW w:w="1720" w:type="dxa"/>
            <w:vAlign w:val="bottom"/>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860" w:type="dxa"/>
            <w:vAlign w:val="bottom"/>
          </w:tcPr>
          <w:p>
            <w:pPr>
              <w:ind w:left="200"/>
              <w:spacing w:after="0"/>
              <w:rPr>
                <w:sz w:val="20"/>
                <w:szCs w:val="20"/>
                <w:color w:val="auto"/>
              </w:rPr>
            </w:pPr>
            <w:r>
              <w:rPr>
                <w:rFonts w:ascii="Arial" w:cs="Arial" w:eastAsia="Arial" w:hAnsi="Arial"/>
                <w:sz w:val="13"/>
                <w:szCs w:val="13"/>
                <w:color w:val="auto"/>
              </w:rPr>
              <w:t>Total</w:t>
            </w: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1,221.9</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29.98</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1,221.9</w:t>
            </w: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28" w:right="319" w:bottom="1440" w:gutter="0" w:footer="0" w:header="0"/>
        </w:sectPr>
      </w:pPr>
    </w:p>
    <w:bookmarkStart w:id="37" w:name="page38"/>
    <w:bookmarkEnd w:id="37"/>
    <w:p>
      <w:pPr>
        <w:spacing w:after="0"/>
        <w:rPr>
          <w:sz w:val="20"/>
          <w:szCs w:val="20"/>
          <w:color w:val="auto"/>
        </w:rPr>
      </w:pPr>
      <w:r>
        <w:rPr>
          <w:rFonts w:ascii="Arial" w:cs="Arial" w:eastAsia="Arial" w:hAnsi="Arial"/>
          <w:sz w:val="19"/>
          <w:szCs w:val="19"/>
          <w:color w:val="1D2758"/>
        </w:rPr>
        <w:t>Performance Graph</w:t>
      </w:r>
    </w:p>
    <w:p>
      <w:pPr>
        <w:spacing w:after="0" w:line="42"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The following stock price performance graph should not be deemed incorporated by reference by any general statement incorporating by reference this Annual Report on Form 10-K into any filing under the Exchange Act or the Securities Act of 1933, as amended, except to the extent that we specifically incorporate this information by reference and shall not otherwise be deemed filed under such acts.</w:t>
      </w:r>
    </w:p>
    <w:p>
      <w:pPr>
        <w:spacing w:after="0" w:line="33"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The graph below compares the cumulative total return of our Common Stock from January 1, 2017 through December 31, 2021, with the comparable cumulative return of four indices, the Russell 2000 Index, the Nasdaq US Benchmark TR Index, the S&amp;P 400 Index and the Russell 3000 Index. We began showing the cumulative return of the S&amp;P 400 Index and Russell 3000 Index in 2021, as the S&amp;P 400 Index includes companies with comparable market capitalization and the Russell 3000 Index includes our peer group of issuers. The graph plots the growth in value of an initial investment in each of our common shares, the Russell 2000 Index, the Nasdaq US Benchmark Index, the S&amp;P 400 Index and the Russell 3000 Index over the indicated time periods, and assumes reinvestment of all dividends, if any, paid on the securities. We have not paid any cash dividends and, therefore, the cumulative total return calculation for us is based solely upon share price appreciation and not upon reinvestment of cash dividends. The share price performance shown on the graph is not necessarily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4508500" cy="20669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508500" cy="206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tabs>
          <w:tab w:leader="none" w:pos="1460" w:val="left"/>
        </w:tabs>
        <w:rPr>
          <w:sz w:val="20"/>
          <w:szCs w:val="20"/>
          <w:color w:val="auto"/>
        </w:rPr>
      </w:pPr>
      <w:r>
        <w:rPr>
          <w:rFonts w:ascii="Arial" w:cs="Arial" w:eastAsia="Arial" w:hAnsi="Arial"/>
          <w:sz w:val="32"/>
          <w:szCs w:val="32"/>
          <w:b w:val="1"/>
          <w:bCs w:val="1"/>
          <w:color w:val="auto"/>
        </w:rPr>
        <w:t>ITEM 6.</w:t>
        <w:tab/>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38" w:name="page39"/>
    <w:bookmarkEnd w:id="38"/>
    <w:p>
      <w:pPr>
        <w:ind w:left="1480" w:right="260" w:hanging="1572"/>
        <w:spacing w:after="0" w:line="282" w:lineRule="auto"/>
        <w:tabs>
          <w:tab w:leader="none" w:pos="1460" w:val="left"/>
        </w:tabs>
        <w:rPr>
          <w:sz w:val="20"/>
          <w:szCs w:val="20"/>
          <w:color w:val="auto"/>
        </w:rPr>
      </w:pPr>
      <w:r>
        <w:rPr>
          <w:rFonts w:ascii="Arial" w:cs="Arial" w:eastAsia="Arial" w:hAnsi="Arial"/>
          <w:sz w:val="32"/>
          <w:szCs w:val="32"/>
          <w:b w:val="1"/>
          <w:bCs w:val="1"/>
          <w:color w:val="auto"/>
        </w:rPr>
        <w:t>ITEM 7.</w:t>
        <w:tab/>
        <w:t>Management’s Discussion and Analysis of Financial Condition and Results of Operations</w:t>
      </w:r>
    </w:p>
    <w:p>
      <w:pPr>
        <w:spacing w:after="0" w:line="2"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The following Management’s Discussion and Analysis of Financial Condition and Results of Operations (“MD&amp;A”) is intended to help the reader understand WillScot Mobile Mini Holdings Corp. ("WillScot Mobile Mini"), formerly known as WillScot Corporation ("WillScot"), our operations and our present business environment. MD&amp;A is provided as a supplement to, and should be read in conjunction with, our financial statements and the accompanying notes thereto, contained in Part II, Item 8 of this report. The discussion of results of operations in this MD&amp;A is presented on a historical basis, as of or for the year ended December 31, 2021 or prior periods. On July 1, 2020, in connection with the closing of the Merger, Mobile Mini, Inc. ("Mobile Mini") became a wholly-owned subsidiary of WillScot and the Company changed it's name to WillScot Mobile Mini Holdings Corp. As the Merger was completed on July 1, 2020, unless the context otherwise requires, the terms “we”, “us”, “our” “Company” and “WillScot Mobile Mini” as used in these financial statements mean WillScot and its subsidiaries when referring to periods prior to July 1, 2020 (prior to the Merger) and to WillScot Mobile Mini and its subsidiaries when referring to periods on or after July 1, 2020 (after the Merger).</w:t>
      </w:r>
    </w:p>
    <w:p>
      <w:pPr>
        <w:spacing w:after="0" w:line="37"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The consolidated financial statements were prepared in conformity with accounting principles generally accepted in the US (“GAAP”). We use certain pro forma calculations as non-GAAP financial information that we believe is important for purposes of comparison to the prior period due to the addition of significant acquisitions during the reported financial reporting periods. This information is also used by management to measure the performance of our ongoing operations and analyze our business performance and trends. This information is used by investors for the purposes of development of future projections and earnings growth prospects. In addition, we use certain non-GAAP financial metrics to supplement the GAAP reported results in order to highlight key operational metrics that are used by management to evaluate Company performance. Reconciliations of GAAP financial information to the disclosed non-GAAP measures are provided in the Reconciliation of Non-GAAP Financial Measures section.</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color w:val="1D2758"/>
        </w:rPr>
        <w:t>Executive Summary</w:t>
      </w:r>
    </w:p>
    <w:p>
      <w:pPr>
        <w:spacing w:after="0" w:line="42" w:lineRule="exact"/>
        <w:rPr>
          <w:sz w:val="20"/>
          <w:szCs w:val="20"/>
          <w:color w:val="auto"/>
        </w:rPr>
      </w:pPr>
    </w:p>
    <w:p>
      <w:pPr>
        <w:jc w:val="both"/>
        <w:ind w:firstLine="524"/>
        <w:spacing w:after="0" w:line="248" w:lineRule="auto"/>
        <w:rPr>
          <w:sz w:val="20"/>
          <w:szCs w:val="20"/>
          <w:color w:val="auto"/>
        </w:rPr>
      </w:pPr>
      <w:r>
        <w:rPr>
          <w:rFonts w:ascii="Arial" w:cs="Arial" w:eastAsia="Arial" w:hAnsi="Arial"/>
          <w:sz w:val="13"/>
          <w:szCs w:val="13"/>
          <w:color w:val="auto"/>
        </w:rPr>
        <w:t>We are a leading business services provider specializing in innovative flexible work space and portable storage solutions. We service diverse end markets across all sectors of the economy throughout the United States ("US"), Canada, Mexico, and the United Kingdom ("UK"). We are also a leading provider of specialty containment solutions in the US with over 13,000 tank and pump units in our fleet. As of December 31, 2021, our branch network included approximately 275 branch locations and additional drop lots to service our over 85,000 customers. We offer our customers an extensive selection of “Ready to Work” modular space and portable storage solutions with over 162,000 modular space units and over 213,000 portable storage units in our fleet.</w:t>
      </w:r>
    </w:p>
    <w:p>
      <w:pPr>
        <w:spacing w:after="0" w:line="190"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We primarily lease, rather than sell, our modular and portable storage units to customers, which results in a highly diversified and predictable recurring revenue stream. Over 90% of new lease orders are on our standard lease agreement, pre-negotiated master lease or national account agreements. The initial lease periods vary, and our leases are customarily renewable on a month-to-month basis after their initial term. Our lease revenue is highly predictable due to its recurring nature and the underlying stability and diversification of our lease portfolio. Furthermore, given that our customers value flexibility, they consistently extend their leases or renew on a month-to-month basis such that the average effective duration of our lease portfolio, excluding seasonal portable storage units, is nearly 31 months. We complement our core leasing business by selling both new and used units, allowing us to leverage scale, achieve purchasing benefits and redeploy capital employed in our lease fleet.</w:t>
      </w:r>
    </w:p>
    <w:p>
      <w:pPr>
        <w:spacing w:after="0" w:line="38" w:lineRule="exact"/>
        <w:rPr>
          <w:sz w:val="20"/>
          <w:szCs w:val="20"/>
          <w:color w:val="auto"/>
        </w:rPr>
      </w:pPr>
    </w:p>
    <w:p>
      <w:pPr>
        <w:jc w:val="both"/>
        <w:ind w:firstLine="524"/>
        <w:spacing w:after="0" w:line="248" w:lineRule="auto"/>
        <w:rPr>
          <w:sz w:val="20"/>
          <w:szCs w:val="20"/>
          <w:color w:val="auto"/>
        </w:rPr>
      </w:pPr>
      <w:r>
        <w:rPr>
          <w:rFonts w:ascii="Arial" w:cs="Arial" w:eastAsia="Arial" w:hAnsi="Arial"/>
          <w:sz w:val="13"/>
          <w:szCs w:val="13"/>
          <w:color w:val="auto"/>
        </w:rPr>
        <w:t>We remain focused on our core priorities of growing leasing revenues by increasing units on rent, both organically and through our consolidation strategy, delivering “Ready to Work” solutions to our customers with value added products and services ("VAPS"), and on continually improving the overall customer experience. During 2021, the Company acquired certain assets and liabilities of seven regional and local modular space and storage businesses, which consisted primarily of 15,700 storage units and 5,800 modular units. We also achieved a significant milestone in our integration of the WillScot and Mobile Mini businesses, consolidating onto a single ERP system in the second quarter of 2021. This full integration to SAP enabled an expedited integration of the acquisitions.</w:t>
      </w:r>
    </w:p>
    <w:p>
      <w:pPr>
        <w:spacing w:after="0" w:line="36" w:lineRule="exact"/>
        <w:rPr>
          <w:sz w:val="20"/>
          <w:szCs w:val="20"/>
          <w:color w:val="auto"/>
        </w:rPr>
      </w:pPr>
    </w:p>
    <w:p>
      <w:pPr>
        <w:ind w:left="540"/>
        <w:spacing w:after="0"/>
        <w:rPr>
          <w:sz w:val="20"/>
          <w:szCs w:val="20"/>
          <w:color w:val="auto"/>
        </w:rPr>
      </w:pPr>
      <w:r>
        <w:rPr>
          <w:rFonts w:ascii="Arial" w:cs="Arial" w:eastAsia="Arial" w:hAnsi="Arial"/>
          <w:sz w:val="13"/>
          <w:szCs w:val="13"/>
          <w:color w:val="auto"/>
        </w:rPr>
        <w:t>For the year ended December 31, 2021, key drivers of our financial performance included:</w:t>
      </w:r>
    </w:p>
    <w:p>
      <w:pPr>
        <w:spacing w:after="0" w:line="91" w:lineRule="exact"/>
        <w:rPr>
          <w:sz w:val="20"/>
          <w:szCs w:val="20"/>
          <w:color w:val="auto"/>
        </w:rPr>
      </w:pPr>
    </w:p>
    <w:p>
      <w:pPr>
        <w:jc w:val="both"/>
        <w:ind w:left="540" w:hanging="270"/>
        <w:spacing w:after="0" w:line="251" w:lineRule="auto"/>
        <w:tabs>
          <w:tab w:leader="none" w:pos="531" w:val="left"/>
        </w:tabs>
        <w:numPr>
          <w:ilvl w:val="0"/>
          <w:numId w:val="15"/>
        </w:numPr>
        <w:rPr>
          <w:rFonts w:ascii="Arial" w:cs="Arial" w:eastAsia="Arial" w:hAnsi="Arial"/>
          <w:sz w:val="13"/>
          <w:szCs w:val="13"/>
          <w:b w:val="1"/>
          <w:bCs w:val="1"/>
          <w:i w:val="1"/>
          <w:iCs w:val="1"/>
          <w:color w:val="auto"/>
        </w:rPr>
      </w:pPr>
      <w:r>
        <w:rPr>
          <w:rFonts w:ascii="Arial" w:cs="Arial" w:eastAsia="Arial" w:hAnsi="Arial"/>
          <w:sz w:val="13"/>
          <w:szCs w:val="13"/>
          <w:color w:val="auto"/>
        </w:rPr>
        <w:t>Total revenues increased by $527.3 million, or 38.6%, attributable to the addition of Mobile Mini's revenues to our consolidated results once the Merger closed on July 1, 2020 and due to organic revenue growth levers in the business. Leasing revenue increased $410.7 million, or 41.0%, delivery and installation revenue increased $100.5 million, or 36.7%, rental unit sales increased $16.3 million, or 41.9%, and new unit sales revenue decreased $0.2 million, or 0.4%.</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39" w:name="page40"/>
    <w:bookmarkEnd w:id="39"/>
    <w:p>
      <w:pPr>
        <w:ind w:left="280"/>
        <w:spacing w:after="0"/>
        <w:rPr>
          <w:sz w:val="20"/>
          <w:szCs w:val="20"/>
          <w:color w:val="auto"/>
        </w:rPr>
      </w:pPr>
      <w:r>
        <w:rPr>
          <w:rFonts w:ascii="Arial" w:cs="Arial" w:eastAsia="Arial" w:hAnsi="Arial"/>
          <w:sz w:val="13"/>
          <w:szCs w:val="13"/>
          <w:color w:val="auto"/>
        </w:rPr>
        <w:t>Key leasing revenue drivers included:</w:t>
      </w:r>
    </w:p>
    <w:p>
      <w:pPr>
        <w:spacing w:after="0" w:line="47" w:lineRule="exact"/>
        <w:rPr>
          <w:sz w:val="20"/>
          <w:szCs w:val="20"/>
          <w:color w:val="auto"/>
        </w:rPr>
      </w:pPr>
    </w:p>
    <w:p>
      <w:pPr>
        <w:ind w:left="800" w:hanging="262"/>
        <w:spacing w:after="0" w:line="251" w:lineRule="auto"/>
        <w:rPr>
          <w:sz w:val="20"/>
          <w:szCs w:val="20"/>
          <w:color w:val="auto"/>
        </w:rPr>
      </w:pPr>
      <w:r>
        <w:rPr>
          <w:rFonts w:ascii="Arial" w:cs="Arial" w:eastAsia="Arial" w:hAnsi="Arial"/>
          <w:sz w:val="13"/>
          <w:szCs w:val="13"/>
          <w:color w:val="auto"/>
        </w:rPr>
        <w:t>– Average modular space units on rent increased 10,876 units, or 10.9%, and average portable storage units on rent increased 77,318 units, or 91.9%. Both increases were primarily driven by the Mobile Mini Merger. Average portable storage units on rent also grew as a result of organic increases in average portable storage units driven by increased economic activity in 2021 and due to units on rent acquired during 2021 from several smaller entities.</w:t>
      </w:r>
    </w:p>
    <w:p>
      <w:pPr>
        <w:spacing w:after="0" w:line="33" w:lineRule="exact"/>
        <w:rPr>
          <w:sz w:val="20"/>
          <w:szCs w:val="20"/>
          <w:color w:val="auto"/>
        </w:rPr>
      </w:pPr>
    </w:p>
    <w:p>
      <w:pPr>
        <w:ind w:left="800" w:hanging="262"/>
        <w:spacing w:after="0" w:line="256" w:lineRule="auto"/>
        <w:rPr>
          <w:sz w:val="20"/>
          <w:szCs w:val="20"/>
          <w:color w:val="auto"/>
        </w:rPr>
      </w:pPr>
      <w:r>
        <w:rPr>
          <w:rFonts w:ascii="Arial" w:cs="Arial" w:eastAsia="Arial" w:hAnsi="Arial"/>
          <w:sz w:val="13"/>
          <w:szCs w:val="13"/>
          <w:color w:val="auto"/>
        </w:rPr>
        <w:t>– Average modular space monthly rental rate increased $86, or 13.1%, to $744 driven by a $124, or 18.1% increase in the NA Modular segment, offset partially by the dilutive impact of lower rates due to mix on the Mobile Mini modular space units.</w:t>
      </w:r>
    </w:p>
    <w:p>
      <w:pPr>
        <w:spacing w:after="0" w:line="30" w:lineRule="exact"/>
        <w:rPr>
          <w:sz w:val="20"/>
          <w:szCs w:val="20"/>
          <w:color w:val="auto"/>
        </w:rPr>
      </w:pPr>
    </w:p>
    <w:p>
      <w:pPr>
        <w:ind w:left="800" w:hanging="262"/>
        <w:spacing w:after="0" w:line="256" w:lineRule="auto"/>
        <w:rPr>
          <w:sz w:val="20"/>
          <w:szCs w:val="20"/>
          <w:color w:val="auto"/>
        </w:rPr>
      </w:pPr>
      <w:r>
        <w:rPr>
          <w:rFonts w:ascii="Arial" w:cs="Arial" w:eastAsia="Arial" w:hAnsi="Arial"/>
          <w:sz w:val="13"/>
          <w:szCs w:val="13"/>
          <w:color w:val="auto"/>
        </w:rPr>
        <w:t>– Average portable storage monthly rental rate increased $12, or 9.1%, to $144 driven primarily by the accretive impact of higher rates from the Mobile Mini portable storage fleet and price increases achieved throughout 2021.</w:t>
      </w:r>
    </w:p>
    <w:p>
      <w:pPr>
        <w:spacing w:after="0" w:line="30" w:lineRule="exact"/>
        <w:rPr>
          <w:sz w:val="20"/>
          <w:szCs w:val="20"/>
          <w:color w:val="auto"/>
        </w:rPr>
      </w:pPr>
    </w:p>
    <w:p>
      <w:pPr>
        <w:ind w:left="800" w:hanging="262"/>
        <w:spacing w:after="0" w:line="251" w:lineRule="auto"/>
        <w:rPr>
          <w:sz w:val="20"/>
          <w:szCs w:val="20"/>
          <w:color w:val="auto"/>
        </w:rPr>
      </w:pPr>
      <w:r>
        <w:rPr>
          <w:rFonts w:ascii="Arial" w:cs="Arial" w:eastAsia="Arial" w:hAnsi="Arial"/>
          <w:sz w:val="13"/>
          <w:szCs w:val="13"/>
          <w:color w:val="auto"/>
        </w:rPr>
        <w:t>– Average utilization for modular space units decreased 10 basis points ("bps") to 70.1% and average utilization for portable storage units increased to 81.5%, from 75.6% from the same period in 2020, driven by higher utilization of the Mobile Mini portable storage units and increased demand for this product category driven by increased economic activity throughout 2021.</w:t>
      </w:r>
    </w:p>
    <w:p>
      <w:pPr>
        <w:spacing w:after="0" w:line="44" w:lineRule="exact"/>
        <w:rPr>
          <w:sz w:val="20"/>
          <w:szCs w:val="20"/>
          <w:color w:val="auto"/>
        </w:rPr>
      </w:pPr>
    </w:p>
    <w:p>
      <w:pPr>
        <w:jc w:val="both"/>
        <w:ind w:left="280" w:hanging="270"/>
        <w:spacing w:after="0" w:line="241" w:lineRule="auto"/>
        <w:tabs>
          <w:tab w:leader="none" w:pos="276" w:val="left"/>
        </w:tabs>
        <w:numPr>
          <w:ilvl w:val="0"/>
          <w:numId w:val="16"/>
        </w:numPr>
        <w:rPr>
          <w:rFonts w:ascii="Arial" w:cs="Arial" w:eastAsia="Arial" w:hAnsi="Arial"/>
          <w:sz w:val="15"/>
          <w:szCs w:val="15"/>
          <w:i w:val="1"/>
          <w:iCs w:val="1"/>
          <w:color w:val="auto"/>
        </w:rPr>
      </w:pPr>
      <w:r>
        <w:rPr>
          <w:rFonts w:ascii="Arial" w:cs="Arial" w:eastAsia="Arial" w:hAnsi="Arial"/>
          <w:sz w:val="13"/>
          <w:szCs w:val="13"/>
          <w:color w:val="auto"/>
        </w:rPr>
        <w:t>NA Modular segment revenue represented 61.4% of consolidated revenue for the year ended December 31, 2021, and increased $113.0 million, or 10.7%, to $1,164.2 million driven by increased leasing revenue of $94.6 million, or 12.3%, an increased sales volumes of $7.1 million, or 9.8%, and a $11.3 million, or 5.4%, increase in delivery and installation revenues. NA Modular revenue drivers for the year ended December 31, 2021 include:</w:t>
      </w:r>
    </w:p>
    <w:p>
      <w:pPr>
        <w:spacing w:after="0" w:line="39" w:lineRule="exact"/>
        <w:rPr>
          <w:rFonts w:ascii="Arial" w:cs="Arial" w:eastAsia="Arial" w:hAnsi="Arial"/>
          <w:sz w:val="15"/>
          <w:szCs w:val="15"/>
          <w:i w:val="1"/>
          <w:iCs w:val="1"/>
          <w:color w:val="auto"/>
        </w:rPr>
      </w:pPr>
    </w:p>
    <w:p>
      <w:pPr>
        <w:ind w:left="800" w:hanging="262"/>
        <w:spacing w:after="0" w:line="256" w:lineRule="auto"/>
        <w:rPr>
          <w:rFonts w:ascii="Arial" w:cs="Arial" w:eastAsia="Arial" w:hAnsi="Arial"/>
          <w:sz w:val="15"/>
          <w:szCs w:val="15"/>
          <w:i w:val="1"/>
          <w:iCs w:val="1"/>
          <w:color w:val="auto"/>
        </w:rPr>
      </w:pPr>
      <w:r>
        <w:rPr>
          <w:rFonts w:ascii="Arial" w:cs="Arial" w:eastAsia="Arial" w:hAnsi="Arial"/>
          <w:sz w:val="13"/>
          <w:szCs w:val="13"/>
          <w:color w:val="auto"/>
        </w:rPr>
        <w:t>– Modular space average monthly rental rate of $809 for the year, increased 18.1% representing a continuation of the long-term price optimization initiative and VAPS penetration opportunities across our portfolio.</w:t>
      </w:r>
    </w:p>
    <w:p>
      <w:pPr>
        <w:spacing w:after="0" w:line="30" w:lineRule="exact"/>
        <w:rPr>
          <w:rFonts w:ascii="Arial" w:cs="Arial" w:eastAsia="Arial" w:hAnsi="Arial"/>
          <w:sz w:val="15"/>
          <w:szCs w:val="15"/>
          <w:i w:val="1"/>
          <w:iCs w:val="1"/>
          <w:color w:val="auto"/>
        </w:rPr>
      </w:pPr>
    </w:p>
    <w:p>
      <w:pPr>
        <w:ind w:left="800" w:hanging="262"/>
        <w:spacing w:after="0" w:line="251" w:lineRule="auto"/>
        <w:rPr>
          <w:rFonts w:ascii="Arial" w:cs="Arial" w:eastAsia="Arial" w:hAnsi="Arial"/>
          <w:sz w:val="15"/>
          <w:szCs w:val="15"/>
          <w:i w:val="1"/>
          <w:iCs w:val="1"/>
          <w:color w:val="auto"/>
        </w:rPr>
      </w:pPr>
      <w:r>
        <w:rPr>
          <w:rFonts w:ascii="Arial" w:cs="Arial" w:eastAsia="Arial" w:hAnsi="Arial"/>
          <w:sz w:val="13"/>
          <w:szCs w:val="13"/>
          <w:color w:val="auto"/>
        </w:rPr>
        <w:t>– Average modular space units on rent for the year decreased 2,350 units, or 2.7% driven by increased returns during 2021 and by lower, although improving, delivery demand as compared to historical levels seen pre-pandemic. However, average modular space units on rent increased 0.1% sequentially from Q3 into Q4 to 84,328, which compares to a 0.5% drop from Q3 to Q4 in 2020.</w:t>
      </w:r>
    </w:p>
    <w:p>
      <w:pPr>
        <w:spacing w:after="0" w:line="33" w:lineRule="exact"/>
        <w:rPr>
          <w:rFonts w:ascii="Arial" w:cs="Arial" w:eastAsia="Arial" w:hAnsi="Arial"/>
          <w:sz w:val="15"/>
          <w:szCs w:val="15"/>
          <w:i w:val="1"/>
          <w:iCs w:val="1"/>
          <w:color w:val="auto"/>
        </w:rPr>
      </w:pPr>
    </w:p>
    <w:p>
      <w:pPr>
        <w:ind w:left="800" w:hanging="262"/>
        <w:spacing w:after="0" w:line="256" w:lineRule="auto"/>
        <w:rPr>
          <w:rFonts w:ascii="Arial" w:cs="Arial" w:eastAsia="Arial" w:hAnsi="Arial"/>
          <w:sz w:val="15"/>
          <w:szCs w:val="15"/>
          <w:i w:val="1"/>
          <w:iCs w:val="1"/>
          <w:color w:val="auto"/>
        </w:rPr>
      </w:pPr>
      <w:r>
        <w:rPr>
          <w:rFonts w:ascii="Arial" w:cs="Arial" w:eastAsia="Arial" w:hAnsi="Arial"/>
          <w:sz w:val="13"/>
          <w:szCs w:val="13"/>
          <w:color w:val="auto"/>
          <w:strike w:val="1"/>
        </w:rPr>
        <w:t>–</w:t>
      </w:r>
      <w:r>
        <w:rPr>
          <w:rFonts w:ascii="Arial" w:cs="Arial" w:eastAsia="Arial" w:hAnsi="Arial"/>
          <w:sz w:val="13"/>
          <w:szCs w:val="13"/>
          <w:color w:val="auto"/>
        </w:rPr>
        <w:t xml:space="preserve"> Average modular space monthly utilization decreased 130 basis points to 67.6% for the year ended December 31, 2021, but only dropped 10 basis points sequentially from Q3 into Q4.</w:t>
      </w:r>
    </w:p>
    <w:p>
      <w:pPr>
        <w:spacing w:after="0" w:line="30" w:lineRule="exact"/>
        <w:rPr>
          <w:rFonts w:ascii="Arial" w:cs="Arial" w:eastAsia="Arial" w:hAnsi="Arial"/>
          <w:sz w:val="15"/>
          <w:szCs w:val="15"/>
          <w:i w:val="1"/>
          <w:iCs w:val="1"/>
          <w:color w:val="auto"/>
        </w:rPr>
      </w:pPr>
    </w:p>
    <w:p>
      <w:pPr>
        <w:jc w:val="both"/>
        <w:ind w:left="280" w:hanging="270"/>
        <w:spacing w:after="0" w:line="248" w:lineRule="auto"/>
        <w:tabs>
          <w:tab w:leader="none" w:pos="271" w:val="left"/>
        </w:tabs>
        <w:numPr>
          <w:ilvl w:val="0"/>
          <w:numId w:val="16"/>
        </w:numPr>
        <w:rPr>
          <w:rFonts w:ascii="Arial" w:cs="Arial" w:eastAsia="Arial" w:hAnsi="Arial"/>
          <w:sz w:val="13"/>
          <w:szCs w:val="13"/>
          <w:b w:val="1"/>
          <w:bCs w:val="1"/>
          <w:i w:val="1"/>
          <w:iCs w:val="1"/>
          <w:color w:val="auto"/>
        </w:rPr>
      </w:pPr>
      <w:r>
        <w:rPr>
          <w:rFonts w:ascii="Arial" w:cs="Arial" w:eastAsia="Arial" w:hAnsi="Arial"/>
          <w:sz w:val="13"/>
          <w:szCs w:val="13"/>
          <w:color w:val="auto"/>
        </w:rPr>
        <w:t>Generated consolidated net income of $160.1 million for the year ended December 31, 2021, representing an increase of $84.8 million versus the year ended December 31, 2020. Net Income Excluding Gain/Loss from Warrants of $186.7 million for the year ended December 31, 2021, represented an increase of $114.8 million, or 159.7%, versus the year ended December 31, 2020, and included a $6.0 million loss on extinguishment of debt related to our financing activities in the first and second quarter of 2021 and $44.6 million of discrete costs expensed in the period related to transaction and integration activities. Discrete costs in the period included $1.4 million of transaction costs, $28.4 million of integration costs, and $14.8 million of restructuring costs, lease impairment expense and other related charges.</w:t>
      </w:r>
    </w:p>
    <w:p>
      <w:pPr>
        <w:spacing w:after="0" w:line="35" w:lineRule="exact"/>
        <w:rPr>
          <w:rFonts w:ascii="Arial" w:cs="Arial" w:eastAsia="Arial" w:hAnsi="Arial"/>
          <w:sz w:val="13"/>
          <w:szCs w:val="13"/>
          <w:b w:val="1"/>
          <w:bCs w:val="1"/>
          <w:i w:val="1"/>
          <w:iCs w:val="1"/>
          <w:color w:val="auto"/>
        </w:rPr>
      </w:pPr>
    </w:p>
    <w:p>
      <w:pPr>
        <w:jc w:val="both"/>
        <w:ind w:left="280" w:hanging="270"/>
        <w:spacing w:after="0" w:line="251" w:lineRule="auto"/>
        <w:tabs>
          <w:tab w:leader="none" w:pos="271" w:val="left"/>
        </w:tabs>
        <w:numPr>
          <w:ilvl w:val="0"/>
          <w:numId w:val="16"/>
        </w:numPr>
        <w:rPr>
          <w:rFonts w:ascii="Arial" w:cs="Arial" w:eastAsia="Arial" w:hAnsi="Arial"/>
          <w:sz w:val="13"/>
          <w:szCs w:val="13"/>
          <w:b w:val="1"/>
          <w:bCs w:val="1"/>
          <w:i w:val="1"/>
          <w:iCs w:val="1"/>
          <w:color w:val="auto"/>
        </w:rPr>
      </w:pPr>
      <w:r>
        <w:rPr>
          <w:rFonts w:ascii="Arial" w:cs="Arial" w:eastAsia="Arial" w:hAnsi="Arial"/>
          <w:sz w:val="13"/>
          <w:szCs w:val="13"/>
          <w:color w:val="auto"/>
        </w:rPr>
        <w:t>Generated Adjusted EBITDA of $740.4 million for the year ended December 31, 2021, representing an increase of $210.1 million, or 39.6%, as compared to 2020. Of this increase, $181.9 million was driven by including a full year of Mobile Mini in our consolidated results, including strong year over year organic growth within the NA Storage, UK, and Tank and Pump segments, and the remainder was driven by strong organic growth across all of our segments.</w:t>
      </w:r>
    </w:p>
    <w:p>
      <w:pPr>
        <w:spacing w:after="0" w:line="33" w:lineRule="exact"/>
        <w:rPr>
          <w:rFonts w:ascii="Arial" w:cs="Arial" w:eastAsia="Arial" w:hAnsi="Arial"/>
          <w:sz w:val="13"/>
          <w:szCs w:val="13"/>
          <w:b w:val="1"/>
          <w:bCs w:val="1"/>
          <w:i w:val="1"/>
          <w:iCs w:val="1"/>
          <w:color w:val="auto"/>
        </w:rPr>
      </w:pPr>
    </w:p>
    <w:p>
      <w:pPr>
        <w:ind w:left="800" w:hanging="262"/>
        <w:spacing w:after="0" w:line="251" w:lineRule="auto"/>
        <w:rPr>
          <w:rFonts w:ascii="Arial" w:cs="Arial" w:eastAsia="Arial" w:hAnsi="Arial"/>
          <w:sz w:val="13"/>
          <w:szCs w:val="13"/>
          <w:b w:val="1"/>
          <w:bCs w:val="1"/>
          <w:i w:val="1"/>
          <w:iCs w:val="1"/>
          <w:color w:val="auto"/>
        </w:rPr>
      </w:pPr>
      <w:r>
        <w:rPr>
          <w:rFonts w:ascii="Arial" w:cs="Arial" w:eastAsia="Arial" w:hAnsi="Arial"/>
          <w:sz w:val="13"/>
          <w:szCs w:val="13"/>
          <w:color w:val="auto"/>
        </w:rPr>
        <w:t>– Adjusted EBITDA in our NA Modular segment, which represents the activities of WillScot prior to the Merger, increased $28.2 million, or 7.1% primarily driven by increases in leasing gross profit driven by increased pricing, including VAPS, partially offset by increased variable costs as a result of higher activity levels in the current year as compared to 2020.</w:t>
      </w:r>
    </w:p>
    <w:p>
      <w:pPr>
        <w:spacing w:after="0" w:line="25" w:lineRule="exact"/>
        <w:rPr>
          <w:rFonts w:ascii="Arial" w:cs="Arial" w:eastAsia="Arial" w:hAnsi="Arial"/>
          <w:sz w:val="13"/>
          <w:szCs w:val="13"/>
          <w:b w:val="1"/>
          <w:bCs w:val="1"/>
          <w:i w:val="1"/>
          <w:iCs w:val="1"/>
          <w:color w:val="auto"/>
        </w:rPr>
      </w:pPr>
    </w:p>
    <w:p>
      <w:pPr>
        <w:ind w:left="800" w:hanging="262"/>
        <w:spacing w:after="0" w:line="251" w:lineRule="auto"/>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w:t>
      </w:r>
      <w:r>
        <w:rPr>
          <w:rFonts w:ascii="Arial" w:cs="Arial" w:eastAsia="Arial" w:hAnsi="Arial"/>
          <w:sz w:val="13"/>
          <w:szCs w:val="13"/>
          <w:color w:val="auto"/>
        </w:rPr>
        <w:t>Consolidated Adjusted EBITDA Margin was 39.1% and increased 30 bps versus prior year driven by the addition of the higher margin Mobile Mini operations. This was partially offset by a 130 bps decrease in the NA Modular segment, driven by an expected higher proportion of delivery and installation revenues to total revenues and increased variable costs.</w:t>
      </w:r>
    </w:p>
    <w:p>
      <w:pPr>
        <w:spacing w:after="0" w:line="41" w:lineRule="exact"/>
        <w:rPr>
          <w:rFonts w:ascii="Arial" w:cs="Arial" w:eastAsia="Arial" w:hAnsi="Arial"/>
          <w:sz w:val="13"/>
          <w:szCs w:val="13"/>
          <w:b w:val="1"/>
          <w:bCs w:val="1"/>
          <w:i w:val="1"/>
          <w:iCs w:val="1"/>
          <w:color w:val="auto"/>
        </w:rPr>
      </w:pPr>
    </w:p>
    <w:p>
      <w:pPr>
        <w:jc w:val="both"/>
        <w:ind w:left="280" w:hanging="270"/>
        <w:spacing w:after="0" w:line="248" w:lineRule="auto"/>
        <w:tabs>
          <w:tab w:leader="none" w:pos="271" w:val="left"/>
        </w:tabs>
        <w:numPr>
          <w:ilvl w:val="0"/>
          <w:numId w:val="16"/>
        </w:numPr>
        <w:rPr>
          <w:rFonts w:ascii="Arial" w:cs="Arial" w:eastAsia="Arial" w:hAnsi="Arial"/>
          <w:sz w:val="13"/>
          <w:szCs w:val="13"/>
          <w:b w:val="1"/>
          <w:bCs w:val="1"/>
          <w:i w:val="1"/>
          <w:iCs w:val="1"/>
          <w:color w:val="auto"/>
        </w:rPr>
      </w:pPr>
      <w:r>
        <w:rPr>
          <w:rFonts w:ascii="Arial" w:cs="Arial" w:eastAsia="Arial" w:hAnsi="Arial"/>
          <w:sz w:val="13"/>
          <w:szCs w:val="13"/>
          <w:color w:val="auto"/>
        </w:rPr>
        <w:t>Generated Free Cash Flow of $303.0 million for the year ended December 31, 2021, representing an increase of $140.7 million as compared to 2020. Net cash provided by operating activities increased $235.1 million to $539.9 million. Net cash used in investing activities, excluding cash acquired or used as part of acquisitions, increased $94.3 million as a result of increased capital spending to support growing demand for new project deliveries across all segments. The referenced Free Cash Flow along with additional net borrowings under the ABL was deployed to acquire storage and modular units of several smaller entities for a total of $147.2 million and to repurchase $363.6 million of our common stock and warrants. This was possible due to our resilient lease revenues and strong margin expansion, reduced interest costs due to our financing activities during the year and our strong financial position.</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60"/>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36195</wp:posOffset>
            </wp:positionV>
            <wp:extent cx="7183755" cy="393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020"/>
          </w:cols>
          <w:pgMar w:left="560" w:top="928" w:right="319" w:bottom="1440" w:gutter="0" w:footer="0" w:header="0"/>
        </w:sectPr>
      </w:pPr>
    </w:p>
    <w:bookmarkStart w:id="40" w:name="page41"/>
    <w:bookmarkEnd w:id="40"/>
    <w:p>
      <w:pPr>
        <w:jc w:val="both"/>
        <w:ind w:firstLine="524"/>
        <w:spacing w:after="0" w:line="251" w:lineRule="auto"/>
        <w:rPr>
          <w:sz w:val="20"/>
          <w:szCs w:val="20"/>
          <w:color w:val="auto"/>
        </w:rPr>
      </w:pPr>
      <w:r>
        <w:rPr>
          <w:rFonts w:ascii="Arial" w:cs="Arial" w:eastAsia="Arial" w:hAnsi="Arial"/>
          <w:sz w:val="13"/>
          <w:szCs w:val="13"/>
          <w:color w:val="auto"/>
        </w:rPr>
        <w:t>In addition to using GAAP financial measurements, we use Adjusted EBITDA and Free Cash Flow, which are non-GAAP financial measures, to evaluate our operating results. As such, we include in this Annual Report on Form 10-K reconciliations to their most directly comparable GAAP financial measures. These reconciliations and descriptions of why we believe these measures provide useful information to investors as well as a description of the limitations of these measures are included in "Reconciliation of non-GAAP Financial Measures."</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1D2758"/>
        </w:rPr>
        <w:t>Significant Developments</w:t>
      </w:r>
    </w:p>
    <w:p>
      <w:pPr>
        <w:spacing w:after="0" w:line="42"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Refer to the Significant Developments section in Part I, Item 1, Business, herein for further information about the Mobile Mini Merger, other acquisitions, financing activities, share and warrant repurchases, and the impact of COVID-19 on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1D2758"/>
        </w:rPr>
        <w:t>Business Environment and Outlook</w:t>
      </w:r>
    </w:p>
    <w:p>
      <w:pPr>
        <w:spacing w:after="0" w:line="42" w:lineRule="exact"/>
        <w:rPr>
          <w:sz w:val="20"/>
          <w:szCs w:val="20"/>
          <w:color w:val="auto"/>
        </w:rPr>
      </w:pPr>
    </w:p>
    <w:p>
      <w:pPr>
        <w:jc w:val="both"/>
        <w:ind w:firstLine="524"/>
        <w:spacing w:after="0" w:line="246" w:lineRule="auto"/>
        <w:rPr>
          <w:sz w:val="20"/>
          <w:szCs w:val="20"/>
          <w:color w:val="auto"/>
        </w:rPr>
      </w:pPr>
      <w:r>
        <w:rPr>
          <w:rFonts w:ascii="Arial" w:cs="Arial" w:eastAsia="Arial" w:hAnsi="Arial"/>
          <w:sz w:val="13"/>
          <w:szCs w:val="13"/>
          <w:color w:val="auto"/>
        </w:rPr>
        <w:t>Our customers operate in a diversified set of end markets, including construction, commercial and industrial, retail and wholesale trade, education, energy and natural resources, government and healthcare. We track several market leading indicators in order to predict demand, including those related to our two largest end markets, the commercial and industrial sector and the construction sector, which collectively accounted for approximately 85% of our revenues in the year ended December 31, 2021. Market fundamentals underlying these end markets were impacted in 2020 as a result of the COVID-19 pandemic which resulted in delivery volume declines, primarily in the second and third quarters, in response to shelter-in-place orders and other market restrictions. During 2021, market fundamentals recovered to varying degrees across our product offerings with portable storage demand back above pre-pandemic levels. Demand for modular space products as measured by new project deliveries have partially recovered from the lower demand seen in 2020, but still remained approximately 4% below pre-pandemic delivery levels in 2021. Real Gross Domestic Product ("real GDP") in the US, where the majority of our revenues are generated, is estimated to have increased by over 5.6% in 2021, and estimates from Dodge Data &amp; Analytics suggest that non-residential construction square footage starts in the US increased by 17% as compared to 2020. Based on our analyses of industry forecasts and macroeconomic indications, we expect continued market recovery in 2022 as we saw during 2021, and expect both real GDP and non-residential construction square footage starts in the US to grow 4-7% in 2022, which would also exceed pre-pandemic levels seen in 2019.</w:t>
      </w:r>
    </w:p>
    <w:p>
      <w:pPr>
        <w:spacing w:after="0" w:line="41"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Core to our operating model is the ability to redeploy standardized assets across end markets, and we have recently serviced emerging demand in the healthcare and government sectors related to COVID-19, as well as expanded space requirements related to social distancing. Current improving market conditions, potential market catalysts such as increased infrastructure spending, and idiosyncratic growth levers such as continued penetration of our customer base with our VAPS offering, long-term pricing tailwinds, cross-selling between our Modular and Storage segment customers, and other commercial best practice sharing between our segments provide us confidence in our continued organic growth outlook.</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1D2758"/>
        </w:rPr>
        <w:t>Components of Our Consolidated Historical Results of Operations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Revenue</w:t>
      </w:r>
    </w:p>
    <w:p>
      <w:pPr>
        <w:spacing w:after="0" w:line="66"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Our revenue consists mainly of leasing, services and sales revenue. We derive our leasing and services revenue primarily from the leasing of modular space and portable storage units. Included in leasing revenue are VAPS, such as furniture, steps, ramps, basic appliances, internet connectivity devices, and other items our customers use in connection with our products. Delivery and installation revenue includes fees that we charge for the delivery, site work, installation, disassembly, unhooking and removal, and other services to our customers for an additional fee as part of our leasing and sales operations.</w:t>
      </w:r>
    </w:p>
    <w:p>
      <w:pPr>
        <w:spacing w:after="0" w:line="35"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key drivers of changes in our leasing revenue are:</w:t>
      </w:r>
    </w:p>
    <w:p>
      <w:pPr>
        <w:spacing w:after="0" w:line="47" w:lineRule="exact"/>
        <w:rPr>
          <w:sz w:val="20"/>
          <w:szCs w:val="20"/>
          <w:color w:val="auto"/>
        </w:rPr>
      </w:pPr>
    </w:p>
    <w:p>
      <w:pPr>
        <w:ind w:left="1580" w:hanging="524"/>
        <w:spacing w:after="0"/>
        <w:tabs>
          <w:tab w:leader="none" w:pos="15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number of units in our lease fleet;</w:t>
      </w:r>
    </w:p>
    <w:p>
      <w:pPr>
        <w:spacing w:after="0" w:line="47" w:lineRule="exact"/>
        <w:rPr>
          <w:rFonts w:ascii="Arial" w:cs="Arial" w:eastAsia="Arial" w:hAnsi="Arial"/>
          <w:sz w:val="13"/>
          <w:szCs w:val="13"/>
          <w:color w:val="auto"/>
        </w:rPr>
      </w:pPr>
    </w:p>
    <w:p>
      <w:pPr>
        <w:ind w:left="1580" w:hanging="524"/>
        <w:spacing w:after="0"/>
        <w:tabs>
          <w:tab w:leader="none" w:pos="15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average utilization rate of our lease units; and</w:t>
      </w:r>
    </w:p>
    <w:p>
      <w:pPr>
        <w:spacing w:after="0" w:line="47" w:lineRule="exact"/>
        <w:rPr>
          <w:rFonts w:ascii="Arial" w:cs="Arial" w:eastAsia="Arial" w:hAnsi="Arial"/>
          <w:sz w:val="13"/>
          <w:szCs w:val="13"/>
          <w:color w:val="auto"/>
        </w:rPr>
      </w:pPr>
    </w:p>
    <w:p>
      <w:pPr>
        <w:ind w:left="1580" w:hanging="524"/>
        <w:spacing w:after="0"/>
        <w:tabs>
          <w:tab w:leader="none" w:pos="15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average monthly rental rate per unit, including VAPS.</w:t>
      </w:r>
    </w:p>
    <w:p>
      <w:pPr>
        <w:spacing w:after="0" w:line="47" w:lineRule="exact"/>
        <w:rPr>
          <w:sz w:val="20"/>
          <w:szCs w:val="20"/>
          <w:color w:val="auto"/>
        </w:rPr>
      </w:pPr>
    </w:p>
    <w:p>
      <w:pPr>
        <w:ind w:firstLine="524"/>
        <w:spacing w:after="0" w:line="245" w:lineRule="auto"/>
        <w:rPr>
          <w:sz w:val="20"/>
          <w:szCs w:val="20"/>
          <w:color w:val="auto"/>
        </w:rPr>
      </w:pPr>
      <w:r>
        <w:rPr>
          <w:rFonts w:ascii="Arial" w:cs="Arial" w:eastAsia="Arial" w:hAnsi="Arial"/>
          <w:sz w:val="13"/>
          <w:szCs w:val="13"/>
          <w:color w:val="auto"/>
        </w:rPr>
        <w:t>The average utilization rate of our lease units is the ratio of (i) the average number of units in use during a period (which includes units from the time they are leased to a customer until the time they are returned to us) to (ii) the average total number of units available for lease in our fleet during a period. Our average monthly rental rate per unit for a period is equal to the ratio of</w:t>
      </w:r>
    </w:p>
    <w:p>
      <w:pPr>
        <w:spacing w:after="0" w:line="1" w:lineRule="exact"/>
        <w:rPr>
          <w:sz w:val="20"/>
          <w:szCs w:val="20"/>
          <w:color w:val="auto"/>
        </w:rPr>
      </w:pPr>
    </w:p>
    <w:p>
      <w:pPr>
        <w:ind w:firstLine="7"/>
        <w:spacing w:after="0" w:line="256" w:lineRule="auto"/>
        <w:tabs>
          <w:tab w:leader="none" w:pos="166" w:val="left"/>
        </w:tabs>
        <w:numPr>
          <w:ilvl w:val="0"/>
          <w:numId w:val="18"/>
        </w:numPr>
        <w:rPr>
          <w:rFonts w:ascii="Arial" w:cs="Arial" w:eastAsia="Arial" w:hAnsi="Arial"/>
          <w:sz w:val="13"/>
          <w:szCs w:val="13"/>
          <w:color w:val="auto"/>
        </w:rPr>
      </w:pPr>
      <w:r>
        <w:rPr>
          <w:rFonts w:ascii="Arial" w:cs="Arial" w:eastAsia="Arial" w:hAnsi="Arial"/>
          <w:sz w:val="13"/>
          <w:szCs w:val="13"/>
          <w:color w:val="auto"/>
        </w:rPr>
        <w:t>our rental income for that period including VAPS but excluding delivery and installation services and other leasing-related revenues, to (ii) the average number of lease units rented to our customers during that period.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28" w:right="319" w:bottom="1440" w:gutter="0" w:footer="0" w:header="0"/>
        </w:sectPr>
      </w:pPr>
    </w:p>
    <w:bookmarkStart w:id="41" w:name="page42"/>
    <w:bookmarkEnd w:id="41"/>
    <w:p>
      <w:pPr>
        <w:ind w:left="540"/>
        <w:spacing w:after="0"/>
        <w:rPr>
          <w:sz w:val="20"/>
          <w:szCs w:val="20"/>
          <w:color w:val="auto"/>
        </w:rPr>
      </w:pPr>
      <w:r>
        <w:rPr>
          <w:rFonts w:ascii="Arial" w:cs="Arial" w:eastAsia="Arial" w:hAnsi="Arial"/>
          <w:sz w:val="13"/>
          <w:szCs w:val="13"/>
          <w:color w:val="auto"/>
        </w:rPr>
        <w:t>The table below sets forth the average number of units on rent in our lease fleet, the average utilization of our lease units, and the average monthly rental rate per unit, including VAPS: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60" w:type="dxa"/>
            <w:vAlign w:val="bottom"/>
            <w:shd w:val="clear" w:color="auto" w:fill="1D2758"/>
          </w:tcPr>
          <w:p>
            <w:pPr>
              <w:spacing w:after="0"/>
              <w:rPr>
                <w:sz w:val="15"/>
                <w:szCs w:val="15"/>
                <w:color w:val="auto"/>
              </w:rPr>
            </w:pPr>
          </w:p>
        </w:tc>
        <w:tc>
          <w:tcPr>
            <w:tcW w:w="420" w:type="dxa"/>
            <w:vAlign w:val="bottom"/>
            <w:shd w:val="clear" w:color="auto" w:fill="1D2758"/>
          </w:tcPr>
          <w:p>
            <w:pPr>
              <w:spacing w:after="0"/>
              <w:rPr>
                <w:sz w:val="15"/>
                <w:szCs w:val="15"/>
                <w:color w:val="auto"/>
              </w:rPr>
            </w:pPr>
          </w:p>
        </w:tc>
        <w:tc>
          <w:tcPr>
            <w:tcW w:w="1400" w:type="dxa"/>
            <w:vAlign w:val="bottom"/>
            <w:shd w:val="clear" w:color="auto" w:fill="1D2758"/>
          </w:tcPr>
          <w:p>
            <w:pPr>
              <w:spacing w:after="0"/>
              <w:rPr>
                <w:sz w:val="15"/>
                <w:szCs w:val="15"/>
                <w:color w:val="auto"/>
              </w:rPr>
            </w:pPr>
          </w:p>
        </w:tc>
        <w:tc>
          <w:tcPr>
            <w:tcW w:w="1840" w:type="dxa"/>
            <w:vAlign w:val="bottom"/>
            <w:gridSpan w:val="2"/>
            <w:shd w:val="clear" w:color="auto" w:fill="1D2758"/>
          </w:tcPr>
          <w:p>
            <w:pPr>
              <w:jc w:val="right"/>
              <w:ind w:right="54"/>
              <w:spacing w:after="0"/>
              <w:rPr>
                <w:sz w:val="20"/>
                <w:szCs w:val="20"/>
                <w:color w:val="auto"/>
              </w:rPr>
            </w:pPr>
            <w:r>
              <w:rPr>
                <w:rFonts w:ascii="Arial" w:cs="Arial" w:eastAsia="Arial" w:hAnsi="Arial"/>
                <w:sz w:val="13"/>
                <w:szCs w:val="13"/>
                <w:b w:val="1"/>
                <w:bCs w:val="1"/>
                <w:color w:val="FFFFFF"/>
              </w:rPr>
              <w:t>Year Ended December 31,</w:t>
            </w:r>
          </w:p>
        </w:tc>
        <w:tc>
          <w:tcPr>
            <w:tcW w:w="460" w:type="dxa"/>
            <w:vAlign w:val="bottom"/>
            <w:shd w:val="clear" w:color="auto" w:fill="1D2758"/>
          </w:tcPr>
          <w:p>
            <w:pPr>
              <w:spacing w:after="0"/>
              <w:rPr>
                <w:sz w:val="15"/>
                <w:szCs w:val="15"/>
                <w:color w:val="auto"/>
              </w:rPr>
            </w:pPr>
          </w:p>
        </w:tc>
        <w:tc>
          <w:tcPr>
            <w:tcW w:w="1360" w:type="dxa"/>
            <w:vAlign w:val="bottom"/>
            <w:shd w:val="clear" w:color="auto" w:fill="1D2758"/>
          </w:tcPr>
          <w:p>
            <w:pPr>
              <w:spacing w:after="0"/>
              <w:rPr>
                <w:sz w:val="15"/>
                <w:szCs w:val="15"/>
                <w:color w:val="auto"/>
              </w:rPr>
            </w:pPr>
          </w:p>
        </w:tc>
      </w:tr>
      <w:tr>
        <w:trPr>
          <w:trHeight w:val="175"/>
        </w:trPr>
        <w:tc>
          <w:tcPr>
            <w:tcW w:w="576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 except unit numbers and rates)</w:t>
            </w:r>
          </w:p>
        </w:tc>
        <w:tc>
          <w:tcPr>
            <w:tcW w:w="420" w:type="dxa"/>
            <w:vAlign w:val="bottom"/>
            <w:shd w:val="clear" w:color="auto" w:fill="1D2758"/>
          </w:tcPr>
          <w:p>
            <w:pPr>
              <w:spacing w:after="0"/>
              <w:rPr>
                <w:sz w:val="15"/>
                <w:szCs w:val="15"/>
                <w:color w:val="auto"/>
              </w:rPr>
            </w:pPr>
          </w:p>
        </w:tc>
        <w:tc>
          <w:tcPr>
            <w:tcW w:w="1400" w:type="dxa"/>
            <w:vAlign w:val="bottom"/>
            <w:shd w:val="clear" w:color="auto" w:fill="1D2758"/>
          </w:tcPr>
          <w:p>
            <w:pPr>
              <w:jc w:val="right"/>
              <w:ind w:right="734"/>
              <w:spacing w:after="0"/>
              <w:rPr>
                <w:sz w:val="20"/>
                <w:szCs w:val="20"/>
                <w:color w:val="auto"/>
              </w:rPr>
            </w:pPr>
            <w:r>
              <w:rPr>
                <w:rFonts w:ascii="Arial" w:cs="Arial" w:eastAsia="Arial" w:hAnsi="Arial"/>
                <w:sz w:val="13"/>
                <w:szCs w:val="13"/>
                <w:b w:val="1"/>
                <w:bCs w:val="1"/>
                <w:color w:val="FFFFFF"/>
              </w:rPr>
              <w:t>2021</w:t>
            </w:r>
          </w:p>
        </w:tc>
        <w:tc>
          <w:tcPr>
            <w:tcW w:w="460" w:type="dxa"/>
            <w:vAlign w:val="bottom"/>
            <w:shd w:val="clear" w:color="auto" w:fill="1D2758"/>
          </w:tcPr>
          <w:p>
            <w:pPr>
              <w:spacing w:after="0"/>
              <w:rPr>
                <w:sz w:val="15"/>
                <w:szCs w:val="15"/>
                <w:color w:val="auto"/>
              </w:rPr>
            </w:pPr>
          </w:p>
        </w:tc>
        <w:tc>
          <w:tcPr>
            <w:tcW w:w="1380" w:type="dxa"/>
            <w:vAlign w:val="bottom"/>
            <w:shd w:val="clear" w:color="auto" w:fill="1D2758"/>
          </w:tcPr>
          <w:p>
            <w:pPr>
              <w:jc w:val="right"/>
              <w:ind w:right="714"/>
              <w:spacing w:after="0"/>
              <w:rPr>
                <w:sz w:val="20"/>
                <w:szCs w:val="20"/>
                <w:color w:val="auto"/>
              </w:rPr>
            </w:pPr>
            <w:r>
              <w:rPr>
                <w:rFonts w:ascii="Arial" w:cs="Arial" w:eastAsia="Arial" w:hAnsi="Arial"/>
                <w:sz w:val="13"/>
                <w:szCs w:val="13"/>
                <w:b w:val="1"/>
                <w:bCs w:val="1"/>
                <w:color w:val="FFFFFF"/>
              </w:rPr>
              <w:t>2020</w:t>
            </w:r>
          </w:p>
        </w:tc>
        <w:tc>
          <w:tcPr>
            <w:tcW w:w="460" w:type="dxa"/>
            <w:vAlign w:val="bottom"/>
            <w:shd w:val="clear" w:color="auto" w:fill="1D2758"/>
          </w:tcPr>
          <w:p>
            <w:pPr>
              <w:spacing w:after="0"/>
              <w:rPr>
                <w:sz w:val="15"/>
                <w:szCs w:val="15"/>
                <w:color w:val="auto"/>
              </w:rPr>
            </w:pPr>
          </w:p>
        </w:tc>
        <w:tc>
          <w:tcPr>
            <w:tcW w:w="1360" w:type="dxa"/>
            <w:vAlign w:val="bottom"/>
            <w:shd w:val="clear" w:color="auto" w:fill="1D2758"/>
          </w:tcPr>
          <w:p>
            <w:pPr>
              <w:jc w:val="right"/>
              <w:ind w:right="674"/>
              <w:spacing w:after="0"/>
              <w:rPr>
                <w:sz w:val="20"/>
                <w:szCs w:val="20"/>
                <w:color w:val="auto"/>
              </w:rPr>
            </w:pPr>
            <w:r>
              <w:rPr>
                <w:rFonts w:ascii="Arial" w:cs="Arial" w:eastAsia="Arial" w:hAnsi="Arial"/>
                <w:sz w:val="13"/>
                <w:szCs w:val="13"/>
                <w:b w:val="1"/>
                <w:bCs w:val="1"/>
                <w:color w:val="FFFFFF"/>
              </w:rPr>
              <w:t>2019</w:t>
            </w:r>
          </w:p>
        </w:tc>
      </w:tr>
      <w:tr>
        <w:trPr>
          <w:trHeight w:val="175"/>
        </w:trPr>
        <w:tc>
          <w:tcPr>
            <w:tcW w:w="5760" w:type="dxa"/>
            <w:vAlign w:val="bottom"/>
            <w:shd w:val="clear" w:color="auto" w:fill="DBDBDB"/>
          </w:tcPr>
          <w:p>
            <w:pPr>
              <w:ind w:left="20"/>
              <w:spacing w:after="0"/>
              <w:rPr>
                <w:sz w:val="20"/>
                <w:szCs w:val="20"/>
                <w:color w:val="auto"/>
              </w:rPr>
            </w:pPr>
            <w:r>
              <w:rPr>
                <w:rFonts w:ascii="Arial" w:cs="Arial" w:eastAsia="Arial" w:hAnsi="Arial"/>
                <w:sz w:val="13"/>
                <w:szCs w:val="13"/>
                <w:color w:val="auto"/>
              </w:rPr>
              <w:t>Modular space units on rent (average during the period)</w:t>
            </w:r>
          </w:p>
        </w:tc>
        <w:tc>
          <w:tcPr>
            <w:tcW w:w="420" w:type="dxa"/>
            <w:vAlign w:val="bottom"/>
            <w:shd w:val="clear" w:color="auto" w:fill="DBDBDB"/>
          </w:tcPr>
          <w:p>
            <w:pPr>
              <w:spacing w:after="0"/>
              <w:rPr>
                <w:sz w:val="15"/>
                <w:szCs w:val="15"/>
                <w:color w:val="auto"/>
              </w:rPr>
            </w:pPr>
          </w:p>
        </w:tc>
        <w:tc>
          <w:tcPr>
            <w:tcW w:w="140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110,402</w:t>
            </w:r>
          </w:p>
        </w:tc>
        <w:tc>
          <w:tcPr>
            <w:tcW w:w="460" w:type="dxa"/>
            <w:vAlign w:val="bottom"/>
            <w:shd w:val="clear" w:color="auto" w:fill="DBDBDB"/>
          </w:tcPr>
          <w:p>
            <w:pPr>
              <w:spacing w:after="0"/>
              <w:rPr>
                <w:sz w:val="15"/>
                <w:szCs w:val="15"/>
                <w:color w:val="auto"/>
              </w:rPr>
            </w:pPr>
          </w:p>
        </w:tc>
        <w:tc>
          <w:tcPr>
            <w:tcW w:w="138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99,526</w:t>
            </w:r>
          </w:p>
        </w:tc>
        <w:tc>
          <w:tcPr>
            <w:tcW w:w="460" w:type="dxa"/>
            <w:vAlign w:val="bottom"/>
            <w:shd w:val="clear" w:color="auto" w:fill="DBDBDB"/>
          </w:tcPr>
          <w:p>
            <w:pPr>
              <w:spacing w:after="0"/>
              <w:rPr>
                <w:sz w:val="15"/>
                <w:szCs w:val="15"/>
                <w:color w:val="auto"/>
              </w:rPr>
            </w:pPr>
          </w:p>
        </w:tc>
        <w:tc>
          <w:tcPr>
            <w:tcW w:w="1360" w:type="dxa"/>
            <w:vAlign w:val="bottom"/>
            <w:shd w:val="clear" w:color="auto" w:fill="DBDBDB"/>
          </w:tcPr>
          <w:p>
            <w:pPr>
              <w:jc w:val="right"/>
              <w:ind w:right="114"/>
              <w:spacing w:after="0"/>
              <w:rPr>
                <w:sz w:val="20"/>
                <w:szCs w:val="20"/>
                <w:color w:val="auto"/>
              </w:rPr>
            </w:pPr>
            <w:r>
              <w:rPr>
                <w:rFonts w:ascii="Arial" w:cs="Arial" w:eastAsia="Arial" w:hAnsi="Arial"/>
                <w:sz w:val="13"/>
                <w:szCs w:val="13"/>
                <w:color w:val="auto"/>
              </w:rPr>
              <w:t>91,682</w:t>
            </w:r>
          </w:p>
        </w:tc>
      </w:tr>
      <w:tr>
        <w:trPr>
          <w:trHeight w:val="172"/>
        </w:trPr>
        <w:tc>
          <w:tcPr>
            <w:tcW w:w="5760" w:type="dxa"/>
            <w:vAlign w:val="bottom"/>
          </w:tcPr>
          <w:p>
            <w:pPr>
              <w:ind w:left="20"/>
              <w:spacing w:after="0"/>
              <w:rPr>
                <w:sz w:val="20"/>
                <w:szCs w:val="20"/>
                <w:color w:val="auto"/>
              </w:rPr>
            </w:pPr>
            <w:r>
              <w:rPr>
                <w:rFonts w:ascii="Arial" w:cs="Arial" w:eastAsia="Arial" w:hAnsi="Arial"/>
                <w:sz w:val="13"/>
                <w:szCs w:val="13"/>
                <w:color w:val="auto"/>
              </w:rPr>
              <w:t>Average modular space utilization rate</w:t>
            </w:r>
          </w:p>
        </w:tc>
        <w:tc>
          <w:tcPr>
            <w:tcW w:w="420" w:type="dxa"/>
            <w:vAlign w:val="bottom"/>
          </w:tcPr>
          <w:p>
            <w:pPr>
              <w:spacing w:after="0"/>
              <w:rPr>
                <w:sz w:val="14"/>
                <w:szCs w:val="14"/>
                <w:color w:val="auto"/>
              </w:rPr>
            </w:pPr>
          </w:p>
        </w:tc>
        <w:tc>
          <w:tcPr>
            <w:tcW w:w="1400" w:type="dxa"/>
            <w:vAlign w:val="bottom"/>
          </w:tcPr>
          <w:p>
            <w:pPr>
              <w:jc w:val="right"/>
              <w:ind w:right="14"/>
              <w:spacing w:after="0"/>
              <w:rPr>
                <w:sz w:val="20"/>
                <w:szCs w:val="20"/>
                <w:color w:val="auto"/>
              </w:rPr>
            </w:pPr>
            <w:r>
              <w:rPr>
                <w:rFonts w:ascii="Arial" w:cs="Arial" w:eastAsia="Arial" w:hAnsi="Arial"/>
                <w:sz w:val="13"/>
                <w:szCs w:val="13"/>
                <w:color w:val="auto"/>
              </w:rPr>
              <w:t>70.1 %</w:t>
            </w:r>
          </w:p>
        </w:tc>
        <w:tc>
          <w:tcPr>
            <w:tcW w:w="4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70.2 %</w:t>
            </w:r>
          </w:p>
        </w:tc>
        <w:tc>
          <w:tcPr>
            <w:tcW w:w="4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72.0 %</w:t>
            </w:r>
          </w:p>
        </w:tc>
      </w:tr>
      <w:tr>
        <w:trPr>
          <w:trHeight w:val="178"/>
        </w:trPr>
        <w:tc>
          <w:tcPr>
            <w:tcW w:w="5760" w:type="dxa"/>
            <w:vAlign w:val="bottom"/>
            <w:shd w:val="clear" w:color="auto" w:fill="DBDBDB"/>
          </w:tcPr>
          <w:p>
            <w:pPr>
              <w:ind w:left="20"/>
              <w:spacing w:after="0"/>
              <w:rPr>
                <w:sz w:val="20"/>
                <w:szCs w:val="20"/>
                <w:color w:val="auto"/>
              </w:rPr>
            </w:pPr>
            <w:r>
              <w:rPr>
                <w:rFonts w:ascii="Arial" w:cs="Arial" w:eastAsia="Arial" w:hAnsi="Arial"/>
                <w:sz w:val="13"/>
                <w:szCs w:val="13"/>
                <w:color w:val="auto"/>
              </w:rPr>
              <w:t>Average modular space monthly rental rate</w:t>
            </w:r>
          </w:p>
        </w:tc>
        <w:tc>
          <w:tcPr>
            <w:tcW w:w="420" w:type="dxa"/>
            <w:vAlign w:val="bottom"/>
            <w:shd w:val="clear" w:color="auto" w:fill="DBDBDB"/>
          </w:tcPr>
          <w:p>
            <w:pPr>
              <w:jc w:val="right"/>
              <w:ind w:right="254"/>
              <w:spacing w:after="0"/>
              <w:rPr>
                <w:sz w:val="20"/>
                <w:szCs w:val="20"/>
                <w:color w:val="auto"/>
              </w:rPr>
            </w:pPr>
            <w:r>
              <w:rPr>
                <w:rFonts w:ascii="Arial" w:cs="Arial" w:eastAsia="Arial" w:hAnsi="Arial"/>
                <w:sz w:val="13"/>
                <w:szCs w:val="13"/>
                <w:color w:val="auto"/>
              </w:rPr>
              <w:t>$</w:t>
            </w:r>
          </w:p>
        </w:tc>
        <w:tc>
          <w:tcPr>
            <w:tcW w:w="140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744</w:t>
            </w:r>
          </w:p>
        </w:tc>
        <w:tc>
          <w:tcPr>
            <w:tcW w:w="460" w:type="dxa"/>
            <w:vAlign w:val="bottom"/>
            <w:shd w:val="clear" w:color="auto" w:fill="DBDBDB"/>
          </w:tcPr>
          <w:p>
            <w:pPr>
              <w:jc w:val="right"/>
              <w:ind w:right="274"/>
              <w:spacing w:after="0"/>
              <w:rPr>
                <w:sz w:val="20"/>
                <w:szCs w:val="20"/>
                <w:color w:val="auto"/>
              </w:rPr>
            </w:pPr>
            <w:r>
              <w:rPr>
                <w:rFonts w:ascii="Arial" w:cs="Arial" w:eastAsia="Arial" w:hAnsi="Arial"/>
                <w:sz w:val="13"/>
                <w:szCs w:val="13"/>
                <w:color w:val="auto"/>
              </w:rPr>
              <w:t>$</w:t>
            </w:r>
          </w:p>
        </w:tc>
        <w:tc>
          <w:tcPr>
            <w:tcW w:w="138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658</w:t>
            </w:r>
          </w:p>
        </w:tc>
        <w:tc>
          <w:tcPr>
            <w:tcW w:w="460" w:type="dxa"/>
            <w:vAlign w:val="bottom"/>
            <w:shd w:val="clear" w:color="auto" w:fill="DBDBDB"/>
          </w:tcPr>
          <w:p>
            <w:pPr>
              <w:jc w:val="right"/>
              <w:ind w:right="254"/>
              <w:spacing w:after="0"/>
              <w:rPr>
                <w:sz w:val="20"/>
                <w:szCs w:val="20"/>
                <w:color w:val="auto"/>
              </w:rPr>
            </w:pPr>
            <w:r>
              <w:rPr>
                <w:rFonts w:ascii="Arial" w:cs="Arial" w:eastAsia="Arial" w:hAnsi="Arial"/>
                <w:sz w:val="13"/>
                <w:szCs w:val="13"/>
                <w:color w:val="auto"/>
              </w:rPr>
              <w:t>$</w:t>
            </w:r>
          </w:p>
        </w:tc>
        <w:tc>
          <w:tcPr>
            <w:tcW w:w="1360" w:type="dxa"/>
            <w:vAlign w:val="bottom"/>
            <w:shd w:val="clear" w:color="auto" w:fill="DBDBDB"/>
          </w:tcPr>
          <w:p>
            <w:pPr>
              <w:jc w:val="right"/>
              <w:ind w:right="114"/>
              <w:spacing w:after="0"/>
              <w:rPr>
                <w:sz w:val="20"/>
                <w:szCs w:val="20"/>
                <w:color w:val="auto"/>
              </w:rPr>
            </w:pPr>
            <w:r>
              <w:rPr>
                <w:rFonts w:ascii="Arial" w:cs="Arial" w:eastAsia="Arial" w:hAnsi="Arial"/>
                <w:sz w:val="13"/>
                <w:szCs w:val="13"/>
                <w:color w:val="auto"/>
              </w:rPr>
              <w:t>614</w:t>
            </w:r>
          </w:p>
        </w:tc>
      </w:tr>
      <w:tr>
        <w:trPr>
          <w:trHeight w:val="172"/>
        </w:trPr>
        <w:tc>
          <w:tcPr>
            <w:tcW w:w="5760" w:type="dxa"/>
            <w:vAlign w:val="bottom"/>
          </w:tcPr>
          <w:p>
            <w:pPr>
              <w:ind w:left="20"/>
              <w:spacing w:after="0"/>
              <w:rPr>
                <w:sz w:val="20"/>
                <w:szCs w:val="20"/>
                <w:color w:val="auto"/>
              </w:rPr>
            </w:pPr>
            <w:r>
              <w:rPr>
                <w:rFonts w:ascii="Arial" w:cs="Arial" w:eastAsia="Arial" w:hAnsi="Arial"/>
                <w:sz w:val="13"/>
                <w:szCs w:val="13"/>
                <w:color w:val="auto"/>
              </w:rPr>
              <w:t>Portable storage units on rent (average during the period)</w:t>
            </w:r>
          </w:p>
        </w:tc>
        <w:tc>
          <w:tcPr>
            <w:tcW w:w="420" w:type="dxa"/>
            <w:vAlign w:val="bottom"/>
          </w:tcPr>
          <w:p>
            <w:pPr>
              <w:spacing w:after="0"/>
              <w:rPr>
                <w:sz w:val="14"/>
                <w:szCs w:val="14"/>
                <w:color w:val="auto"/>
              </w:rPr>
            </w:pPr>
          </w:p>
        </w:tc>
        <w:tc>
          <w:tcPr>
            <w:tcW w:w="1400" w:type="dxa"/>
            <w:vAlign w:val="bottom"/>
          </w:tcPr>
          <w:p>
            <w:pPr>
              <w:jc w:val="right"/>
              <w:ind w:right="154"/>
              <w:spacing w:after="0"/>
              <w:rPr>
                <w:sz w:val="20"/>
                <w:szCs w:val="20"/>
                <w:color w:val="auto"/>
              </w:rPr>
            </w:pPr>
            <w:r>
              <w:rPr>
                <w:rFonts w:ascii="Arial" w:cs="Arial" w:eastAsia="Arial" w:hAnsi="Arial"/>
                <w:sz w:val="13"/>
                <w:szCs w:val="13"/>
                <w:color w:val="auto"/>
              </w:rPr>
              <w:t>161,466</w:t>
            </w:r>
          </w:p>
        </w:tc>
        <w:tc>
          <w:tcPr>
            <w:tcW w:w="460" w:type="dxa"/>
            <w:vAlign w:val="bottom"/>
          </w:tcPr>
          <w:p>
            <w:pPr>
              <w:spacing w:after="0"/>
              <w:rPr>
                <w:sz w:val="14"/>
                <w:szCs w:val="14"/>
                <w:color w:val="auto"/>
              </w:rPr>
            </w:pPr>
          </w:p>
        </w:tc>
        <w:tc>
          <w:tcPr>
            <w:tcW w:w="1380" w:type="dxa"/>
            <w:vAlign w:val="bottom"/>
          </w:tcPr>
          <w:p>
            <w:pPr>
              <w:jc w:val="right"/>
              <w:ind w:right="134"/>
              <w:spacing w:after="0"/>
              <w:rPr>
                <w:sz w:val="20"/>
                <w:szCs w:val="20"/>
                <w:color w:val="auto"/>
              </w:rPr>
            </w:pPr>
            <w:r>
              <w:rPr>
                <w:rFonts w:ascii="Arial" w:cs="Arial" w:eastAsia="Arial" w:hAnsi="Arial"/>
                <w:sz w:val="13"/>
                <w:szCs w:val="13"/>
                <w:color w:val="auto"/>
              </w:rPr>
              <w:t>84,148</w:t>
            </w:r>
          </w:p>
        </w:tc>
        <w:tc>
          <w:tcPr>
            <w:tcW w:w="460" w:type="dxa"/>
            <w:vAlign w:val="bottom"/>
          </w:tcPr>
          <w:p>
            <w:pPr>
              <w:spacing w:after="0"/>
              <w:rPr>
                <w:sz w:val="14"/>
                <w:szCs w:val="14"/>
                <w:color w:val="auto"/>
              </w:rPr>
            </w:pPr>
          </w:p>
        </w:tc>
        <w:tc>
          <w:tcPr>
            <w:tcW w:w="1360" w:type="dxa"/>
            <w:vAlign w:val="bottom"/>
          </w:tcPr>
          <w:p>
            <w:pPr>
              <w:jc w:val="right"/>
              <w:ind w:right="114"/>
              <w:spacing w:after="0"/>
              <w:rPr>
                <w:sz w:val="20"/>
                <w:szCs w:val="20"/>
                <w:color w:val="auto"/>
              </w:rPr>
            </w:pPr>
            <w:r>
              <w:rPr>
                <w:rFonts w:ascii="Arial" w:cs="Arial" w:eastAsia="Arial" w:hAnsi="Arial"/>
                <w:sz w:val="13"/>
                <w:szCs w:val="13"/>
                <w:color w:val="auto"/>
              </w:rPr>
              <w:t>16,878</w:t>
            </w:r>
          </w:p>
        </w:tc>
      </w:tr>
      <w:tr>
        <w:trPr>
          <w:trHeight w:val="178"/>
        </w:trPr>
        <w:tc>
          <w:tcPr>
            <w:tcW w:w="5760" w:type="dxa"/>
            <w:vAlign w:val="bottom"/>
            <w:shd w:val="clear" w:color="auto" w:fill="DBDBDB"/>
          </w:tcPr>
          <w:p>
            <w:pPr>
              <w:ind w:left="20"/>
              <w:spacing w:after="0"/>
              <w:rPr>
                <w:sz w:val="20"/>
                <w:szCs w:val="20"/>
                <w:color w:val="auto"/>
              </w:rPr>
            </w:pPr>
            <w:r>
              <w:rPr>
                <w:rFonts w:ascii="Arial" w:cs="Arial" w:eastAsia="Arial" w:hAnsi="Arial"/>
                <w:sz w:val="13"/>
                <w:szCs w:val="13"/>
                <w:color w:val="auto"/>
              </w:rPr>
              <w:t>Average portable storage utilization rate</w:t>
            </w:r>
          </w:p>
        </w:tc>
        <w:tc>
          <w:tcPr>
            <w:tcW w:w="420" w:type="dxa"/>
            <w:vAlign w:val="bottom"/>
            <w:shd w:val="clear" w:color="auto" w:fill="DBDBDB"/>
          </w:tcPr>
          <w:p>
            <w:pPr>
              <w:spacing w:after="0"/>
              <w:rPr>
                <w:sz w:val="15"/>
                <w:szCs w:val="15"/>
                <w:color w:val="auto"/>
              </w:rPr>
            </w:pPr>
          </w:p>
        </w:tc>
        <w:tc>
          <w:tcPr>
            <w:tcW w:w="1400" w:type="dxa"/>
            <w:vAlign w:val="bottom"/>
            <w:shd w:val="clear" w:color="auto" w:fill="DBDBDB"/>
          </w:tcPr>
          <w:p>
            <w:pPr>
              <w:jc w:val="right"/>
              <w:ind w:right="14"/>
              <w:spacing w:after="0"/>
              <w:rPr>
                <w:sz w:val="20"/>
                <w:szCs w:val="20"/>
                <w:color w:val="auto"/>
              </w:rPr>
            </w:pPr>
            <w:r>
              <w:rPr>
                <w:rFonts w:ascii="Arial" w:cs="Arial" w:eastAsia="Arial" w:hAnsi="Arial"/>
                <w:sz w:val="13"/>
                <w:szCs w:val="13"/>
                <w:color w:val="auto"/>
              </w:rPr>
              <w:t>81.5 %</w:t>
            </w:r>
          </w:p>
        </w:tc>
        <w:tc>
          <w:tcPr>
            <w:tcW w:w="460" w:type="dxa"/>
            <w:vAlign w:val="bottom"/>
            <w:shd w:val="clear" w:color="auto" w:fill="DBDBDB"/>
          </w:tcPr>
          <w:p>
            <w:pPr>
              <w:spacing w:after="0"/>
              <w:rPr>
                <w:sz w:val="15"/>
                <w:szCs w:val="15"/>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75.9 %</w:t>
            </w:r>
          </w:p>
        </w:tc>
        <w:tc>
          <w:tcPr>
            <w:tcW w:w="460" w:type="dxa"/>
            <w:vAlign w:val="bottom"/>
            <w:shd w:val="clear" w:color="auto" w:fill="DBDBDB"/>
          </w:tcPr>
          <w:p>
            <w:pPr>
              <w:spacing w:after="0"/>
              <w:rPr>
                <w:sz w:val="15"/>
                <w:szCs w:val="15"/>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65.8 %</w:t>
            </w:r>
          </w:p>
        </w:tc>
      </w:tr>
      <w:tr>
        <w:trPr>
          <w:trHeight w:val="172"/>
        </w:trPr>
        <w:tc>
          <w:tcPr>
            <w:tcW w:w="5760" w:type="dxa"/>
            <w:vAlign w:val="bottom"/>
          </w:tcPr>
          <w:p>
            <w:pPr>
              <w:ind w:left="20"/>
              <w:spacing w:after="0"/>
              <w:rPr>
                <w:sz w:val="20"/>
                <w:szCs w:val="20"/>
                <w:color w:val="auto"/>
              </w:rPr>
            </w:pPr>
            <w:r>
              <w:rPr>
                <w:rFonts w:ascii="Arial" w:cs="Arial" w:eastAsia="Arial" w:hAnsi="Arial"/>
                <w:sz w:val="13"/>
                <w:szCs w:val="13"/>
                <w:color w:val="auto"/>
              </w:rPr>
              <w:t>Average portable storage monthly rental rate</w:t>
            </w:r>
          </w:p>
        </w:tc>
        <w:tc>
          <w:tcPr>
            <w:tcW w:w="420" w:type="dxa"/>
            <w:vAlign w:val="bottom"/>
          </w:tcPr>
          <w:p>
            <w:pPr>
              <w:jc w:val="right"/>
              <w:ind w:right="254"/>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154"/>
              <w:spacing w:after="0"/>
              <w:rPr>
                <w:sz w:val="20"/>
                <w:szCs w:val="20"/>
                <w:color w:val="auto"/>
              </w:rPr>
            </w:pPr>
            <w:r>
              <w:rPr>
                <w:rFonts w:ascii="Arial" w:cs="Arial" w:eastAsia="Arial" w:hAnsi="Arial"/>
                <w:sz w:val="13"/>
                <w:szCs w:val="13"/>
                <w:color w:val="auto"/>
              </w:rPr>
              <w:t>144</w:t>
            </w:r>
          </w:p>
        </w:tc>
        <w:tc>
          <w:tcPr>
            <w:tcW w:w="460" w:type="dxa"/>
            <w:vAlign w:val="bottom"/>
          </w:tcPr>
          <w:p>
            <w:pPr>
              <w:jc w:val="right"/>
              <w:ind w:right="274"/>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134"/>
              <w:spacing w:after="0"/>
              <w:rPr>
                <w:sz w:val="20"/>
                <w:szCs w:val="20"/>
                <w:color w:val="auto"/>
              </w:rPr>
            </w:pPr>
            <w:r>
              <w:rPr>
                <w:rFonts w:ascii="Arial" w:cs="Arial" w:eastAsia="Arial" w:hAnsi="Arial"/>
                <w:sz w:val="13"/>
                <w:szCs w:val="13"/>
                <w:color w:val="auto"/>
              </w:rPr>
              <w:t>132</w:t>
            </w:r>
          </w:p>
        </w:tc>
        <w:tc>
          <w:tcPr>
            <w:tcW w:w="460" w:type="dxa"/>
            <w:vAlign w:val="bottom"/>
          </w:tcPr>
          <w:p>
            <w:pPr>
              <w:jc w:val="right"/>
              <w:ind w:right="254"/>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114"/>
              <w:spacing w:after="0"/>
              <w:rPr>
                <w:sz w:val="20"/>
                <w:szCs w:val="20"/>
                <w:color w:val="auto"/>
              </w:rPr>
            </w:pPr>
            <w:r>
              <w:rPr>
                <w:rFonts w:ascii="Arial" w:cs="Arial" w:eastAsia="Arial" w:hAnsi="Arial"/>
                <w:sz w:val="13"/>
                <w:szCs w:val="13"/>
                <w:color w:val="auto"/>
              </w:rPr>
              <w:t>120</w:t>
            </w:r>
          </w:p>
        </w:tc>
      </w:tr>
      <w:tr>
        <w:trPr>
          <w:trHeight w:val="178"/>
        </w:trPr>
        <w:tc>
          <w:tcPr>
            <w:tcW w:w="5760" w:type="dxa"/>
            <w:vAlign w:val="bottom"/>
            <w:shd w:val="clear" w:color="auto" w:fill="DBDBDB"/>
          </w:tcPr>
          <w:p>
            <w:pPr>
              <w:ind w:left="20"/>
              <w:spacing w:after="0"/>
              <w:rPr>
                <w:sz w:val="20"/>
                <w:szCs w:val="20"/>
                <w:color w:val="auto"/>
              </w:rPr>
            </w:pPr>
            <w:r>
              <w:rPr>
                <w:rFonts w:ascii="Arial" w:cs="Arial" w:eastAsia="Arial" w:hAnsi="Arial"/>
                <w:sz w:val="13"/>
                <w:szCs w:val="13"/>
                <w:color w:val="auto"/>
              </w:rPr>
              <w:t>Average tank and pump solutions rental fleet utilization based on original equipment cost</w:t>
            </w:r>
          </w:p>
        </w:tc>
        <w:tc>
          <w:tcPr>
            <w:tcW w:w="420" w:type="dxa"/>
            <w:vAlign w:val="bottom"/>
            <w:shd w:val="clear" w:color="auto" w:fill="DBDBDB"/>
          </w:tcPr>
          <w:p>
            <w:pPr>
              <w:spacing w:after="0"/>
              <w:rPr>
                <w:sz w:val="15"/>
                <w:szCs w:val="15"/>
                <w:color w:val="auto"/>
              </w:rPr>
            </w:pPr>
          </w:p>
        </w:tc>
        <w:tc>
          <w:tcPr>
            <w:tcW w:w="1400" w:type="dxa"/>
            <w:vAlign w:val="bottom"/>
            <w:shd w:val="clear" w:color="auto" w:fill="DBDBDB"/>
          </w:tcPr>
          <w:p>
            <w:pPr>
              <w:jc w:val="right"/>
              <w:ind w:right="14"/>
              <w:spacing w:after="0"/>
              <w:rPr>
                <w:sz w:val="20"/>
                <w:szCs w:val="20"/>
                <w:color w:val="auto"/>
              </w:rPr>
            </w:pPr>
            <w:r>
              <w:rPr>
                <w:rFonts w:ascii="Arial" w:cs="Arial" w:eastAsia="Arial" w:hAnsi="Arial"/>
                <w:sz w:val="13"/>
                <w:szCs w:val="13"/>
                <w:color w:val="auto"/>
              </w:rPr>
              <w:t>72.3 %</w:t>
            </w:r>
          </w:p>
        </w:tc>
        <w:tc>
          <w:tcPr>
            <w:tcW w:w="460" w:type="dxa"/>
            <w:vAlign w:val="bottom"/>
            <w:shd w:val="clear" w:color="auto" w:fill="DBDBDB"/>
          </w:tcPr>
          <w:p>
            <w:pPr>
              <w:spacing w:after="0"/>
              <w:rPr>
                <w:sz w:val="15"/>
                <w:szCs w:val="15"/>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61.7 %</w:t>
            </w:r>
          </w:p>
        </w:tc>
        <w:tc>
          <w:tcPr>
            <w:tcW w:w="460" w:type="dxa"/>
            <w:vAlign w:val="bottom"/>
            <w:shd w:val="clear" w:color="auto" w:fill="DBDBDB"/>
          </w:tcPr>
          <w:p>
            <w:pPr>
              <w:spacing w:after="0"/>
              <w:rPr>
                <w:sz w:val="15"/>
                <w:szCs w:val="15"/>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N/A</w:t>
            </w:r>
          </w:p>
        </w:tc>
      </w:tr>
    </w:tbl>
    <w:p>
      <w:pPr>
        <w:spacing w:after="0" w:line="165"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In addition to leasing revenue, we also generate revenue from sales of new and used modular space and portable storage units to our customers, as well as delivery, installation, maintenance, removal services and other incidental items related to accommodation services for our customers. Included in our sales revenue are charges for modifying or customizing sales equipment to customers’ specifications.</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Gross Profit</w:t>
      </w:r>
    </w:p>
    <w:p>
      <w:pPr>
        <w:spacing w:after="0" w:line="66"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We define gross profit as the difference between total revenues and cost of revenues. Cost of revenues associated with our leasing business includes payroll and payroll-related costs for branch operations personnel, material and other costs related to the repair, maintenance, storage and transportation of rental equipment. Cost of revenue also includes depreciation expense associated with our rental equipment. Cost of revenues associated with our new unit sales business includes the cost to purchase, assemble, transport and customize units that are sold. Cost of revenues for our rental unit sales consist primarily of the net book value of the unit at date of sale.</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Selling, General and Administrative Expense</w:t>
      </w:r>
    </w:p>
    <w:p>
      <w:pPr>
        <w:spacing w:after="0" w:line="66"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Our selling, general and administrative (“SG&amp;A”) expense includes all costs associated with our selling efforts, including marketing costs, marketing salaries and benefits, as well as the salary and commissions of sales personnel. It also includes the leasing of facilities we occupy, professional fees and information systems, our overhead costs, such as salaries of management, administrative and corporate personnel, and integration costs associated with acquisitions and business combinations.</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Transaction Costs</w:t>
      </w:r>
    </w:p>
    <w:p>
      <w:pPr>
        <w:spacing w:after="0" w:line="66"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Transaction costs include discrete expenses incurred related to the Merger and other acquisitions.</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Depreciation and Amortization</w:t>
      </w:r>
    </w:p>
    <w:p>
      <w:pPr>
        <w:spacing w:after="0" w:line="66" w:lineRule="exact"/>
        <w:rPr>
          <w:sz w:val="20"/>
          <w:szCs w:val="20"/>
          <w:color w:val="auto"/>
        </w:rPr>
      </w:pPr>
    </w:p>
    <w:p>
      <w:pPr>
        <w:ind w:left="540"/>
        <w:spacing w:after="0"/>
        <w:rPr>
          <w:sz w:val="20"/>
          <w:szCs w:val="20"/>
          <w:color w:val="auto"/>
        </w:rPr>
      </w:pPr>
      <w:r>
        <w:rPr>
          <w:rFonts w:ascii="Arial" w:cs="Arial" w:eastAsia="Arial" w:hAnsi="Arial"/>
          <w:sz w:val="13"/>
          <w:szCs w:val="13"/>
          <w:color w:val="auto"/>
        </w:rPr>
        <w:t>Other depreciation and amortization includes depreciation of our property, plant and equipment, as well as the amortization of our intangible assets.</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Impairment Losses on Long-Lived Assets</w:t>
      </w:r>
    </w:p>
    <w:p>
      <w:pPr>
        <w:spacing w:after="0" w:line="66"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We recognize property, plant, and equipment impairment charges when an indicator of impairment is present and the carrying value of assets exceeds the estimated undiscounted cash flows and fair value of the assets.</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Lease Impairment Expense and Other Related Charges</w:t>
      </w:r>
    </w:p>
    <w:p>
      <w:pPr>
        <w:spacing w:after="0" w:line="66" w:lineRule="exact"/>
        <w:rPr>
          <w:sz w:val="20"/>
          <w:szCs w:val="20"/>
          <w:color w:val="auto"/>
        </w:rPr>
      </w:pPr>
    </w:p>
    <w:p>
      <w:pPr>
        <w:jc w:val="both"/>
        <w:ind w:firstLine="146"/>
        <w:spacing w:after="0" w:line="256" w:lineRule="auto"/>
        <w:rPr>
          <w:sz w:val="20"/>
          <w:szCs w:val="20"/>
          <w:color w:val="auto"/>
        </w:rPr>
      </w:pPr>
      <w:r>
        <w:rPr>
          <w:rFonts w:ascii="Arial" w:cs="Arial" w:eastAsia="Arial" w:hAnsi="Arial"/>
          <w:sz w:val="13"/>
          <w:szCs w:val="13"/>
          <w:color w:val="auto"/>
        </w:rPr>
        <w:t>Lease impairment expense and other related charges include impairment of right-of-use ("ROU") assets, gain or loss on the exit of a leased property generally associated with lease termination payments and rent expense for locations which have been closed but have not been abandoned or impaired.</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Restructuring Costs</w:t>
      </w:r>
    </w:p>
    <w:p>
      <w:pPr>
        <w:spacing w:after="0" w:line="66" w:lineRule="exact"/>
        <w:rPr>
          <w:sz w:val="20"/>
          <w:szCs w:val="20"/>
          <w:color w:val="auto"/>
        </w:rPr>
      </w:pPr>
    </w:p>
    <w:p>
      <w:pPr>
        <w:jc w:val="both"/>
        <w:ind w:firstLine="524"/>
        <w:spacing w:after="0" w:line="248" w:lineRule="auto"/>
        <w:rPr>
          <w:sz w:val="20"/>
          <w:szCs w:val="20"/>
          <w:color w:val="auto"/>
        </w:rPr>
      </w:pPr>
      <w:r>
        <w:rPr>
          <w:rFonts w:ascii="Arial" w:cs="Arial" w:eastAsia="Arial" w:hAnsi="Arial"/>
          <w:sz w:val="13"/>
          <w:szCs w:val="13"/>
          <w:color w:val="auto"/>
        </w:rPr>
        <w:t xml:space="preserve">Restructuring costs include charges associated with exit or disposal activities that meet the definition of restructuring under Financial Accounting Standards Board ("FASB") ASC Topic 420, </w:t>
      </w:r>
      <w:r>
        <w:rPr>
          <w:rFonts w:ascii="Arial" w:cs="Arial" w:eastAsia="Arial" w:hAnsi="Arial"/>
          <w:sz w:val="13"/>
          <w:szCs w:val="13"/>
          <w:i w:val="1"/>
          <w:iCs w:val="1"/>
          <w:color w:val="auto"/>
        </w:rPr>
        <w:t>Exit or Disposal Cost Obligations</w:t>
      </w:r>
      <w:r>
        <w:rPr>
          <w:rFonts w:ascii="Arial" w:cs="Arial" w:eastAsia="Arial" w:hAnsi="Arial"/>
          <w:sz w:val="13"/>
          <w:szCs w:val="13"/>
          <w:color w:val="auto"/>
        </w:rPr>
        <w:t xml:space="preserve"> (“ASC 420”). Our restructuring plans are generally country or region specific and are typically completed within a one-year period. Restructuring costs include one-time termination benefits related to employee separation costs. The restructuring costs incurred in 2021, 2020, and 2019 primarily generally relate to the integration of our acquisitions. Costs related to the integration of acquired businesses that do not meet the definition of restructuring under ASC 420, such as employee training costs, duplicate facility costs, and professional services expenses, are included within SG&amp;A expense.</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Currency (Gains) Losses, Net</w:t>
      </w:r>
    </w:p>
    <w:p>
      <w:pPr>
        <w:spacing w:after="0" w:line="66"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Currency (gains) losses, net include unrealized and realized gains and losses on monetary assets and liabilities denominated in foreign currencies other than our functional currency at the reporting date.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28" w:right="319" w:bottom="1440" w:gutter="0" w:footer="0" w:header="0"/>
        </w:sectPr>
      </w:pPr>
    </w:p>
    <w:bookmarkStart w:id="42" w:name="page43"/>
    <w:bookmarkEnd w:id="42"/>
    <w:p>
      <w:pPr>
        <w:spacing w:after="0"/>
        <w:rPr>
          <w:sz w:val="20"/>
          <w:szCs w:val="20"/>
          <w:color w:val="auto"/>
        </w:rPr>
      </w:pPr>
      <w:r>
        <w:rPr>
          <w:rFonts w:ascii="Arial" w:cs="Arial" w:eastAsia="Arial" w:hAnsi="Arial"/>
          <w:sz w:val="15"/>
          <w:szCs w:val="15"/>
          <w:b w:val="1"/>
          <w:bCs w:val="1"/>
          <w:color w:val="auto"/>
        </w:rPr>
        <w:t>Other (Income) Expense, Net</w:t>
      </w:r>
    </w:p>
    <w:p>
      <w:pPr>
        <w:spacing w:after="0" w:line="66" w:lineRule="exact"/>
        <w:rPr>
          <w:sz w:val="20"/>
          <w:szCs w:val="20"/>
          <w:color w:val="auto"/>
        </w:rPr>
      </w:pPr>
    </w:p>
    <w:p>
      <w:pPr>
        <w:ind w:left="540"/>
        <w:spacing w:after="0"/>
        <w:rPr>
          <w:sz w:val="20"/>
          <w:szCs w:val="20"/>
          <w:color w:val="auto"/>
        </w:rPr>
      </w:pPr>
      <w:r>
        <w:rPr>
          <w:rFonts w:ascii="Arial" w:cs="Arial" w:eastAsia="Arial" w:hAnsi="Arial"/>
          <w:sz w:val="13"/>
          <w:szCs w:val="13"/>
          <w:color w:val="auto"/>
        </w:rPr>
        <w:t>Other (income) expense, net primarily consists of the gain (loss) on disposal of non-operational property, plant and equipment, other financing related costs and other non-recurring</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charges.</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 Expense</w:t>
      </w:r>
    </w:p>
    <w:p>
      <w:pPr>
        <w:spacing w:after="0" w:line="66" w:lineRule="exact"/>
        <w:rPr>
          <w:sz w:val="20"/>
          <w:szCs w:val="20"/>
          <w:color w:val="auto"/>
        </w:rPr>
      </w:pPr>
    </w:p>
    <w:p>
      <w:pPr>
        <w:jc w:val="both"/>
        <w:ind w:right="80" w:firstLine="524"/>
        <w:spacing w:after="0" w:line="256" w:lineRule="auto"/>
        <w:rPr>
          <w:sz w:val="20"/>
          <w:szCs w:val="20"/>
          <w:color w:val="auto"/>
        </w:rPr>
      </w:pPr>
      <w:r>
        <w:rPr>
          <w:rFonts w:ascii="Arial" w:cs="Arial" w:eastAsia="Arial" w:hAnsi="Arial"/>
          <w:sz w:val="13"/>
          <w:szCs w:val="13"/>
          <w:color w:val="auto"/>
        </w:rPr>
        <w:t>Interest expense consists of the costs of external debt including the Company’s ABL credit facility, 2022 Secured Notes, 2023 Secured Notes, 2025 Secured Notes, 2028 Secured Notes, and the senior unsecured notes due November 15, 2023 (the "Unsecured Notes") and interest on obligations under finance leases.</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Fair Value (Gain) Loss on Common Stock Warrant Liabilities</w:t>
      </w:r>
    </w:p>
    <w:p>
      <w:pPr>
        <w:spacing w:after="0" w:line="66" w:lineRule="exact"/>
        <w:rPr>
          <w:sz w:val="20"/>
          <w:szCs w:val="20"/>
          <w:color w:val="auto"/>
        </w:rPr>
      </w:pPr>
    </w:p>
    <w:p>
      <w:pPr>
        <w:jc w:val="both"/>
        <w:ind w:right="80" w:firstLine="524"/>
        <w:spacing w:after="0" w:line="256" w:lineRule="auto"/>
        <w:rPr>
          <w:sz w:val="20"/>
          <w:szCs w:val="20"/>
          <w:color w:val="auto"/>
        </w:rPr>
      </w:pPr>
      <w:r>
        <w:rPr>
          <w:rFonts w:ascii="Arial" w:cs="Arial" w:eastAsia="Arial" w:hAnsi="Arial"/>
          <w:sz w:val="13"/>
          <w:szCs w:val="13"/>
          <w:color w:val="auto"/>
        </w:rPr>
        <w:t>Fair value (gain) loss on common stock warrant liabilities consists of non-cash gains and losses recorded related to changes in the fair value of common stock warrant liabilities as the common stock warrant liabilities are marked-to-market liabilities. It also includes gains and losses recorded related to the settlement of common stock warrant liabilities.</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Loss on Extinguishment of Debt</w:t>
      </w:r>
    </w:p>
    <w:p>
      <w:pPr>
        <w:spacing w:after="0" w:line="66" w:lineRule="exact"/>
        <w:rPr>
          <w:sz w:val="20"/>
          <w:szCs w:val="20"/>
          <w:color w:val="auto"/>
        </w:rPr>
      </w:pPr>
    </w:p>
    <w:p>
      <w:pPr>
        <w:jc w:val="both"/>
        <w:ind w:right="80" w:firstLine="524"/>
        <w:spacing w:after="0" w:line="251" w:lineRule="auto"/>
        <w:rPr>
          <w:sz w:val="20"/>
          <w:szCs w:val="20"/>
          <w:color w:val="auto"/>
        </w:rPr>
      </w:pPr>
      <w:r>
        <w:rPr>
          <w:rFonts w:ascii="Arial" w:cs="Arial" w:eastAsia="Arial" w:hAnsi="Arial"/>
          <w:sz w:val="13"/>
          <w:szCs w:val="13"/>
          <w:color w:val="auto"/>
        </w:rPr>
        <w:t>In 2021, using cash on hand and borrowings on the 2020 ABL Facility, we redeemed $123.5 million of our 2025 Secured Notes and recorded loss on extinguishment of debt. In 2020, in connection with the Merger and related financing transactions, using proceeds from the 2025 Secured Notes, we redeemed all of our 2022 Secured Notes. We also completed a private offering of our 2028 Secured Notes in August 2020 and used the offering proceeds to repay our 2023 Secured Notes. As a result of these transactions, we recorded losses on extinguishment of debt.</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Income Tax Expense (Benefit)</w:t>
      </w:r>
    </w:p>
    <w:p>
      <w:pPr>
        <w:spacing w:after="0" w:line="66" w:lineRule="exact"/>
        <w:rPr>
          <w:sz w:val="20"/>
          <w:szCs w:val="20"/>
          <w:color w:val="auto"/>
        </w:rPr>
      </w:pPr>
    </w:p>
    <w:p>
      <w:pPr>
        <w:jc w:val="both"/>
        <w:ind w:right="80" w:firstLine="524"/>
        <w:spacing w:after="0" w:line="249" w:lineRule="auto"/>
        <w:rPr>
          <w:sz w:val="20"/>
          <w:szCs w:val="20"/>
          <w:color w:val="auto"/>
        </w:rPr>
      </w:pPr>
      <w:r>
        <w:rPr>
          <w:rFonts w:ascii="Arial" w:cs="Arial" w:eastAsia="Arial" w:hAnsi="Arial"/>
          <w:sz w:val="13"/>
          <w:szCs w:val="13"/>
          <w:color w:val="auto"/>
        </w:rPr>
        <w:t>We are subject to income taxes in the US, Canada, Mexico and the UK. Our overall effective tax rate is affected by a number of factors, such as the relative amounts of income we earn in differing tax jurisdictions, tax law changes, and certain non-deductible expenses such as compensation disallowance. The rate is also affected by discrete items that may occur in any given year, such as legislative enactments. These discrete items may not be consistent from year to year. Income tax expense (benefit), deferred tax assets and liabilities and liabilities for unrecognized tax benefits reflect our best estimate of current and future taxes to be paid.</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1D2758"/>
        </w:rPr>
        <w:t>Consolidated Results of Operations</w:t>
      </w:r>
    </w:p>
    <w:p>
      <w:pPr>
        <w:spacing w:after="0" w:line="42" w:lineRule="exact"/>
        <w:rPr>
          <w:sz w:val="20"/>
          <w:szCs w:val="20"/>
          <w:color w:val="auto"/>
        </w:rPr>
      </w:pPr>
    </w:p>
    <w:p>
      <w:pPr>
        <w:jc w:val="both"/>
        <w:ind w:right="80" w:firstLine="524"/>
        <w:spacing w:after="0" w:line="251" w:lineRule="auto"/>
        <w:rPr>
          <w:sz w:val="20"/>
          <w:szCs w:val="20"/>
          <w:color w:val="auto"/>
        </w:rPr>
      </w:pPr>
      <w:r>
        <w:rPr>
          <w:rFonts w:ascii="Arial" w:cs="Arial" w:eastAsia="Arial" w:hAnsi="Arial"/>
          <w:sz w:val="13"/>
          <w:szCs w:val="13"/>
          <w:color w:val="auto"/>
        </w:rPr>
        <w:t>Our consolidated statements of net income (loss) for the years ended December 31, 2021, 2020, and 2019 are presented below. The below results only include results from Mobile Mini for the periods subsequent to the Merger and do not include any incremental unrealized cost savings, revenue growth, or pro forma adjustments that management expects to result from the integration of the acquired business.</w:t>
      </w:r>
    </w:p>
    <w:p>
      <w:pPr>
        <w:spacing w:after="0" w:line="54" w:lineRule="exact"/>
        <w:rPr>
          <w:sz w:val="20"/>
          <w:szCs w:val="20"/>
          <w:color w:val="auto"/>
        </w:rPr>
      </w:pPr>
    </w:p>
    <w:tbl>
      <w:tblPr>
        <w:tblLayout w:type="fixed"/>
        <w:tblInd w:w="540" w:type="dxa"/>
        <w:tblCellMar>
          <w:top w:w="0" w:type="dxa"/>
          <w:left w:w="0" w:type="dxa"/>
          <w:bottom w:w="0" w:type="dxa"/>
          <w:right w:w="0" w:type="dxa"/>
        </w:tblCellMar>
      </w:tblPr>
      <w:tr>
        <w:trPr>
          <w:trHeight w:val="202"/>
        </w:trPr>
        <w:tc>
          <w:tcPr>
            <w:tcW w:w="2040" w:type="dxa"/>
            <w:vAlign w:val="bottom"/>
            <w:shd w:val="clear" w:color="auto" w:fill="1D2758"/>
          </w:tcPr>
          <w:p>
            <w:pPr>
              <w:spacing w:after="0"/>
              <w:rPr>
                <w:sz w:val="17"/>
                <w:szCs w:val="17"/>
                <w:color w:val="auto"/>
              </w:rPr>
            </w:pPr>
          </w:p>
        </w:tc>
        <w:tc>
          <w:tcPr>
            <w:tcW w:w="2320" w:type="dxa"/>
            <w:vAlign w:val="bottom"/>
            <w:gridSpan w:val="4"/>
            <w:shd w:val="clear" w:color="auto" w:fill="1D2758"/>
          </w:tcPr>
          <w:p>
            <w:pPr>
              <w:ind w:left="540"/>
              <w:spacing w:after="0"/>
              <w:rPr>
                <w:sz w:val="20"/>
                <w:szCs w:val="20"/>
                <w:color w:val="auto"/>
              </w:rPr>
            </w:pPr>
            <w:r>
              <w:rPr>
                <w:rFonts w:ascii="Arial" w:cs="Arial" w:eastAsia="Arial" w:hAnsi="Arial"/>
                <w:sz w:val="13"/>
                <w:szCs w:val="13"/>
                <w:b w:val="1"/>
                <w:bCs w:val="1"/>
                <w:color w:val="FFFFFF"/>
              </w:rPr>
              <w:t>Years Ended December 31,</w:t>
            </w:r>
          </w:p>
        </w:tc>
        <w:tc>
          <w:tcPr>
            <w:tcW w:w="400" w:type="dxa"/>
            <w:vAlign w:val="bottom"/>
            <w:shd w:val="clear" w:color="auto" w:fill="1D2758"/>
          </w:tcPr>
          <w:p>
            <w:pPr>
              <w:spacing w:after="0"/>
              <w:rPr>
                <w:sz w:val="17"/>
                <w:szCs w:val="17"/>
                <w:color w:val="auto"/>
              </w:rPr>
            </w:pPr>
          </w:p>
        </w:tc>
        <w:tc>
          <w:tcPr>
            <w:tcW w:w="98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800" w:type="dxa"/>
            <w:vAlign w:val="bottom"/>
            <w:shd w:val="clear" w:color="auto" w:fill="1D2758"/>
          </w:tcPr>
          <w:p>
            <w:pPr>
              <w:spacing w:after="0"/>
              <w:rPr>
                <w:sz w:val="17"/>
                <w:szCs w:val="17"/>
                <w:color w:val="auto"/>
              </w:rPr>
            </w:pPr>
          </w:p>
        </w:tc>
        <w:tc>
          <w:tcPr>
            <w:tcW w:w="940" w:type="dxa"/>
            <w:vAlign w:val="bottom"/>
            <w:shd w:val="clear" w:color="auto" w:fill="1D2758"/>
          </w:tcPr>
          <w:p>
            <w:pPr>
              <w:spacing w:after="0"/>
              <w:rPr>
                <w:sz w:val="17"/>
                <w:szCs w:val="17"/>
                <w:color w:val="auto"/>
              </w:rPr>
            </w:pPr>
          </w:p>
        </w:tc>
        <w:tc>
          <w:tcPr>
            <w:tcW w:w="60" w:type="dxa"/>
            <w:vAlign w:val="bottom"/>
            <w:shd w:val="clear" w:color="auto" w:fill="1D2758"/>
          </w:tcPr>
          <w:p>
            <w:pPr>
              <w:spacing w:after="0"/>
              <w:rPr>
                <w:sz w:val="17"/>
                <w:szCs w:val="17"/>
                <w:color w:val="auto"/>
              </w:rPr>
            </w:pPr>
          </w:p>
        </w:tc>
        <w:tc>
          <w:tcPr>
            <w:tcW w:w="640" w:type="dxa"/>
            <w:vAlign w:val="bottom"/>
            <w:shd w:val="clear" w:color="auto" w:fill="1D2758"/>
          </w:tcPr>
          <w:p>
            <w:pPr>
              <w:spacing w:after="0"/>
              <w:rPr>
                <w:sz w:val="17"/>
                <w:szCs w:val="17"/>
                <w:color w:val="auto"/>
              </w:rPr>
            </w:pPr>
          </w:p>
        </w:tc>
        <w:tc>
          <w:tcPr>
            <w:tcW w:w="1220" w:type="dxa"/>
            <w:vAlign w:val="bottom"/>
            <w:gridSpan w:val="2"/>
            <w:vMerge w:val="restart"/>
            <w:shd w:val="clear" w:color="auto" w:fill="1D2758"/>
          </w:tcPr>
          <w:p>
            <w:pPr>
              <w:ind w:left="100"/>
              <w:spacing w:after="0"/>
              <w:rPr>
                <w:sz w:val="20"/>
                <w:szCs w:val="20"/>
                <w:color w:val="auto"/>
              </w:rPr>
            </w:pPr>
            <w:r>
              <w:rPr>
                <w:rFonts w:ascii="Arial" w:cs="Arial" w:eastAsia="Arial" w:hAnsi="Arial"/>
                <w:sz w:val="13"/>
                <w:szCs w:val="13"/>
                <w:b w:val="1"/>
                <w:bCs w:val="1"/>
                <w:color w:val="FFFFFF"/>
              </w:rPr>
              <w:t>2021 vs. 2020</w:t>
            </w:r>
          </w:p>
        </w:tc>
        <w:tc>
          <w:tcPr>
            <w:tcW w:w="620" w:type="dxa"/>
            <w:vAlign w:val="bottom"/>
            <w:shd w:val="clear" w:color="auto" w:fill="1D2758"/>
          </w:tcPr>
          <w:p>
            <w:pPr>
              <w:spacing w:after="0"/>
              <w:rPr>
                <w:sz w:val="17"/>
                <w:szCs w:val="17"/>
                <w:color w:val="auto"/>
              </w:rPr>
            </w:pPr>
          </w:p>
        </w:tc>
        <w:tc>
          <w:tcPr>
            <w:tcW w:w="720" w:type="dxa"/>
            <w:vAlign w:val="bottom"/>
            <w:vMerge w:val="restart"/>
            <w:shd w:val="clear" w:color="auto" w:fill="1D2758"/>
          </w:tcPr>
          <w:p>
            <w:pPr>
              <w:jc w:val="right"/>
              <w:spacing w:after="0"/>
              <w:rPr>
                <w:sz w:val="20"/>
                <w:szCs w:val="20"/>
                <w:color w:val="auto"/>
              </w:rPr>
            </w:pPr>
            <w:r>
              <w:rPr>
                <w:rFonts w:ascii="Arial" w:cs="Arial" w:eastAsia="Arial" w:hAnsi="Arial"/>
                <w:sz w:val="13"/>
                <w:szCs w:val="13"/>
                <w:b w:val="1"/>
                <w:bCs w:val="1"/>
                <w:color w:val="FFFFFF"/>
              </w:rPr>
              <w:t>2020 vs 2</w:t>
            </w:r>
          </w:p>
        </w:tc>
        <w:tc>
          <w:tcPr>
            <w:tcW w:w="0" w:type="dxa"/>
            <w:vAlign w:val="bottom"/>
          </w:tcPr>
          <w:p>
            <w:pPr>
              <w:spacing w:after="0"/>
              <w:rPr>
                <w:sz w:val="1"/>
                <w:szCs w:val="1"/>
                <w:color w:val="auto"/>
              </w:rPr>
            </w:pPr>
          </w:p>
        </w:tc>
      </w:tr>
      <w:tr>
        <w:trPr>
          <w:trHeight w:val="38"/>
        </w:trPr>
        <w:tc>
          <w:tcPr>
            <w:tcW w:w="2040" w:type="dxa"/>
            <w:vAlign w:val="bottom"/>
            <w:shd w:val="clear" w:color="auto" w:fill="1D2758"/>
          </w:tcPr>
          <w:p>
            <w:pPr>
              <w:spacing w:after="0"/>
              <w:rPr>
                <w:sz w:val="3"/>
                <w:szCs w:val="3"/>
                <w:color w:val="auto"/>
              </w:rPr>
            </w:pPr>
          </w:p>
        </w:tc>
        <w:tc>
          <w:tcPr>
            <w:tcW w:w="820" w:type="dxa"/>
            <w:vAlign w:val="bottom"/>
            <w:shd w:val="clear" w:color="auto" w:fill="1D2758"/>
          </w:tcPr>
          <w:p>
            <w:pPr>
              <w:spacing w:after="0"/>
              <w:rPr>
                <w:sz w:val="3"/>
                <w:szCs w:val="3"/>
                <w:color w:val="auto"/>
              </w:rPr>
            </w:pPr>
          </w:p>
        </w:tc>
        <w:tc>
          <w:tcPr>
            <w:tcW w:w="1000" w:type="dxa"/>
            <w:vAlign w:val="bottom"/>
            <w:vMerge w:val="restart"/>
            <w:shd w:val="clear" w:color="auto" w:fill="1D2758"/>
          </w:tcPr>
          <w:p>
            <w:pPr>
              <w:jc w:val="right"/>
              <w:ind w:right="434"/>
              <w:spacing w:after="0"/>
              <w:rPr>
                <w:sz w:val="20"/>
                <w:szCs w:val="20"/>
                <w:color w:val="auto"/>
              </w:rPr>
            </w:pPr>
            <w:r>
              <w:rPr>
                <w:rFonts w:ascii="Arial" w:cs="Arial" w:eastAsia="Arial" w:hAnsi="Arial"/>
                <w:sz w:val="13"/>
                <w:szCs w:val="13"/>
                <w:b w:val="1"/>
                <w:bCs w:val="1"/>
                <w:color w:val="FFFFFF"/>
              </w:rPr>
              <w:t>2021</w:t>
            </w:r>
          </w:p>
        </w:tc>
        <w:tc>
          <w:tcPr>
            <w:tcW w:w="80" w:type="dxa"/>
            <w:vAlign w:val="bottom"/>
            <w:shd w:val="clear" w:color="auto" w:fill="1D2758"/>
          </w:tcPr>
          <w:p>
            <w:pPr>
              <w:spacing w:after="0"/>
              <w:rPr>
                <w:sz w:val="3"/>
                <w:szCs w:val="3"/>
                <w:color w:val="auto"/>
              </w:rPr>
            </w:pPr>
          </w:p>
        </w:tc>
        <w:tc>
          <w:tcPr>
            <w:tcW w:w="420" w:type="dxa"/>
            <w:vAlign w:val="bottom"/>
            <w:shd w:val="clear" w:color="auto" w:fill="1D2758"/>
          </w:tcPr>
          <w:p>
            <w:pPr>
              <w:spacing w:after="0"/>
              <w:rPr>
                <w:sz w:val="3"/>
                <w:szCs w:val="3"/>
                <w:color w:val="auto"/>
              </w:rPr>
            </w:pPr>
          </w:p>
        </w:tc>
        <w:tc>
          <w:tcPr>
            <w:tcW w:w="400" w:type="dxa"/>
            <w:vAlign w:val="bottom"/>
            <w:shd w:val="clear" w:color="auto" w:fill="1D2758"/>
          </w:tcPr>
          <w:p>
            <w:pPr>
              <w:spacing w:after="0"/>
              <w:rPr>
                <w:sz w:val="3"/>
                <w:szCs w:val="3"/>
                <w:color w:val="auto"/>
              </w:rPr>
            </w:pPr>
          </w:p>
        </w:tc>
        <w:tc>
          <w:tcPr>
            <w:tcW w:w="980" w:type="dxa"/>
            <w:vAlign w:val="bottom"/>
            <w:vMerge w:val="restart"/>
            <w:shd w:val="clear" w:color="auto" w:fill="1D2758"/>
          </w:tcPr>
          <w:p>
            <w:pPr>
              <w:jc w:val="right"/>
              <w:ind w:right="434"/>
              <w:spacing w:after="0"/>
              <w:rPr>
                <w:sz w:val="20"/>
                <w:szCs w:val="20"/>
                <w:color w:val="auto"/>
              </w:rPr>
            </w:pPr>
            <w:r>
              <w:rPr>
                <w:rFonts w:ascii="Arial" w:cs="Arial" w:eastAsia="Arial" w:hAnsi="Arial"/>
                <w:sz w:val="13"/>
                <w:szCs w:val="13"/>
                <w:b w:val="1"/>
                <w:bCs w:val="1"/>
                <w:color w:val="FFFFFF"/>
              </w:rPr>
              <w:t>2020</w:t>
            </w:r>
          </w:p>
        </w:tc>
        <w:tc>
          <w:tcPr>
            <w:tcW w:w="80" w:type="dxa"/>
            <w:vAlign w:val="bottom"/>
            <w:shd w:val="clear" w:color="auto" w:fill="1D2758"/>
          </w:tcPr>
          <w:p>
            <w:pPr>
              <w:spacing w:after="0"/>
              <w:rPr>
                <w:sz w:val="3"/>
                <w:szCs w:val="3"/>
                <w:color w:val="auto"/>
              </w:rPr>
            </w:pPr>
          </w:p>
        </w:tc>
        <w:tc>
          <w:tcPr>
            <w:tcW w:w="800" w:type="dxa"/>
            <w:vAlign w:val="bottom"/>
            <w:shd w:val="clear" w:color="auto" w:fill="1D2758"/>
          </w:tcPr>
          <w:p>
            <w:pPr>
              <w:spacing w:after="0"/>
              <w:rPr>
                <w:sz w:val="3"/>
                <w:szCs w:val="3"/>
                <w:color w:val="auto"/>
              </w:rPr>
            </w:pPr>
          </w:p>
        </w:tc>
        <w:tc>
          <w:tcPr>
            <w:tcW w:w="940" w:type="dxa"/>
            <w:vAlign w:val="bottom"/>
            <w:vMerge w:val="restart"/>
            <w:shd w:val="clear" w:color="auto" w:fill="1D2758"/>
          </w:tcPr>
          <w:p>
            <w:pPr>
              <w:jc w:val="right"/>
              <w:ind w:right="394"/>
              <w:spacing w:after="0"/>
              <w:rPr>
                <w:sz w:val="20"/>
                <w:szCs w:val="20"/>
                <w:color w:val="auto"/>
              </w:rPr>
            </w:pPr>
            <w:r>
              <w:rPr>
                <w:rFonts w:ascii="Arial" w:cs="Arial" w:eastAsia="Arial" w:hAnsi="Arial"/>
                <w:sz w:val="13"/>
                <w:szCs w:val="13"/>
                <w:b w:val="1"/>
                <w:bCs w:val="1"/>
                <w:color w:val="FFFFFF"/>
              </w:rPr>
              <w:t>2019</w:t>
            </w:r>
          </w:p>
        </w:tc>
        <w:tc>
          <w:tcPr>
            <w:tcW w:w="60" w:type="dxa"/>
            <w:vAlign w:val="bottom"/>
            <w:shd w:val="clear" w:color="auto" w:fill="1D2758"/>
          </w:tcPr>
          <w:p>
            <w:pPr>
              <w:spacing w:after="0"/>
              <w:rPr>
                <w:sz w:val="3"/>
                <w:szCs w:val="3"/>
                <w:color w:val="auto"/>
              </w:rPr>
            </w:pPr>
          </w:p>
        </w:tc>
        <w:tc>
          <w:tcPr>
            <w:tcW w:w="640" w:type="dxa"/>
            <w:vAlign w:val="bottom"/>
            <w:shd w:val="clear" w:color="auto" w:fill="1D2758"/>
          </w:tcPr>
          <w:p>
            <w:pPr>
              <w:spacing w:after="0"/>
              <w:rPr>
                <w:sz w:val="3"/>
                <w:szCs w:val="3"/>
                <w:color w:val="auto"/>
              </w:rPr>
            </w:pPr>
          </w:p>
        </w:tc>
        <w:tc>
          <w:tcPr>
            <w:tcW w:w="1220" w:type="dxa"/>
            <w:vAlign w:val="bottom"/>
            <w:gridSpan w:val="2"/>
            <w:vMerge w:val="continue"/>
            <w:shd w:val="clear" w:color="auto" w:fill="1D2758"/>
          </w:tcPr>
          <w:p>
            <w:pPr>
              <w:spacing w:after="0"/>
              <w:rPr>
                <w:sz w:val="3"/>
                <w:szCs w:val="3"/>
                <w:color w:val="auto"/>
              </w:rPr>
            </w:pPr>
          </w:p>
        </w:tc>
        <w:tc>
          <w:tcPr>
            <w:tcW w:w="620" w:type="dxa"/>
            <w:vAlign w:val="bottom"/>
            <w:shd w:val="clear" w:color="auto" w:fill="1D2758"/>
          </w:tcPr>
          <w:p>
            <w:pPr>
              <w:spacing w:after="0"/>
              <w:rPr>
                <w:sz w:val="3"/>
                <w:szCs w:val="3"/>
                <w:color w:val="auto"/>
              </w:rPr>
            </w:pPr>
          </w:p>
        </w:tc>
        <w:tc>
          <w:tcPr>
            <w:tcW w:w="720" w:type="dxa"/>
            <w:vAlign w:val="bottom"/>
            <w:vMerge w:val="continue"/>
            <w:shd w:val="clear" w:color="auto" w:fill="1D2758"/>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2040" w:type="dxa"/>
            <w:vAlign w:val="bottom"/>
            <w:shd w:val="clear" w:color="auto" w:fill="1D2758"/>
          </w:tcPr>
          <w:p>
            <w:pPr>
              <w:spacing w:after="0"/>
              <w:rPr>
                <w:sz w:val="15"/>
                <w:szCs w:val="15"/>
                <w:color w:val="auto"/>
              </w:rPr>
            </w:pPr>
          </w:p>
        </w:tc>
        <w:tc>
          <w:tcPr>
            <w:tcW w:w="820" w:type="dxa"/>
            <w:vAlign w:val="bottom"/>
            <w:shd w:val="clear" w:color="auto" w:fill="1D2758"/>
          </w:tcPr>
          <w:p>
            <w:pPr>
              <w:spacing w:after="0"/>
              <w:rPr>
                <w:sz w:val="15"/>
                <w:szCs w:val="15"/>
                <w:color w:val="auto"/>
              </w:rPr>
            </w:pPr>
          </w:p>
        </w:tc>
        <w:tc>
          <w:tcPr>
            <w:tcW w:w="1000" w:type="dxa"/>
            <w:vAlign w:val="bottom"/>
            <w:vMerge w:val="continue"/>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420" w:type="dxa"/>
            <w:vAlign w:val="bottom"/>
            <w:shd w:val="clear" w:color="auto" w:fill="1D2758"/>
          </w:tcPr>
          <w:p>
            <w:pPr>
              <w:spacing w:after="0"/>
              <w:rPr>
                <w:sz w:val="15"/>
                <w:szCs w:val="15"/>
                <w:color w:val="auto"/>
              </w:rPr>
            </w:pPr>
          </w:p>
        </w:tc>
        <w:tc>
          <w:tcPr>
            <w:tcW w:w="400" w:type="dxa"/>
            <w:vAlign w:val="bottom"/>
            <w:shd w:val="clear" w:color="auto" w:fill="1D2758"/>
          </w:tcPr>
          <w:p>
            <w:pPr>
              <w:spacing w:after="0"/>
              <w:rPr>
                <w:sz w:val="15"/>
                <w:szCs w:val="15"/>
                <w:color w:val="auto"/>
              </w:rPr>
            </w:pPr>
          </w:p>
        </w:tc>
        <w:tc>
          <w:tcPr>
            <w:tcW w:w="980" w:type="dxa"/>
            <w:vAlign w:val="bottom"/>
            <w:vMerge w:val="continue"/>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800" w:type="dxa"/>
            <w:vAlign w:val="bottom"/>
            <w:shd w:val="clear" w:color="auto" w:fill="1D2758"/>
          </w:tcPr>
          <w:p>
            <w:pPr>
              <w:spacing w:after="0"/>
              <w:rPr>
                <w:sz w:val="15"/>
                <w:szCs w:val="15"/>
                <w:color w:val="auto"/>
              </w:rPr>
            </w:pPr>
          </w:p>
        </w:tc>
        <w:tc>
          <w:tcPr>
            <w:tcW w:w="940" w:type="dxa"/>
            <w:vAlign w:val="bottom"/>
            <w:vMerge w:val="continue"/>
            <w:shd w:val="clear" w:color="auto" w:fill="1D2758"/>
          </w:tcPr>
          <w:p>
            <w:pPr>
              <w:spacing w:after="0"/>
              <w:rPr>
                <w:sz w:val="15"/>
                <w:szCs w:val="15"/>
                <w:color w:val="auto"/>
              </w:rPr>
            </w:pPr>
          </w:p>
        </w:tc>
        <w:tc>
          <w:tcPr>
            <w:tcW w:w="60" w:type="dxa"/>
            <w:vAlign w:val="bottom"/>
            <w:shd w:val="clear" w:color="auto" w:fill="1D2758"/>
          </w:tcPr>
          <w:p>
            <w:pPr>
              <w:spacing w:after="0"/>
              <w:rPr>
                <w:sz w:val="15"/>
                <w:szCs w:val="15"/>
                <w:color w:val="auto"/>
              </w:rPr>
            </w:pPr>
          </w:p>
        </w:tc>
        <w:tc>
          <w:tcPr>
            <w:tcW w:w="640" w:type="dxa"/>
            <w:vAlign w:val="bottom"/>
            <w:shd w:val="clear" w:color="auto" w:fill="1D2758"/>
          </w:tcPr>
          <w:p>
            <w:pPr>
              <w:spacing w:after="0"/>
              <w:rPr>
                <w:sz w:val="15"/>
                <w:szCs w:val="15"/>
                <w:color w:val="auto"/>
              </w:rPr>
            </w:pPr>
          </w:p>
        </w:tc>
        <w:tc>
          <w:tcPr>
            <w:tcW w:w="1220" w:type="dxa"/>
            <w:vAlign w:val="bottom"/>
            <w:gridSpan w:val="2"/>
            <w:shd w:val="clear" w:color="auto" w:fill="1D2758"/>
          </w:tcPr>
          <w:p>
            <w:pPr>
              <w:ind w:left="20"/>
              <w:spacing w:after="0"/>
              <w:rPr>
                <w:sz w:val="20"/>
                <w:szCs w:val="20"/>
                <w:color w:val="auto"/>
              </w:rPr>
            </w:pPr>
            <w:r>
              <w:rPr>
                <w:rFonts w:ascii="Arial" w:cs="Arial" w:eastAsia="Arial" w:hAnsi="Arial"/>
                <w:sz w:val="13"/>
                <w:szCs w:val="13"/>
                <w:b w:val="1"/>
                <w:bCs w:val="1"/>
                <w:color w:val="FFFFFF"/>
              </w:rPr>
              <w:t>Change</w:t>
            </w:r>
          </w:p>
        </w:tc>
        <w:tc>
          <w:tcPr>
            <w:tcW w:w="620" w:type="dxa"/>
            <w:vAlign w:val="bottom"/>
            <w:shd w:val="clear" w:color="auto" w:fill="1D2758"/>
          </w:tcPr>
          <w:p>
            <w:pPr>
              <w:spacing w:after="0"/>
              <w:rPr>
                <w:sz w:val="15"/>
                <w:szCs w:val="15"/>
                <w:color w:val="auto"/>
              </w:rPr>
            </w:pPr>
          </w:p>
        </w:tc>
        <w:tc>
          <w:tcPr>
            <w:tcW w:w="720" w:type="dxa"/>
            <w:vAlign w:val="bottom"/>
            <w:shd w:val="clear" w:color="auto" w:fill="1D2758"/>
          </w:tcPr>
          <w:p>
            <w:pPr>
              <w:jc w:val="right"/>
              <w:ind w:right="154"/>
              <w:spacing w:after="0"/>
              <w:rPr>
                <w:sz w:val="20"/>
                <w:szCs w:val="20"/>
                <w:color w:val="auto"/>
              </w:rPr>
            </w:pPr>
            <w:r>
              <w:rPr>
                <w:rFonts w:ascii="Arial" w:cs="Arial" w:eastAsia="Arial" w:hAnsi="Arial"/>
                <w:sz w:val="13"/>
                <w:szCs w:val="13"/>
                <w:b w:val="1"/>
                <w:bCs w:val="1"/>
                <w:color w:val="FFFFFF"/>
              </w:rPr>
              <w:t>Change</w:t>
            </w:r>
          </w:p>
        </w:tc>
        <w:tc>
          <w:tcPr>
            <w:tcW w:w="0" w:type="dxa"/>
            <w:vAlign w:val="bottom"/>
          </w:tcPr>
          <w:p>
            <w:pPr>
              <w:spacing w:after="0"/>
              <w:rPr>
                <w:sz w:val="1"/>
                <w:szCs w:val="1"/>
                <w:color w:val="auto"/>
              </w:rPr>
            </w:pPr>
          </w:p>
        </w:tc>
      </w:tr>
      <w:tr>
        <w:trPr>
          <w:trHeight w:val="175"/>
        </w:trPr>
        <w:tc>
          <w:tcPr>
            <w:tcW w:w="2040" w:type="dxa"/>
            <w:vAlign w:val="bottom"/>
            <w:shd w:val="clear" w:color="auto" w:fill="DBDBDB"/>
          </w:tcPr>
          <w:p>
            <w:pPr>
              <w:ind w:left="540"/>
              <w:spacing w:after="0"/>
              <w:rPr>
                <w:sz w:val="20"/>
                <w:szCs w:val="20"/>
                <w:color w:val="auto"/>
              </w:rPr>
            </w:pPr>
            <w:r>
              <w:rPr>
                <w:rFonts w:ascii="Arial" w:cs="Arial" w:eastAsia="Arial" w:hAnsi="Arial"/>
                <w:sz w:val="13"/>
                <w:szCs w:val="13"/>
                <w:color w:val="auto"/>
              </w:rPr>
              <w:t>Revenues:</w:t>
            </w:r>
          </w:p>
        </w:tc>
        <w:tc>
          <w:tcPr>
            <w:tcW w:w="82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c>
          <w:tcPr>
            <w:tcW w:w="940" w:type="dxa"/>
            <w:vAlign w:val="bottom"/>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64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620" w:type="dxa"/>
            <w:vAlign w:val="bottom"/>
            <w:shd w:val="clear" w:color="auto" w:fill="DBDBDB"/>
          </w:tcPr>
          <w:p>
            <w:pPr>
              <w:spacing w:after="0"/>
              <w:rPr>
                <w:sz w:val="15"/>
                <w:szCs w:val="15"/>
                <w:color w:val="auto"/>
              </w:rPr>
            </w:pPr>
          </w:p>
        </w:tc>
        <w:tc>
          <w:tcPr>
            <w:tcW w:w="7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40" w:type="dxa"/>
            <w:vAlign w:val="bottom"/>
          </w:tcPr>
          <w:p>
            <w:pPr>
              <w:ind w:left="700"/>
              <w:spacing w:after="0" w:line="144" w:lineRule="exact"/>
              <w:rPr>
                <w:sz w:val="20"/>
                <w:szCs w:val="20"/>
                <w:color w:val="auto"/>
              </w:rPr>
            </w:pPr>
            <w:r>
              <w:rPr>
                <w:rFonts w:ascii="Arial" w:cs="Arial" w:eastAsia="Arial" w:hAnsi="Arial"/>
                <w:sz w:val="13"/>
                <w:szCs w:val="13"/>
                <w:color w:val="auto"/>
              </w:rPr>
              <w:t>Leasing and services</w:t>
            </w:r>
          </w:p>
        </w:tc>
        <w:tc>
          <w:tcPr>
            <w:tcW w:w="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40" w:type="dxa"/>
            <w:vAlign w:val="bottom"/>
          </w:tcPr>
          <w:p>
            <w:pPr>
              <w:ind w:left="180"/>
              <w:spacing w:after="0"/>
              <w:rPr>
                <w:sz w:val="20"/>
                <w:szCs w:val="20"/>
                <w:color w:val="auto"/>
              </w:rPr>
            </w:pPr>
            <w:r>
              <w:rPr>
                <w:rFonts w:ascii="Arial" w:cs="Arial" w:eastAsia="Arial" w:hAnsi="Arial"/>
                <w:sz w:val="13"/>
                <w:szCs w:val="13"/>
                <w:color w:val="auto"/>
              </w:rPr>
              <w:t>revenue:</w:t>
            </w: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40" w:type="dxa"/>
            <w:vAlign w:val="bottom"/>
            <w:shd w:val="clear" w:color="auto" w:fill="DBDBDB"/>
          </w:tcPr>
          <w:p>
            <w:pPr>
              <w:ind w:left="880"/>
              <w:spacing w:after="0"/>
              <w:rPr>
                <w:sz w:val="20"/>
                <w:szCs w:val="20"/>
                <w:color w:val="auto"/>
              </w:rPr>
            </w:pPr>
            <w:r>
              <w:rPr>
                <w:rFonts w:ascii="Arial" w:cs="Arial" w:eastAsia="Arial" w:hAnsi="Arial"/>
                <w:sz w:val="13"/>
                <w:szCs w:val="13"/>
                <w:color w:val="auto"/>
              </w:rPr>
              <w:t>Leasing</w:t>
            </w:r>
          </w:p>
        </w:tc>
        <w:tc>
          <w:tcPr>
            <w:tcW w:w="820" w:type="dxa"/>
            <w:vAlign w:val="bottom"/>
            <w:shd w:val="clear" w:color="auto" w:fill="DBDBDB"/>
          </w:tcPr>
          <w:p>
            <w:pPr>
              <w:ind w:left="540"/>
              <w:spacing w:after="0"/>
              <w:rPr>
                <w:sz w:val="20"/>
                <w:szCs w:val="20"/>
                <w:color w:val="auto"/>
              </w:rPr>
            </w:pPr>
            <w:r>
              <w:rPr>
                <w:rFonts w:ascii="Arial" w:cs="Arial" w:eastAsia="Arial" w:hAnsi="Arial"/>
                <w:sz w:val="13"/>
                <w:szCs w:val="13"/>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1,412,123</w:t>
            </w:r>
          </w:p>
        </w:tc>
        <w:tc>
          <w:tcPr>
            <w:tcW w:w="8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40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1,001,447</w:t>
            </w:r>
          </w:p>
        </w:tc>
        <w:tc>
          <w:tcPr>
            <w:tcW w:w="80" w:type="dxa"/>
            <w:vAlign w:val="bottom"/>
            <w:shd w:val="clear" w:color="auto" w:fill="DBDBDB"/>
          </w:tcPr>
          <w:p>
            <w:pPr>
              <w:spacing w:after="0"/>
              <w:rPr>
                <w:sz w:val="15"/>
                <w:szCs w:val="15"/>
                <w:color w:val="auto"/>
              </w:rPr>
            </w:pPr>
          </w:p>
        </w:tc>
        <w:tc>
          <w:tcPr>
            <w:tcW w:w="800" w:type="dxa"/>
            <w:vAlign w:val="bottom"/>
            <w:shd w:val="clear" w:color="auto" w:fill="DBDBDB"/>
          </w:tcPr>
          <w:p>
            <w:pPr>
              <w:jc w:val="right"/>
              <w:ind w:right="114"/>
              <w:spacing w:after="0"/>
              <w:rPr>
                <w:sz w:val="20"/>
                <w:szCs w:val="20"/>
                <w:color w:val="auto"/>
              </w:rPr>
            </w:pPr>
            <w:r>
              <w:rPr>
                <w:rFonts w:ascii="Arial" w:cs="Arial" w:eastAsia="Arial" w:hAnsi="Arial"/>
                <w:sz w:val="13"/>
                <w:szCs w:val="13"/>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744,185</w:t>
            </w:r>
          </w:p>
        </w:tc>
        <w:tc>
          <w:tcPr>
            <w:tcW w:w="60" w:type="dxa"/>
            <w:vAlign w:val="bottom"/>
            <w:shd w:val="clear" w:color="auto" w:fill="DBDBDB"/>
          </w:tcPr>
          <w:p>
            <w:pPr>
              <w:spacing w:after="0"/>
              <w:rPr>
                <w:sz w:val="15"/>
                <w:szCs w:val="15"/>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410,676</w:t>
            </w:r>
          </w:p>
        </w:tc>
        <w:tc>
          <w:tcPr>
            <w:tcW w:w="80" w:type="dxa"/>
            <w:vAlign w:val="bottom"/>
            <w:shd w:val="clear" w:color="auto" w:fill="DBDBDB"/>
          </w:tcPr>
          <w:p>
            <w:pPr>
              <w:spacing w:after="0"/>
              <w:rPr>
                <w:sz w:val="15"/>
                <w:szCs w:val="15"/>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44"/>
        </w:trPr>
        <w:tc>
          <w:tcPr>
            <w:tcW w:w="2040" w:type="dxa"/>
            <w:vAlign w:val="bottom"/>
          </w:tcPr>
          <w:p>
            <w:pPr>
              <w:ind w:left="880"/>
              <w:spacing w:after="0" w:line="144" w:lineRule="exact"/>
              <w:rPr>
                <w:sz w:val="20"/>
                <w:szCs w:val="20"/>
                <w:color w:val="auto"/>
              </w:rPr>
            </w:pPr>
            <w:r>
              <w:rPr>
                <w:rFonts w:ascii="Arial" w:cs="Arial" w:eastAsia="Arial" w:hAnsi="Arial"/>
                <w:sz w:val="13"/>
                <w:szCs w:val="13"/>
                <w:color w:val="auto"/>
              </w:rPr>
              <w:t>Delivery and</w:t>
            </w:r>
          </w:p>
        </w:tc>
        <w:tc>
          <w:tcPr>
            <w:tcW w:w="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40" w:type="dxa"/>
            <w:vAlign w:val="bottom"/>
          </w:tcPr>
          <w:p>
            <w:pPr>
              <w:ind w:left="360"/>
              <w:spacing w:after="0"/>
              <w:rPr>
                <w:sz w:val="20"/>
                <w:szCs w:val="20"/>
                <w:color w:val="auto"/>
              </w:rPr>
            </w:pPr>
            <w:r>
              <w:rPr>
                <w:rFonts w:ascii="Arial" w:cs="Arial" w:eastAsia="Arial" w:hAnsi="Arial"/>
                <w:sz w:val="13"/>
                <w:szCs w:val="13"/>
                <w:color w:val="auto"/>
              </w:rPr>
              <w:t>installation</w:t>
            </w:r>
          </w:p>
        </w:tc>
        <w:tc>
          <w:tcPr>
            <w:tcW w:w="8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374,682</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274,156</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220,057</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100,526</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40" w:type="dxa"/>
            <w:vAlign w:val="bottom"/>
            <w:shd w:val="clear" w:color="auto" w:fill="DBDBDB"/>
          </w:tcPr>
          <w:p>
            <w:pPr>
              <w:ind w:left="700"/>
              <w:spacing w:after="0"/>
              <w:rPr>
                <w:sz w:val="20"/>
                <w:szCs w:val="20"/>
                <w:color w:val="auto"/>
              </w:rPr>
            </w:pPr>
            <w:r>
              <w:rPr>
                <w:rFonts w:ascii="Arial" w:cs="Arial" w:eastAsia="Arial" w:hAnsi="Arial"/>
                <w:sz w:val="13"/>
                <w:szCs w:val="13"/>
                <w:color w:val="auto"/>
              </w:rPr>
              <w:t>Sales revenue:</w:t>
            </w:r>
          </w:p>
        </w:tc>
        <w:tc>
          <w:tcPr>
            <w:tcW w:w="82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c>
          <w:tcPr>
            <w:tcW w:w="940" w:type="dxa"/>
            <w:vAlign w:val="bottom"/>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64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620" w:type="dxa"/>
            <w:vAlign w:val="bottom"/>
            <w:shd w:val="clear" w:color="auto" w:fill="DBDBDB"/>
          </w:tcPr>
          <w:p>
            <w:pPr>
              <w:spacing w:after="0"/>
              <w:rPr>
                <w:sz w:val="15"/>
                <w:szCs w:val="15"/>
                <w:color w:val="auto"/>
              </w:rPr>
            </w:pPr>
          </w:p>
        </w:tc>
        <w:tc>
          <w:tcPr>
            <w:tcW w:w="7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40" w:type="dxa"/>
            <w:vAlign w:val="bottom"/>
          </w:tcPr>
          <w:p>
            <w:pPr>
              <w:ind w:left="880"/>
              <w:spacing w:after="0"/>
              <w:rPr>
                <w:sz w:val="20"/>
                <w:szCs w:val="20"/>
                <w:color w:val="auto"/>
              </w:rPr>
            </w:pPr>
            <w:r>
              <w:rPr>
                <w:rFonts w:ascii="Arial" w:cs="Arial" w:eastAsia="Arial" w:hAnsi="Arial"/>
                <w:sz w:val="13"/>
                <w:szCs w:val="13"/>
                <w:color w:val="auto"/>
              </w:rPr>
              <w:t>New units</w:t>
            </w:r>
          </w:p>
        </w:tc>
        <w:tc>
          <w:tcPr>
            <w:tcW w:w="8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52,882</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53,093</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59,085</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(211)</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40" w:type="dxa"/>
            <w:vAlign w:val="bottom"/>
            <w:shd w:val="clear" w:color="auto" w:fill="DBDBDB"/>
          </w:tcPr>
          <w:p>
            <w:pPr>
              <w:ind w:left="880"/>
              <w:spacing w:after="0"/>
              <w:rPr>
                <w:sz w:val="20"/>
                <w:szCs w:val="20"/>
                <w:color w:val="auto"/>
              </w:rPr>
            </w:pPr>
            <w:r>
              <w:rPr>
                <w:rFonts w:ascii="Arial" w:cs="Arial" w:eastAsia="Arial" w:hAnsi="Arial"/>
                <w:sz w:val="13"/>
                <w:szCs w:val="13"/>
                <w:color w:val="auto"/>
              </w:rPr>
              <w:t>Rental units</w:t>
            </w:r>
          </w:p>
        </w:tc>
        <w:tc>
          <w:tcPr>
            <w:tcW w:w="820" w:type="dxa"/>
            <w:vAlign w:val="bottom"/>
            <w:tcBorders>
              <w:bottom w:val="single" w:sz="8" w:color="auto"/>
            </w:tcBorders>
            <w:shd w:val="clear" w:color="auto" w:fill="DBDBDB"/>
          </w:tcPr>
          <w:p>
            <w:pPr>
              <w:spacing w:after="0"/>
              <w:rPr>
                <w:sz w:val="15"/>
                <w:szCs w:val="15"/>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55,210</w:t>
            </w:r>
          </w:p>
        </w:tc>
        <w:tc>
          <w:tcPr>
            <w:tcW w:w="80" w:type="dxa"/>
            <w:vAlign w:val="bottom"/>
            <w:shd w:val="clear" w:color="auto" w:fill="DBDBDB"/>
          </w:tcPr>
          <w:p>
            <w:pPr>
              <w:spacing w:after="0"/>
              <w:rPr>
                <w:sz w:val="15"/>
                <w:szCs w:val="15"/>
                <w:color w:val="auto"/>
              </w:rPr>
            </w:pPr>
          </w:p>
        </w:tc>
        <w:tc>
          <w:tcPr>
            <w:tcW w:w="420" w:type="dxa"/>
            <w:vAlign w:val="bottom"/>
            <w:tcBorders>
              <w:bottom w:val="single" w:sz="8" w:color="auto"/>
            </w:tcBorders>
            <w:shd w:val="clear" w:color="auto" w:fill="DBDBDB"/>
          </w:tcPr>
          <w:p>
            <w:pPr>
              <w:spacing w:after="0"/>
              <w:rPr>
                <w:sz w:val="15"/>
                <w:szCs w:val="15"/>
                <w:color w:val="auto"/>
              </w:rPr>
            </w:pPr>
          </w:p>
        </w:tc>
        <w:tc>
          <w:tcPr>
            <w:tcW w:w="40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38,949</w:t>
            </w:r>
          </w:p>
        </w:tc>
        <w:tc>
          <w:tcPr>
            <w:tcW w:w="80" w:type="dxa"/>
            <w:vAlign w:val="bottom"/>
            <w:shd w:val="clear" w:color="auto" w:fill="DBDBDB"/>
          </w:tcPr>
          <w:p>
            <w:pPr>
              <w:spacing w:after="0"/>
              <w:rPr>
                <w:sz w:val="15"/>
                <w:szCs w:val="15"/>
                <w:color w:val="auto"/>
              </w:rPr>
            </w:pPr>
          </w:p>
        </w:tc>
        <w:tc>
          <w:tcPr>
            <w:tcW w:w="800" w:type="dxa"/>
            <w:vAlign w:val="bottom"/>
            <w:tcBorders>
              <w:bottom w:val="single" w:sz="8" w:color="auto"/>
            </w:tcBorders>
            <w:shd w:val="clear" w:color="auto" w:fill="DBDBDB"/>
          </w:tcPr>
          <w:p>
            <w:pPr>
              <w:spacing w:after="0"/>
              <w:rPr>
                <w:sz w:val="15"/>
                <w:szCs w:val="15"/>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40,338</w:t>
            </w:r>
          </w:p>
        </w:tc>
        <w:tc>
          <w:tcPr>
            <w:tcW w:w="60" w:type="dxa"/>
            <w:vAlign w:val="bottom"/>
            <w:shd w:val="clear" w:color="auto" w:fill="DBDBDB"/>
          </w:tcPr>
          <w:p>
            <w:pPr>
              <w:spacing w:after="0"/>
              <w:rPr>
                <w:sz w:val="15"/>
                <w:szCs w:val="15"/>
                <w:color w:val="auto"/>
              </w:rPr>
            </w:pPr>
          </w:p>
        </w:tc>
        <w:tc>
          <w:tcPr>
            <w:tcW w:w="640" w:type="dxa"/>
            <w:vAlign w:val="bottom"/>
            <w:tcBorders>
              <w:bottom w:val="single" w:sz="8" w:color="auto"/>
            </w:tcBorders>
            <w:shd w:val="clear" w:color="auto" w:fill="DBDBDB"/>
          </w:tcPr>
          <w:p>
            <w:pPr>
              <w:spacing w:after="0"/>
              <w:rPr>
                <w:sz w:val="15"/>
                <w:szCs w:val="15"/>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16,261</w:t>
            </w:r>
          </w:p>
        </w:tc>
        <w:tc>
          <w:tcPr>
            <w:tcW w:w="80" w:type="dxa"/>
            <w:vAlign w:val="bottom"/>
            <w:shd w:val="clear" w:color="auto" w:fill="DBDBDB"/>
          </w:tcPr>
          <w:p>
            <w:pPr>
              <w:spacing w:after="0"/>
              <w:rPr>
                <w:sz w:val="15"/>
                <w:szCs w:val="15"/>
                <w:color w:val="auto"/>
              </w:rPr>
            </w:pPr>
          </w:p>
        </w:tc>
        <w:tc>
          <w:tcPr>
            <w:tcW w:w="620" w:type="dxa"/>
            <w:vAlign w:val="bottom"/>
            <w:tcBorders>
              <w:bottom w:val="single" w:sz="8" w:color="auto"/>
            </w:tcBorders>
            <w:shd w:val="clear" w:color="auto" w:fill="DBDBDB"/>
          </w:tcPr>
          <w:p>
            <w:pPr>
              <w:spacing w:after="0"/>
              <w:rPr>
                <w:sz w:val="15"/>
                <w:szCs w:val="15"/>
                <w:color w:val="auto"/>
              </w:rPr>
            </w:pPr>
          </w:p>
        </w:tc>
        <w:tc>
          <w:tcPr>
            <w:tcW w:w="720" w:type="dxa"/>
            <w:vAlign w:val="bottom"/>
            <w:tcBorders>
              <w:bottom w:val="single" w:sz="8" w:color="auto"/>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40" w:type="dxa"/>
            <w:vAlign w:val="bottom"/>
          </w:tcPr>
          <w:p>
            <w:pPr>
              <w:ind w:left="1060"/>
              <w:spacing w:after="0"/>
              <w:rPr>
                <w:sz w:val="20"/>
                <w:szCs w:val="20"/>
                <w:color w:val="auto"/>
              </w:rPr>
            </w:pPr>
            <w:r>
              <w:rPr>
                <w:rFonts w:ascii="Arial" w:cs="Arial" w:eastAsia="Arial" w:hAnsi="Arial"/>
                <w:sz w:val="13"/>
                <w:szCs w:val="13"/>
                <w:color w:val="auto"/>
              </w:rPr>
              <w:t>Total revenues</w:t>
            </w:r>
          </w:p>
        </w:tc>
        <w:tc>
          <w:tcPr>
            <w:tcW w:w="8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1,894,897</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1,367,645</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1,063,665</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527,252</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78"/>
        </w:trPr>
        <w:tc>
          <w:tcPr>
            <w:tcW w:w="2040" w:type="dxa"/>
            <w:vAlign w:val="bottom"/>
            <w:shd w:val="clear" w:color="auto" w:fill="DBDBDB"/>
          </w:tcPr>
          <w:p>
            <w:pPr>
              <w:ind w:left="540"/>
              <w:spacing w:after="0"/>
              <w:rPr>
                <w:sz w:val="20"/>
                <w:szCs w:val="20"/>
                <w:color w:val="auto"/>
              </w:rPr>
            </w:pPr>
            <w:r>
              <w:rPr>
                <w:rFonts w:ascii="Arial" w:cs="Arial" w:eastAsia="Arial" w:hAnsi="Arial"/>
                <w:sz w:val="13"/>
                <w:szCs w:val="13"/>
                <w:color w:val="auto"/>
              </w:rPr>
              <w:t>Costs:</w:t>
            </w:r>
          </w:p>
        </w:tc>
        <w:tc>
          <w:tcPr>
            <w:tcW w:w="82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c>
          <w:tcPr>
            <w:tcW w:w="940" w:type="dxa"/>
            <w:vAlign w:val="bottom"/>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64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620" w:type="dxa"/>
            <w:vAlign w:val="bottom"/>
            <w:shd w:val="clear" w:color="auto" w:fill="DBDBDB"/>
          </w:tcPr>
          <w:p>
            <w:pPr>
              <w:spacing w:after="0"/>
              <w:rPr>
                <w:sz w:val="15"/>
                <w:szCs w:val="15"/>
                <w:color w:val="auto"/>
              </w:rPr>
            </w:pPr>
          </w:p>
        </w:tc>
        <w:tc>
          <w:tcPr>
            <w:tcW w:w="7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40" w:type="dxa"/>
            <w:vAlign w:val="bottom"/>
          </w:tcPr>
          <w:p>
            <w:pPr>
              <w:ind w:left="700"/>
              <w:spacing w:after="0" w:line="144" w:lineRule="exact"/>
              <w:rPr>
                <w:sz w:val="20"/>
                <w:szCs w:val="20"/>
                <w:color w:val="auto"/>
              </w:rPr>
            </w:pPr>
            <w:r>
              <w:rPr>
                <w:rFonts w:ascii="Arial" w:cs="Arial" w:eastAsia="Arial" w:hAnsi="Arial"/>
                <w:sz w:val="13"/>
                <w:szCs w:val="13"/>
                <w:color w:val="auto"/>
              </w:rPr>
              <w:t>Costs of leasing and</w:t>
            </w:r>
          </w:p>
        </w:tc>
        <w:tc>
          <w:tcPr>
            <w:tcW w:w="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40" w:type="dxa"/>
            <w:vAlign w:val="bottom"/>
          </w:tcPr>
          <w:p>
            <w:pPr>
              <w:ind w:left="180"/>
              <w:spacing w:after="0"/>
              <w:rPr>
                <w:sz w:val="20"/>
                <w:szCs w:val="20"/>
                <w:color w:val="auto"/>
              </w:rPr>
            </w:pPr>
            <w:r>
              <w:rPr>
                <w:rFonts w:ascii="Arial" w:cs="Arial" w:eastAsia="Arial" w:hAnsi="Arial"/>
                <w:sz w:val="13"/>
                <w:szCs w:val="13"/>
                <w:color w:val="auto"/>
              </w:rPr>
              <w:t>services:</w:t>
            </w: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40" w:type="dxa"/>
            <w:vAlign w:val="bottom"/>
            <w:shd w:val="clear" w:color="auto" w:fill="DBDBDB"/>
          </w:tcPr>
          <w:p>
            <w:pPr>
              <w:ind w:left="880"/>
              <w:spacing w:after="0"/>
              <w:rPr>
                <w:sz w:val="20"/>
                <w:szCs w:val="20"/>
                <w:color w:val="auto"/>
              </w:rPr>
            </w:pPr>
            <w:r>
              <w:rPr>
                <w:rFonts w:ascii="Arial" w:cs="Arial" w:eastAsia="Arial" w:hAnsi="Arial"/>
                <w:sz w:val="13"/>
                <w:szCs w:val="13"/>
                <w:color w:val="auto"/>
              </w:rPr>
              <w:t>Leasing</w:t>
            </w:r>
          </w:p>
        </w:tc>
        <w:tc>
          <w:tcPr>
            <w:tcW w:w="820" w:type="dxa"/>
            <w:vAlign w:val="bottom"/>
            <w:shd w:val="clear" w:color="auto" w:fill="DBDBDB"/>
          </w:tcPr>
          <w:p>
            <w:pPr>
              <w:spacing w:after="0"/>
              <w:rPr>
                <w:sz w:val="15"/>
                <w:szCs w:val="15"/>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317,061</w:t>
            </w:r>
          </w:p>
        </w:tc>
        <w:tc>
          <w:tcPr>
            <w:tcW w:w="8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227,376</w:t>
            </w:r>
          </w:p>
        </w:tc>
        <w:tc>
          <w:tcPr>
            <w:tcW w:w="8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213,151</w:t>
            </w:r>
          </w:p>
        </w:tc>
        <w:tc>
          <w:tcPr>
            <w:tcW w:w="60" w:type="dxa"/>
            <w:vAlign w:val="bottom"/>
            <w:shd w:val="clear" w:color="auto" w:fill="DBDBDB"/>
          </w:tcPr>
          <w:p>
            <w:pPr>
              <w:spacing w:after="0"/>
              <w:rPr>
                <w:sz w:val="15"/>
                <w:szCs w:val="15"/>
                <w:color w:val="auto"/>
              </w:rPr>
            </w:pPr>
          </w:p>
        </w:tc>
        <w:tc>
          <w:tcPr>
            <w:tcW w:w="640" w:type="dxa"/>
            <w:vAlign w:val="bottom"/>
            <w:shd w:val="clear" w:color="auto" w:fill="DBDBDB"/>
          </w:tcPr>
          <w:p>
            <w:pPr>
              <w:spacing w:after="0"/>
              <w:rPr>
                <w:sz w:val="15"/>
                <w:szCs w:val="15"/>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89,685</w:t>
            </w:r>
          </w:p>
        </w:tc>
        <w:tc>
          <w:tcPr>
            <w:tcW w:w="80" w:type="dxa"/>
            <w:vAlign w:val="bottom"/>
            <w:shd w:val="clear" w:color="auto" w:fill="DBDBDB"/>
          </w:tcPr>
          <w:p>
            <w:pPr>
              <w:spacing w:after="0"/>
              <w:rPr>
                <w:sz w:val="15"/>
                <w:szCs w:val="15"/>
                <w:color w:val="auto"/>
              </w:rPr>
            </w:pPr>
          </w:p>
        </w:tc>
        <w:tc>
          <w:tcPr>
            <w:tcW w:w="620" w:type="dxa"/>
            <w:vAlign w:val="bottom"/>
            <w:shd w:val="clear" w:color="auto" w:fill="DBDBDB"/>
          </w:tcPr>
          <w:p>
            <w:pPr>
              <w:spacing w:after="0"/>
              <w:rPr>
                <w:sz w:val="15"/>
                <w:szCs w:val="15"/>
                <w:color w:val="auto"/>
              </w:rPr>
            </w:pPr>
          </w:p>
        </w:tc>
        <w:tc>
          <w:tcPr>
            <w:tcW w:w="7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40" w:type="dxa"/>
            <w:vAlign w:val="bottom"/>
          </w:tcPr>
          <w:p>
            <w:pPr>
              <w:ind w:left="880"/>
              <w:spacing w:after="0" w:line="144" w:lineRule="exact"/>
              <w:rPr>
                <w:sz w:val="20"/>
                <w:szCs w:val="20"/>
                <w:color w:val="auto"/>
              </w:rPr>
            </w:pPr>
            <w:r>
              <w:rPr>
                <w:rFonts w:ascii="Arial" w:cs="Arial" w:eastAsia="Arial" w:hAnsi="Arial"/>
                <w:sz w:val="13"/>
                <w:szCs w:val="13"/>
                <w:color w:val="auto"/>
              </w:rPr>
              <w:t>Delivery and</w:t>
            </w:r>
          </w:p>
        </w:tc>
        <w:tc>
          <w:tcPr>
            <w:tcW w:w="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40" w:type="dxa"/>
            <w:vAlign w:val="bottom"/>
          </w:tcPr>
          <w:p>
            <w:pPr>
              <w:ind w:left="360"/>
              <w:spacing w:after="0"/>
              <w:rPr>
                <w:sz w:val="20"/>
                <w:szCs w:val="20"/>
                <w:color w:val="auto"/>
              </w:rPr>
            </w:pPr>
            <w:r>
              <w:rPr>
                <w:rFonts w:ascii="Arial" w:cs="Arial" w:eastAsia="Arial" w:hAnsi="Arial"/>
                <w:sz w:val="13"/>
                <w:szCs w:val="13"/>
                <w:color w:val="auto"/>
              </w:rPr>
              <w:t>installation</w:t>
            </w:r>
          </w:p>
        </w:tc>
        <w:tc>
          <w:tcPr>
            <w:tcW w:w="8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306,861</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220,102</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194,107</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86,759</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40" w:type="dxa"/>
            <w:vAlign w:val="bottom"/>
            <w:shd w:val="clear" w:color="auto" w:fill="DBDBDB"/>
          </w:tcPr>
          <w:p>
            <w:pPr>
              <w:ind w:left="700"/>
              <w:spacing w:after="0"/>
              <w:rPr>
                <w:sz w:val="20"/>
                <w:szCs w:val="20"/>
                <w:color w:val="auto"/>
              </w:rPr>
            </w:pPr>
            <w:r>
              <w:rPr>
                <w:rFonts w:ascii="Arial" w:cs="Arial" w:eastAsia="Arial" w:hAnsi="Arial"/>
                <w:sz w:val="13"/>
                <w:szCs w:val="13"/>
                <w:color w:val="auto"/>
              </w:rPr>
              <w:t>Costs of sales:</w:t>
            </w:r>
          </w:p>
        </w:tc>
        <w:tc>
          <w:tcPr>
            <w:tcW w:w="82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c>
          <w:tcPr>
            <w:tcW w:w="940" w:type="dxa"/>
            <w:vAlign w:val="bottom"/>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64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620" w:type="dxa"/>
            <w:vAlign w:val="bottom"/>
            <w:shd w:val="clear" w:color="auto" w:fill="DBDBDB"/>
          </w:tcPr>
          <w:p>
            <w:pPr>
              <w:spacing w:after="0"/>
              <w:rPr>
                <w:sz w:val="15"/>
                <w:szCs w:val="15"/>
                <w:color w:val="auto"/>
              </w:rPr>
            </w:pPr>
          </w:p>
        </w:tc>
        <w:tc>
          <w:tcPr>
            <w:tcW w:w="7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40" w:type="dxa"/>
            <w:vAlign w:val="bottom"/>
          </w:tcPr>
          <w:p>
            <w:pPr>
              <w:ind w:left="880"/>
              <w:spacing w:after="0"/>
              <w:rPr>
                <w:sz w:val="20"/>
                <w:szCs w:val="20"/>
                <w:color w:val="auto"/>
              </w:rPr>
            </w:pPr>
            <w:r>
              <w:rPr>
                <w:rFonts w:ascii="Arial" w:cs="Arial" w:eastAsia="Arial" w:hAnsi="Arial"/>
                <w:sz w:val="13"/>
                <w:szCs w:val="13"/>
                <w:color w:val="auto"/>
              </w:rPr>
              <w:t>New units</w:t>
            </w:r>
          </w:p>
        </w:tc>
        <w:tc>
          <w:tcPr>
            <w:tcW w:w="8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35,377</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34,841</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42,160</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536</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40" w:type="dxa"/>
            <w:vAlign w:val="bottom"/>
            <w:shd w:val="clear" w:color="auto" w:fill="DBDBDB"/>
          </w:tcPr>
          <w:p>
            <w:pPr>
              <w:ind w:left="880"/>
              <w:spacing w:after="0"/>
              <w:rPr>
                <w:sz w:val="20"/>
                <w:szCs w:val="20"/>
                <w:color w:val="auto"/>
              </w:rPr>
            </w:pPr>
            <w:r>
              <w:rPr>
                <w:rFonts w:ascii="Arial" w:cs="Arial" w:eastAsia="Arial" w:hAnsi="Arial"/>
                <w:sz w:val="13"/>
                <w:szCs w:val="13"/>
                <w:color w:val="auto"/>
              </w:rPr>
              <w:t>Rental units</w:t>
            </w:r>
          </w:p>
        </w:tc>
        <w:tc>
          <w:tcPr>
            <w:tcW w:w="820" w:type="dxa"/>
            <w:vAlign w:val="bottom"/>
            <w:shd w:val="clear" w:color="auto" w:fill="DBDBDB"/>
          </w:tcPr>
          <w:p>
            <w:pPr>
              <w:spacing w:after="0"/>
              <w:rPr>
                <w:sz w:val="15"/>
                <w:szCs w:val="15"/>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29,853</w:t>
            </w:r>
          </w:p>
        </w:tc>
        <w:tc>
          <w:tcPr>
            <w:tcW w:w="8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24,772</w:t>
            </w:r>
          </w:p>
        </w:tc>
        <w:tc>
          <w:tcPr>
            <w:tcW w:w="8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26,255</w:t>
            </w:r>
          </w:p>
        </w:tc>
        <w:tc>
          <w:tcPr>
            <w:tcW w:w="60" w:type="dxa"/>
            <w:vAlign w:val="bottom"/>
            <w:shd w:val="clear" w:color="auto" w:fill="DBDBDB"/>
          </w:tcPr>
          <w:p>
            <w:pPr>
              <w:spacing w:after="0"/>
              <w:rPr>
                <w:sz w:val="15"/>
                <w:szCs w:val="15"/>
                <w:color w:val="auto"/>
              </w:rPr>
            </w:pPr>
          </w:p>
        </w:tc>
        <w:tc>
          <w:tcPr>
            <w:tcW w:w="640" w:type="dxa"/>
            <w:vAlign w:val="bottom"/>
            <w:shd w:val="clear" w:color="auto" w:fill="DBDBDB"/>
          </w:tcPr>
          <w:p>
            <w:pPr>
              <w:spacing w:after="0"/>
              <w:rPr>
                <w:sz w:val="15"/>
                <w:szCs w:val="15"/>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5,081</w:t>
            </w:r>
          </w:p>
        </w:tc>
        <w:tc>
          <w:tcPr>
            <w:tcW w:w="80" w:type="dxa"/>
            <w:vAlign w:val="bottom"/>
            <w:shd w:val="clear" w:color="auto" w:fill="DBDBDB"/>
          </w:tcPr>
          <w:p>
            <w:pPr>
              <w:spacing w:after="0"/>
              <w:rPr>
                <w:sz w:val="15"/>
                <w:szCs w:val="15"/>
                <w:color w:val="auto"/>
              </w:rPr>
            </w:pPr>
          </w:p>
        </w:tc>
        <w:tc>
          <w:tcPr>
            <w:tcW w:w="620" w:type="dxa"/>
            <w:vAlign w:val="bottom"/>
            <w:shd w:val="clear" w:color="auto" w:fill="DBDBDB"/>
          </w:tcPr>
          <w:p>
            <w:pPr>
              <w:spacing w:after="0"/>
              <w:rPr>
                <w:sz w:val="15"/>
                <w:szCs w:val="15"/>
                <w:color w:val="auto"/>
              </w:rPr>
            </w:pPr>
          </w:p>
        </w:tc>
        <w:tc>
          <w:tcPr>
            <w:tcW w:w="7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40" w:type="dxa"/>
            <w:vAlign w:val="bottom"/>
          </w:tcPr>
          <w:p>
            <w:pPr>
              <w:ind w:left="700"/>
              <w:spacing w:after="0" w:line="144" w:lineRule="exact"/>
              <w:rPr>
                <w:sz w:val="20"/>
                <w:szCs w:val="20"/>
                <w:color w:val="auto"/>
              </w:rPr>
            </w:pPr>
            <w:r>
              <w:rPr>
                <w:rFonts w:ascii="Arial" w:cs="Arial" w:eastAsia="Arial" w:hAnsi="Arial"/>
                <w:sz w:val="13"/>
                <w:szCs w:val="13"/>
                <w:color w:val="auto"/>
              </w:rPr>
              <w:t>Depreciation of rental</w:t>
            </w:r>
          </w:p>
        </w:tc>
        <w:tc>
          <w:tcPr>
            <w:tcW w:w="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40" w:type="dxa"/>
            <w:vAlign w:val="bottom"/>
            <w:tcBorders>
              <w:bottom w:val="single" w:sz="8" w:color="DBDBDB"/>
            </w:tcBorders>
          </w:tcPr>
          <w:p>
            <w:pPr>
              <w:ind w:left="180"/>
              <w:spacing w:after="0"/>
              <w:rPr>
                <w:sz w:val="20"/>
                <w:szCs w:val="20"/>
                <w:color w:val="auto"/>
              </w:rPr>
            </w:pPr>
            <w:r>
              <w:rPr>
                <w:rFonts w:ascii="Arial" w:cs="Arial" w:eastAsia="Arial" w:hAnsi="Arial"/>
                <w:sz w:val="13"/>
                <w:szCs w:val="13"/>
                <w:color w:val="auto"/>
              </w:rPr>
              <w:t>equipment</w:t>
            </w:r>
          </w:p>
        </w:tc>
        <w:tc>
          <w:tcPr>
            <w:tcW w:w="8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237,537</w:t>
            </w:r>
          </w:p>
        </w:tc>
        <w:tc>
          <w:tcPr>
            <w:tcW w:w="80" w:type="dxa"/>
            <w:vAlign w:val="bottom"/>
            <w:tcBorders>
              <w:bottom w:val="single" w:sz="8" w:color="DBDBDB"/>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200,581</w:t>
            </w:r>
          </w:p>
        </w:tc>
        <w:tc>
          <w:tcPr>
            <w:tcW w:w="80" w:type="dxa"/>
            <w:vAlign w:val="bottom"/>
            <w:tcBorders>
              <w:bottom w:val="single" w:sz="8" w:color="DBDBDB"/>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174,679</w:t>
            </w:r>
          </w:p>
        </w:tc>
        <w:tc>
          <w:tcPr>
            <w:tcW w:w="60" w:type="dxa"/>
            <w:vAlign w:val="bottom"/>
            <w:tcBorders>
              <w:bottom w:val="single" w:sz="8" w:color="DBDBDB"/>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36,956</w:t>
            </w:r>
          </w:p>
        </w:tc>
        <w:tc>
          <w:tcPr>
            <w:tcW w:w="80" w:type="dxa"/>
            <w:vAlign w:val="bottom"/>
            <w:tcBorders>
              <w:bottom w:val="single" w:sz="8" w:color="DBDBDB"/>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40" w:type="dxa"/>
            <w:vAlign w:val="bottom"/>
            <w:shd w:val="clear" w:color="auto" w:fill="DBDBDB"/>
          </w:tcPr>
          <w:p>
            <w:pPr>
              <w:ind w:left="1060"/>
              <w:spacing w:after="0"/>
              <w:rPr>
                <w:sz w:val="20"/>
                <w:szCs w:val="20"/>
                <w:color w:val="auto"/>
              </w:rPr>
            </w:pPr>
            <w:r>
              <w:rPr>
                <w:rFonts w:ascii="Arial" w:cs="Arial" w:eastAsia="Arial" w:hAnsi="Arial"/>
                <w:sz w:val="13"/>
                <w:szCs w:val="13"/>
                <w:color w:val="auto"/>
              </w:rPr>
              <w:t>Gross profit</w:t>
            </w:r>
          </w:p>
        </w:tc>
        <w:tc>
          <w:tcPr>
            <w:tcW w:w="820" w:type="dxa"/>
            <w:vAlign w:val="bottom"/>
            <w:shd w:val="clear" w:color="auto" w:fill="DBDBDB"/>
          </w:tcPr>
          <w:p>
            <w:pPr>
              <w:spacing w:after="0"/>
              <w:rPr>
                <w:sz w:val="14"/>
                <w:szCs w:val="14"/>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968,208</w:t>
            </w:r>
          </w:p>
        </w:tc>
        <w:tc>
          <w:tcPr>
            <w:tcW w:w="80" w:type="dxa"/>
            <w:vAlign w:val="bottom"/>
            <w:shd w:val="clear" w:color="auto" w:fill="DBDBDB"/>
          </w:tcPr>
          <w:p>
            <w:pPr>
              <w:spacing w:after="0"/>
              <w:rPr>
                <w:sz w:val="14"/>
                <w:szCs w:val="14"/>
                <w:color w:val="auto"/>
              </w:rPr>
            </w:pPr>
          </w:p>
        </w:tc>
        <w:tc>
          <w:tcPr>
            <w:tcW w:w="42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659,973</w:t>
            </w:r>
          </w:p>
        </w:tc>
        <w:tc>
          <w:tcPr>
            <w:tcW w:w="80" w:type="dxa"/>
            <w:vAlign w:val="bottom"/>
            <w:shd w:val="clear" w:color="auto" w:fill="DBDBDB"/>
          </w:tcPr>
          <w:p>
            <w:pPr>
              <w:spacing w:after="0"/>
              <w:rPr>
                <w:sz w:val="14"/>
                <w:szCs w:val="14"/>
                <w:color w:val="auto"/>
              </w:rPr>
            </w:pPr>
          </w:p>
        </w:tc>
        <w:tc>
          <w:tcPr>
            <w:tcW w:w="800" w:type="dxa"/>
            <w:vAlign w:val="bottom"/>
            <w:shd w:val="clear" w:color="auto" w:fill="DBDBDB"/>
          </w:tcPr>
          <w:p>
            <w:pPr>
              <w:spacing w:after="0"/>
              <w:rPr>
                <w:sz w:val="14"/>
                <w:szCs w:val="14"/>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413,313</w:t>
            </w:r>
          </w:p>
        </w:tc>
        <w:tc>
          <w:tcPr>
            <w:tcW w:w="60" w:type="dxa"/>
            <w:vAlign w:val="bottom"/>
            <w:shd w:val="clear" w:color="auto" w:fill="DBDBDB"/>
          </w:tcPr>
          <w:p>
            <w:pPr>
              <w:spacing w:after="0"/>
              <w:rPr>
                <w:sz w:val="14"/>
                <w:szCs w:val="14"/>
                <w:color w:val="auto"/>
              </w:rPr>
            </w:pPr>
          </w:p>
        </w:tc>
        <w:tc>
          <w:tcPr>
            <w:tcW w:w="64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308,235</w:t>
            </w:r>
          </w:p>
        </w:tc>
        <w:tc>
          <w:tcPr>
            <w:tcW w:w="80" w:type="dxa"/>
            <w:vAlign w:val="bottom"/>
            <w:shd w:val="clear" w:color="auto" w:fill="DBDBDB"/>
          </w:tcPr>
          <w:p>
            <w:pPr>
              <w:spacing w:after="0"/>
              <w:rPr>
                <w:sz w:val="14"/>
                <w:szCs w:val="14"/>
                <w:color w:val="auto"/>
              </w:rPr>
            </w:pPr>
          </w:p>
        </w:tc>
        <w:tc>
          <w:tcPr>
            <w:tcW w:w="620" w:type="dxa"/>
            <w:vAlign w:val="bottom"/>
            <w:shd w:val="clear" w:color="auto" w:fill="DBDBDB"/>
          </w:tcPr>
          <w:p>
            <w:pPr>
              <w:spacing w:after="0"/>
              <w:rPr>
                <w:sz w:val="14"/>
                <w:szCs w:val="14"/>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80"/>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360"/>
          </w:cols>
          <w:pgMar w:left="300" w:top="907" w:right="239" w:bottom="1440" w:gutter="0" w:footer="0" w:header="0"/>
        </w:sectPr>
      </w:pPr>
    </w:p>
    <w:bookmarkStart w:id="43" w:name="page44"/>
    <w:bookmarkEnd w:id="43"/>
    <w:p>
      <w:pPr>
        <w:ind w:left="1073"/>
        <w:spacing w:after="0"/>
        <w:rPr>
          <w:sz w:val="20"/>
          <w:szCs w:val="20"/>
          <w:color w:val="auto"/>
        </w:rPr>
      </w:pPr>
      <w:r>
        <w:rPr>
          <w:rFonts w:ascii="Arial" w:cs="Arial" w:eastAsia="Arial" w:hAnsi="Arial"/>
          <w:sz w:val="13"/>
          <w:szCs w:val="13"/>
          <w:color w:val="auto"/>
        </w:rPr>
        <w:t>Expenses:</w:t>
      </w:r>
    </w:p>
    <w:p>
      <w:pPr>
        <w:spacing w:after="0" w:line="7" w:lineRule="exact"/>
        <w:rPr>
          <w:sz w:val="20"/>
          <w:szCs w:val="20"/>
          <w:color w:val="auto"/>
        </w:rPr>
      </w:pPr>
    </w:p>
    <w:tbl>
      <w:tblPr>
        <w:tblLayout w:type="fixed"/>
        <w:tblInd w:w="533" w:type="dxa"/>
        <w:tblCellMar>
          <w:top w:w="0" w:type="dxa"/>
          <w:left w:w="0" w:type="dxa"/>
          <w:bottom w:w="0" w:type="dxa"/>
          <w:right w:w="0" w:type="dxa"/>
        </w:tblCellMar>
      </w:tblPr>
      <w:tr>
        <w:trPr>
          <w:trHeight w:val="149"/>
        </w:trPr>
        <w:tc>
          <w:tcPr>
            <w:tcW w:w="1920" w:type="dxa"/>
            <w:vAlign w:val="bottom"/>
            <w:shd w:val="clear" w:color="auto" w:fill="DBDBDB"/>
          </w:tcPr>
          <w:p>
            <w:pPr>
              <w:ind w:left="700"/>
              <w:spacing w:after="0"/>
              <w:rPr>
                <w:sz w:val="20"/>
                <w:szCs w:val="20"/>
                <w:color w:val="auto"/>
              </w:rPr>
            </w:pPr>
            <w:r>
              <w:rPr>
                <w:rFonts w:ascii="Arial" w:cs="Arial" w:eastAsia="Arial" w:hAnsi="Arial"/>
                <w:sz w:val="13"/>
                <w:szCs w:val="13"/>
                <w:color w:val="auto"/>
              </w:rPr>
              <w:t>Selling, general and</w:t>
            </w:r>
          </w:p>
        </w:tc>
        <w:tc>
          <w:tcPr>
            <w:tcW w:w="90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9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5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DBDBDB"/>
          </w:tcPr>
          <w:p>
            <w:pPr>
              <w:ind w:left="180"/>
              <w:spacing w:after="0"/>
              <w:rPr>
                <w:sz w:val="20"/>
                <w:szCs w:val="20"/>
                <w:color w:val="auto"/>
              </w:rPr>
            </w:pPr>
            <w:r>
              <w:rPr>
                <w:rFonts w:ascii="Arial" w:cs="Arial" w:eastAsia="Arial" w:hAnsi="Arial"/>
                <w:sz w:val="13"/>
                <w:szCs w:val="13"/>
                <w:color w:val="auto"/>
              </w:rPr>
              <w:t>administrative</w:t>
            </w:r>
          </w:p>
        </w:tc>
        <w:tc>
          <w:tcPr>
            <w:tcW w:w="900" w:type="dxa"/>
            <w:vAlign w:val="bottom"/>
            <w:shd w:val="clear" w:color="auto" w:fill="DBDBDB"/>
          </w:tcPr>
          <w:p>
            <w:pPr>
              <w:spacing w:after="0"/>
              <w:rPr>
                <w:sz w:val="14"/>
                <w:szCs w:val="14"/>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511,446</w:t>
            </w:r>
          </w:p>
        </w:tc>
        <w:tc>
          <w:tcPr>
            <w:tcW w:w="80" w:type="dxa"/>
            <w:vAlign w:val="bottom"/>
            <w:shd w:val="clear" w:color="auto" w:fill="DBDBDB"/>
          </w:tcPr>
          <w:p>
            <w:pPr>
              <w:spacing w:after="0"/>
              <w:rPr>
                <w:sz w:val="14"/>
                <w:szCs w:val="14"/>
                <w:color w:val="auto"/>
              </w:rPr>
            </w:pPr>
          </w:p>
        </w:tc>
        <w:tc>
          <w:tcPr>
            <w:tcW w:w="900" w:type="dxa"/>
            <w:vAlign w:val="bottom"/>
            <w:shd w:val="clear" w:color="auto" w:fill="DBDBDB"/>
          </w:tcPr>
          <w:p>
            <w:pPr>
              <w:spacing w:after="0"/>
              <w:rPr>
                <w:sz w:val="14"/>
                <w:szCs w:val="14"/>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360,626</w:t>
            </w:r>
          </w:p>
        </w:tc>
        <w:tc>
          <w:tcPr>
            <w:tcW w:w="80" w:type="dxa"/>
            <w:vAlign w:val="bottom"/>
            <w:shd w:val="clear" w:color="auto" w:fill="DBDBDB"/>
          </w:tcPr>
          <w:p>
            <w:pPr>
              <w:spacing w:after="0"/>
              <w:rPr>
                <w:sz w:val="14"/>
                <w:szCs w:val="14"/>
                <w:color w:val="auto"/>
              </w:rPr>
            </w:pPr>
          </w:p>
        </w:tc>
        <w:tc>
          <w:tcPr>
            <w:tcW w:w="880" w:type="dxa"/>
            <w:vAlign w:val="bottom"/>
            <w:shd w:val="clear" w:color="auto" w:fill="DBDBDB"/>
          </w:tcPr>
          <w:p>
            <w:pPr>
              <w:spacing w:after="0"/>
              <w:rPr>
                <w:sz w:val="14"/>
                <w:szCs w:val="14"/>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271,004</w:t>
            </w:r>
          </w:p>
        </w:tc>
        <w:tc>
          <w:tcPr>
            <w:tcW w:w="80" w:type="dxa"/>
            <w:vAlign w:val="bottom"/>
            <w:shd w:val="clear" w:color="auto" w:fill="DBDBDB"/>
          </w:tcPr>
          <w:p>
            <w:pPr>
              <w:spacing w:after="0"/>
              <w:rPr>
                <w:sz w:val="14"/>
                <w:szCs w:val="14"/>
                <w:color w:val="auto"/>
              </w:rPr>
            </w:pPr>
          </w:p>
        </w:tc>
        <w:tc>
          <w:tcPr>
            <w:tcW w:w="900" w:type="dxa"/>
            <w:vAlign w:val="bottom"/>
            <w:shd w:val="clear" w:color="auto" w:fill="DBDBDB"/>
          </w:tcPr>
          <w:p>
            <w:pPr>
              <w:spacing w:after="0"/>
              <w:rPr>
                <w:sz w:val="14"/>
                <w:szCs w:val="14"/>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150,820</w:t>
            </w:r>
          </w:p>
        </w:tc>
        <w:tc>
          <w:tcPr>
            <w:tcW w:w="80" w:type="dxa"/>
            <w:vAlign w:val="bottom"/>
            <w:shd w:val="clear" w:color="auto" w:fill="DBDBDB"/>
          </w:tcPr>
          <w:p>
            <w:pPr>
              <w:spacing w:after="0"/>
              <w:rPr>
                <w:sz w:val="14"/>
                <w:szCs w:val="14"/>
                <w:color w:val="auto"/>
              </w:rPr>
            </w:pPr>
          </w:p>
        </w:tc>
        <w:tc>
          <w:tcPr>
            <w:tcW w:w="900" w:type="dxa"/>
            <w:vAlign w:val="bottom"/>
            <w:shd w:val="clear" w:color="auto" w:fill="DBDBDB"/>
          </w:tcPr>
          <w:p>
            <w:pPr>
              <w:spacing w:after="0"/>
              <w:rPr>
                <w:sz w:val="14"/>
                <w:szCs w:val="14"/>
                <w:color w:val="auto"/>
              </w:rPr>
            </w:pPr>
          </w:p>
        </w:tc>
        <w:tc>
          <w:tcPr>
            <w:tcW w:w="50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920" w:type="dxa"/>
            <w:vAlign w:val="bottom"/>
          </w:tcPr>
          <w:p>
            <w:pPr>
              <w:ind w:left="700"/>
              <w:spacing w:after="0"/>
              <w:rPr>
                <w:sz w:val="20"/>
                <w:szCs w:val="20"/>
                <w:color w:val="auto"/>
              </w:rPr>
            </w:pPr>
            <w:r>
              <w:rPr>
                <w:rFonts w:ascii="Arial" w:cs="Arial" w:eastAsia="Arial" w:hAnsi="Arial"/>
                <w:sz w:val="13"/>
                <w:szCs w:val="13"/>
                <w:color w:val="auto"/>
              </w:rPr>
              <w:t>Transaction costs</w:t>
            </w:r>
          </w:p>
        </w:tc>
        <w:tc>
          <w:tcPr>
            <w:tcW w:w="9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1,375</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64,053</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(62,678)</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920" w:type="dxa"/>
            <w:vAlign w:val="bottom"/>
            <w:shd w:val="clear" w:color="auto" w:fill="DBDBDB"/>
          </w:tcPr>
          <w:p>
            <w:pPr>
              <w:ind w:left="700"/>
              <w:spacing w:after="0" w:line="147" w:lineRule="exact"/>
              <w:rPr>
                <w:sz w:val="20"/>
                <w:szCs w:val="20"/>
                <w:color w:val="auto"/>
              </w:rPr>
            </w:pPr>
            <w:r>
              <w:rPr>
                <w:rFonts w:ascii="Arial" w:cs="Arial" w:eastAsia="Arial" w:hAnsi="Arial"/>
                <w:sz w:val="13"/>
                <w:szCs w:val="13"/>
                <w:color w:val="auto"/>
              </w:rPr>
              <w:t>Other depreciation</w:t>
            </w:r>
          </w:p>
        </w:tc>
        <w:tc>
          <w:tcPr>
            <w:tcW w:w="90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c>
          <w:tcPr>
            <w:tcW w:w="9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5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DBDBDB"/>
          </w:tcPr>
          <w:p>
            <w:pPr>
              <w:ind w:left="180"/>
              <w:spacing w:after="0"/>
              <w:rPr>
                <w:sz w:val="20"/>
                <w:szCs w:val="20"/>
                <w:color w:val="auto"/>
              </w:rPr>
            </w:pPr>
            <w:r>
              <w:rPr>
                <w:rFonts w:ascii="Arial" w:cs="Arial" w:eastAsia="Arial" w:hAnsi="Arial"/>
                <w:sz w:val="13"/>
                <w:szCs w:val="13"/>
                <w:color w:val="auto"/>
              </w:rPr>
              <w:t>and amortization</w:t>
            </w:r>
          </w:p>
        </w:tc>
        <w:tc>
          <w:tcPr>
            <w:tcW w:w="900" w:type="dxa"/>
            <w:vAlign w:val="bottom"/>
            <w:shd w:val="clear" w:color="auto" w:fill="DBDBDB"/>
          </w:tcPr>
          <w:p>
            <w:pPr>
              <w:spacing w:after="0"/>
              <w:rPr>
                <w:sz w:val="14"/>
                <w:szCs w:val="14"/>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78,030</w:t>
            </w:r>
          </w:p>
        </w:tc>
        <w:tc>
          <w:tcPr>
            <w:tcW w:w="80" w:type="dxa"/>
            <w:vAlign w:val="bottom"/>
            <w:shd w:val="clear" w:color="auto" w:fill="DBDBDB"/>
          </w:tcPr>
          <w:p>
            <w:pPr>
              <w:spacing w:after="0"/>
              <w:rPr>
                <w:sz w:val="14"/>
                <w:szCs w:val="14"/>
                <w:color w:val="auto"/>
              </w:rPr>
            </w:pPr>
          </w:p>
        </w:tc>
        <w:tc>
          <w:tcPr>
            <w:tcW w:w="900" w:type="dxa"/>
            <w:vAlign w:val="bottom"/>
            <w:shd w:val="clear" w:color="auto" w:fill="DBDBDB"/>
          </w:tcPr>
          <w:p>
            <w:pPr>
              <w:spacing w:after="0"/>
              <w:rPr>
                <w:sz w:val="14"/>
                <w:szCs w:val="14"/>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43,249</w:t>
            </w:r>
          </w:p>
        </w:tc>
        <w:tc>
          <w:tcPr>
            <w:tcW w:w="80" w:type="dxa"/>
            <w:vAlign w:val="bottom"/>
            <w:shd w:val="clear" w:color="auto" w:fill="DBDBDB"/>
          </w:tcPr>
          <w:p>
            <w:pPr>
              <w:spacing w:after="0"/>
              <w:rPr>
                <w:sz w:val="14"/>
                <w:szCs w:val="14"/>
                <w:color w:val="auto"/>
              </w:rPr>
            </w:pPr>
          </w:p>
        </w:tc>
        <w:tc>
          <w:tcPr>
            <w:tcW w:w="880" w:type="dxa"/>
            <w:vAlign w:val="bottom"/>
            <w:shd w:val="clear" w:color="auto" w:fill="DBDBDB"/>
          </w:tcPr>
          <w:p>
            <w:pPr>
              <w:spacing w:after="0"/>
              <w:rPr>
                <w:sz w:val="14"/>
                <w:szCs w:val="14"/>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12,395</w:t>
            </w:r>
          </w:p>
        </w:tc>
        <w:tc>
          <w:tcPr>
            <w:tcW w:w="80" w:type="dxa"/>
            <w:vAlign w:val="bottom"/>
            <w:shd w:val="clear" w:color="auto" w:fill="DBDBDB"/>
          </w:tcPr>
          <w:p>
            <w:pPr>
              <w:spacing w:after="0"/>
              <w:rPr>
                <w:sz w:val="14"/>
                <w:szCs w:val="14"/>
                <w:color w:val="auto"/>
              </w:rPr>
            </w:pPr>
          </w:p>
        </w:tc>
        <w:tc>
          <w:tcPr>
            <w:tcW w:w="900" w:type="dxa"/>
            <w:vAlign w:val="bottom"/>
            <w:shd w:val="clear" w:color="auto" w:fill="DBDBDB"/>
          </w:tcPr>
          <w:p>
            <w:pPr>
              <w:spacing w:after="0"/>
              <w:rPr>
                <w:sz w:val="14"/>
                <w:szCs w:val="14"/>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34,781</w:t>
            </w:r>
          </w:p>
        </w:tc>
        <w:tc>
          <w:tcPr>
            <w:tcW w:w="80" w:type="dxa"/>
            <w:vAlign w:val="bottom"/>
            <w:shd w:val="clear" w:color="auto" w:fill="DBDBDB"/>
          </w:tcPr>
          <w:p>
            <w:pPr>
              <w:spacing w:after="0"/>
              <w:rPr>
                <w:sz w:val="14"/>
                <w:szCs w:val="14"/>
                <w:color w:val="auto"/>
              </w:rPr>
            </w:pPr>
          </w:p>
        </w:tc>
        <w:tc>
          <w:tcPr>
            <w:tcW w:w="900" w:type="dxa"/>
            <w:vAlign w:val="bottom"/>
            <w:shd w:val="clear" w:color="auto" w:fill="DBDBDB"/>
          </w:tcPr>
          <w:p>
            <w:pPr>
              <w:spacing w:after="0"/>
              <w:rPr>
                <w:sz w:val="14"/>
                <w:szCs w:val="14"/>
                <w:color w:val="auto"/>
              </w:rPr>
            </w:pPr>
          </w:p>
        </w:tc>
        <w:tc>
          <w:tcPr>
            <w:tcW w:w="50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920" w:type="dxa"/>
            <w:vAlign w:val="bottom"/>
          </w:tcPr>
          <w:p>
            <w:pPr>
              <w:ind w:left="700"/>
              <w:spacing w:after="0" w:line="144" w:lineRule="exact"/>
              <w:rPr>
                <w:sz w:val="20"/>
                <w:szCs w:val="20"/>
                <w:color w:val="auto"/>
              </w:rPr>
            </w:pPr>
            <w:r>
              <w:rPr>
                <w:rFonts w:ascii="Arial" w:cs="Arial" w:eastAsia="Arial" w:hAnsi="Arial"/>
                <w:sz w:val="13"/>
                <w:szCs w:val="13"/>
                <w:color w:val="auto"/>
              </w:rPr>
              <w:t>Impairment losses</w:t>
            </w: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20" w:type="dxa"/>
            <w:vAlign w:val="bottom"/>
          </w:tcPr>
          <w:p>
            <w:pPr>
              <w:ind w:left="180"/>
              <w:spacing w:after="0"/>
              <w:rPr>
                <w:sz w:val="20"/>
                <w:szCs w:val="20"/>
                <w:color w:val="auto"/>
              </w:rPr>
            </w:pPr>
            <w:r>
              <w:rPr>
                <w:rFonts w:ascii="Arial" w:cs="Arial" w:eastAsia="Arial" w:hAnsi="Arial"/>
                <w:sz w:val="13"/>
                <w:szCs w:val="13"/>
                <w:color w:val="auto"/>
              </w:rPr>
              <w:t>on long-lived assets</w:t>
            </w:r>
          </w:p>
        </w:tc>
        <w:tc>
          <w:tcPr>
            <w:tcW w:w="90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0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2,848</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920" w:type="dxa"/>
            <w:vAlign w:val="bottom"/>
            <w:shd w:val="clear" w:color="auto" w:fill="DBDBDB"/>
          </w:tcPr>
          <w:p>
            <w:pPr>
              <w:ind w:left="700"/>
              <w:spacing w:after="0" w:line="147" w:lineRule="exact"/>
              <w:rPr>
                <w:sz w:val="20"/>
                <w:szCs w:val="20"/>
                <w:color w:val="auto"/>
              </w:rPr>
            </w:pPr>
            <w:r>
              <w:rPr>
                <w:rFonts w:ascii="Arial" w:cs="Arial" w:eastAsia="Arial" w:hAnsi="Arial"/>
                <w:sz w:val="13"/>
                <w:szCs w:val="13"/>
                <w:color w:val="auto"/>
              </w:rPr>
              <w:t>Lease impairment</w:t>
            </w:r>
          </w:p>
        </w:tc>
        <w:tc>
          <w:tcPr>
            <w:tcW w:w="90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c>
          <w:tcPr>
            <w:tcW w:w="9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5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920" w:type="dxa"/>
            <w:vAlign w:val="bottom"/>
            <w:shd w:val="clear" w:color="auto" w:fill="DBDBDB"/>
          </w:tcPr>
          <w:p>
            <w:pPr>
              <w:ind w:left="180"/>
              <w:spacing w:after="0" w:line="131" w:lineRule="exact"/>
              <w:rPr>
                <w:sz w:val="20"/>
                <w:szCs w:val="20"/>
                <w:color w:val="auto"/>
              </w:rPr>
            </w:pPr>
            <w:r>
              <w:rPr>
                <w:rFonts w:ascii="Arial" w:cs="Arial" w:eastAsia="Arial" w:hAnsi="Arial"/>
                <w:sz w:val="13"/>
                <w:szCs w:val="13"/>
                <w:color w:val="auto"/>
              </w:rPr>
              <w:t>expense and other related</w:t>
            </w:r>
          </w:p>
        </w:tc>
        <w:tc>
          <w:tcPr>
            <w:tcW w:w="900" w:type="dxa"/>
            <w:vAlign w:val="bottom"/>
            <w:shd w:val="clear" w:color="auto" w:fill="DBDBDB"/>
          </w:tcPr>
          <w:p>
            <w:pPr>
              <w:spacing w:after="0"/>
              <w:rPr>
                <w:sz w:val="11"/>
                <w:szCs w:val="11"/>
                <w:color w:val="auto"/>
              </w:rPr>
            </w:pPr>
          </w:p>
        </w:tc>
        <w:tc>
          <w:tcPr>
            <w:tcW w:w="9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900" w:type="dxa"/>
            <w:vAlign w:val="bottom"/>
            <w:shd w:val="clear" w:color="auto" w:fill="DBDBDB"/>
          </w:tcPr>
          <w:p>
            <w:pPr>
              <w:spacing w:after="0"/>
              <w:rPr>
                <w:sz w:val="11"/>
                <w:szCs w:val="11"/>
                <w:color w:val="auto"/>
              </w:rPr>
            </w:pPr>
          </w:p>
        </w:tc>
        <w:tc>
          <w:tcPr>
            <w:tcW w:w="9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880" w:type="dxa"/>
            <w:vAlign w:val="bottom"/>
            <w:shd w:val="clear" w:color="auto" w:fill="DBDBDB"/>
          </w:tcPr>
          <w:p>
            <w:pPr>
              <w:spacing w:after="0"/>
              <w:rPr>
                <w:sz w:val="11"/>
                <w:szCs w:val="11"/>
                <w:color w:val="auto"/>
              </w:rPr>
            </w:pPr>
          </w:p>
        </w:tc>
        <w:tc>
          <w:tcPr>
            <w:tcW w:w="9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900" w:type="dxa"/>
            <w:vAlign w:val="bottom"/>
            <w:shd w:val="clear" w:color="auto" w:fill="DBDBDB"/>
          </w:tcPr>
          <w:p>
            <w:pPr>
              <w:spacing w:after="0"/>
              <w:rPr>
                <w:sz w:val="11"/>
                <w:szCs w:val="11"/>
                <w:color w:val="auto"/>
              </w:rPr>
            </w:pPr>
          </w:p>
        </w:tc>
        <w:tc>
          <w:tcPr>
            <w:tcW w:w="88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900" w:type="dxa"/>
            <w:vAlign w:val="bottom"/>
            <w:shd w:val="clear" w:color="auto" w:fill="DBDBDB"/>
          </w:tcPr>
          <w:p>
            <w:pPr>
              <w:spacing w:after="0"/>
              <w:rPr>
                <w:sz w:val="11"/>
                <w:szCs w:val="11"/>
                <w:color w:val="auto"/>
              </w:rPr>
            </w:pPr>
          </w:p>
        </w:tc>
        <w:tc>
          <w:tcPr>
            <w:tcW w:w="50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DBDBDB"/>
          </w:tcPr>
          <w:p>
            <w:pPr>
              <w:ind w:left="180"/>
              <w:spacing w:after="0"/>
              <w:rPr>
                <w:sz w:val="20"/>
                <w:szCs w:val="20"/>
                <w:color w:val="auto"/>
              </w:rPr>
            </w:pPr>
            <w:r>
              <w:rPr>
                <w:rFonts w:ascii="Arial" w:cs="Arial" w:eastAsia="Arial" w:hAnsi="Arial"/>
                <w:sz w:val="13"/>
                <w:szCs w:val="13"/>
                <w:color w:val="auto"/>
              </w:rPr>
              <w:t>charges</w:t>
            </w:r>
          </w:p>
        </w:tc>
        <w:tc>
          <w:tcPr>
            <w:tcW w:w="900" w:type="dxa"/>
            <w:vAlign w:val="bottom"/>
            <w:shd w:val="clear" w:color="auto" w:fill="DBDBDB"/>
          </w:tcPr>
          <w:p>
            <w:pPr>
              <w:spacing w:after="0"/>
              <w:rPr>
                <w:sz w:val="14"/>
                <w:szCs w:val="14"/>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2,888</w:t>
            </w:r>
          </w:p>
        </w:tc>
        <w:tc>
          <w:tcPr>
            <w:tcW w:w="80" w:type="dxa"/>
            <w:vAlign w:val="bottom"/>
            <w:shd w:val="clear" w:color="auto" w:fill="DBDBDB"/>
          </w:tcPr>
          <w:p>
            <w:pPr>
              <w:spacing w:after="0"/>
              <w:rPr>
                <w:sz w:val="14"/>
                <w:szCs w:val="14"/>
                <w:color w:val="auto"/>
              </w:rPr>
            </w:pPr>
          </w:p>
        </w:tc>
        <w:tc>
          <w:tcPr>
            <w:tcW w:w="900" w:type="dxa"/>
            <w:vAlign w:val="bottom"/>
            <w:shd w:val="clear" w:color="auto" w:fill="DBDBDB"/>
          </w:tcPr>
          <w:p>
            <w:pPr>
              <w:spacing w:after="0"/>
              <w:rPr>
                <w:sz w:val="14"/>
                <w:szCs w:val="14"/>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4,876</w:t>
            </w:r>
          </w:p>
        </w:tc>
        <w:tc>
          <w:tcPr>
            <w:tcW w:w="80" w:type="dxa"/>
            <w:vAlign w:val="bottom"/>
            <w:shd w:val="clear" w:color="auto" w:fill="DBDBDB"/>
          </w:tcPr>
          <w:p>
            <w:pPr>
              <w:spacing w:after="0"/>
              <w:rPr>
                <w:sz w:val="14"/>
                <w:szCs w:val="14"/>
                <w:color w:val="auto"/>
              </w:rPr>
            </w:pPr>
          </w:p>
        </w:tc>
        <w:tc>
          <w:tcPr>
            <w:tcW w:w="880" w:type="dxa"/>
            <w:vAlign w:val="bottom"/>
            <w:shd w:val="clear" w:color="auto" w:fill="DBDBDB"/>
          </w:tcPr>
          <w:p>
            <w:pPr>
              <w:spacing w:after="0"/>
              <w:rPr>
                <w:sz w:val="14"/>
                <w:szCs w:val="14"/>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8,674</w:t>
            </w:r>
          </w:p>
        </w:tc>
        <w:tc>
          <w:tcPr>
            <w:tcW w:w="80" w:type="dxa"/>
            <w:vAlign w:val="bottom"/>
            <w:shd w:val="clear" w:color="auto" w:fill="DBDBDB"/>
          </w:tcPr>
          <w:p>
            <w:pPr>
              <w:spacing w:after="0"/>
              <w:rPr>
                <w:sz w:val="14"/>
                <w:szCs w:val="14"/>
                <w:color w:val="auto"/>
              </w:rPr>
            </w:pPr>
          </w:p>
        </w:tc>
        <w:tc>
          <w:tcPr>
            <w:tcW w:w="900" w:type="dxa"/>
            <w:vAlign w:val="bottom"/>
            <w:shd w:val="clear" w:color="auto" w:fill="DBDBDB"/>
          </w:tcPr>
          <w:p>
            <w:pPr>
              <w:spacing w:after="0"/>
              <w:rPr>
                <w:sz w:val="14"/>
                <w:szCs w:val="14"/>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(1,988)</w:t>
            </w:r>
          </w:p>
        </w:tc>
        <w:tc>
          <w:tcPr>
            <w:tcW w:w="80" w:type="dxa"/>
            <w:vAlign w:val="bottom"/>
            <w:shd w:val="clear" w:color="auto" w:fill="DBDBDB"/>
          </w:tcPr>
          <w:p>
            <w:pPr>
              <w:spacing w:after="0"/>
              <w:rPr>
                <w:sz w:val="14"/>
                <w:szCs w:val="14"/>
                <w:color w:val="auto"/>
              </w:rPr>
            </w:pPr>
          </w:p>
        </w:tc>
        <w:tc>
          <w:tcPr>
            <w:tcW w:w="900" w:type="dxa"/>
            <w:vAlign w:val="bottom"/>
            <w:shd w:val="clear" w:color="auto" w:fill="DBDBDB"/>
          </w:tcPr>
          <w:p>
            <w:pPr>
              <w:spacing w:after="0"/>
              <w:rPr>
                <w:sz w:val="14"/>
                <w:szCs w:val="14"/>
                <w:color w:val="auto"/>
              </w:rPr>
            </w:pPr>
          </w:p>
        </w:tc>
        <w:tc>
          <w:tcPr>
            <w:tcW w:w="50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920" w:type="dxa"/>
            <w:vAlign w:val="bottom"/>
          </w:tcPr>
          <w:p>
            <w:pPr>
              <w:ind w:left="700"/>
              <w:spacing w:after="0"/>
              <w:rPr>
                <w:sz w:val="20"/>
                <w:szCs w:val="20"/>
                <w:color w:val="auto"/>
              </w:rPr>
            </w:pPr>
            <w:r>
              <w:rPr>
                <w:rFonts w:ascii="Arial" w:cs="Arial" w:eastAsia="Arial" w:hAnsi="Arial"/>
                <w:sz w:val="13"/>
                <w:szCs w:val="13"/>
                <w:color w:val="auto"/>
              </w:rPr>
              <w:t>Restructuring costs</w:t>
            </w:r>
          </w:p>
        </w:tc>
        <w:tc>
          <w:tcPr>
            <w:tcW w:w="9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11,868</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6,527</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3,755</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5,341</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920" w:type="dxa"/>
            <w:vAlign w:val="bottom"/>
            <w:shd w:val="clear" w:color="auto" w:fill="DBDBDB"/>
          </w:tcPr>
          <w:p>
            <w:pPr>
              <w:ind w:left="700"/>
              <w:spacing w:after="0" w:line="147" w:lineRule="exact"/>
              <w:rPr>
                <w:sz w:val="20"/>
                <w:szCs w:val="20"/>
                <w:color w:val="auto"/>
              </w:rPr>
            </w:pPr>
            <w:r>
              <w:rPr>
                <w:rFonts w:ascii="Arial" w:cs="Arial" w:eastAsia="Arial" w:hAnsi="Arial"/>
                <w:sz w:val="13"/>
                <w:szCs w:val="13"/>
                <w:color w:val="auto"/>
              </w:rPr>
              <w:t>Currency losses</w:t>
            </w:r>
          </w:p>
        </w:tc>
        <w:tc>
          <w:tcPr>
            <w:tcW w:w="90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c>
          <w:tcPr>
            <w:tcW w:w="9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5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DBDBDB"/>
          </w:tcPr>
          <w:p>
            <w:pPr>
              <w:ind w:left="180"/>
              <w:spacing w:after="0"/>
              <w:rPr>
                <w:sz w:val="20"/>
                <w:szCs w:val="20"/>
                <w:color w:val="auto"/>
              </w:rPr>
            </w:pPr>
            <w:r>
              <w:rPr>
                <w:rFonts w:ascii="Arial" w:cs="Arial" w:eastAsia="Arial" w:hAnsi="Arial"/>
                <w:sz w:val="13"/>
                <w:szCs w:val="13"/>
                <w:color w:val="auto"/>
              </w:rPr>
              <w:t>(gains), net</w:t>
            </w:r>
          </w:p>
        </w:tc>
        <w:tc>
          <w:tcPr>
            <w:tcW w:w="900" w:type="dxa"/>
            <w:vAlign w:val="bottom"/>
            <w:shd w:val="clear" w:color="auto" w:fill="DBDBDB"/>
          </w:tcPr>
          <w:p>
            <w:pPr>
              <w:spacing w:after="0"/>
              <w:rPr>
                <w:sz w:val="14"/>
                <w:szCs w:val="14"/>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548</w:t>
            </w:r>
          </w:p>
        </w:tc>
        <w:tc>
          <w:tcPr>
            <w:tcW w:w="80" w:type="dxa"/>
            <w:vAlign w:val="bottom"/>
            <w:shd w:val="clear" w:color="auto" w:fill="DBDBDB"/>
          </w:tcPr>
          <w:p>
            <w:pPr>
              <w:spacing w:after="0"/>
              <w:rPr>
                <w:sz w:val="14"/>
                <w:szCs w:val="14"/>
                <w:color w:val="auto"/>
              </w:rPr>
            </w:pPr>
          </w:p>
        </w:tc>
        <w:tc>
          <w:tcPr>
            <w:tcW w:w="900" w:type="dxa"/>
            <w:vAlign w:val="bottom"/>
            <w:shd w:val="clear" w:color="auto" w:fill="DBDBDB"/>
          </w:tcPr>
          <w:p>
            <w:pPr>
              <w:spacing w:after="0"/>
              <w:rPr>
                <w:sz w:val="14"/>
                <w:szCs w:val="14"/>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(355)</w:t>
            </w:r>
          </w:p>
        </w:tc>
        <w:tc>
          <w:tcPr>
            <w:tcW w:w="80" w:type="dxa"/>
            <w:vAlign w:val="bottom"/>
            <w:shd w:val="clear" w:color="auto" w:fill="DBDBDB"/>
          </w:tcPr>
          <w:p>
            <w:pPr>
              <w:spacing w:after="0"/>
              <w:rPr>
                <w:sz w:val="14"/>
                <w:szCs w:val="14"/>
                <w:color w:val="auto"/>
              </w:rPr>
            </w:pPr>
          </w:p>
        </w:tc>
        <w:tc>
          <w:tcPr>
            <w:tcW w:w="880" w:type="dxa"/>
            <w:vAlign w:val="bottom"/>
            <w:shd w:val="clear" w:color="auto" w:fill="DBDBDB"/>
          </w:tcPr>
          <w:p>
            <w:pPr>
              <w:spacing w:after="0"/>
              <w:rPr>
                <w:sz w:val="14"/>
                <w:szCs w:val="14"/>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(688)</w:t>
            </w:r>
          </w:p>
        </w:tc>
        <w:tc>
          <w:tcPr>
            <w:tcW w:w="80" w:type="dxa"/>
            <w:vAlign w:val="bottom"/>
            <w:shd w:val="clear" w:color="auto" w:fill="DBDBDB"/>
          </w:tcPr>
          <w:p>
            <w:pPr>
              <w:spacing w:after="0"/>
              <w:rPr>
                <w:sz w:val="14"/>
                <w:szCs w:val="14"/>
                <w:color w:val="auto"/>
              </w:rPr>
            </w:pPr>
          </w:p>
        </w:tc>
        <w:tc>
          <w:tcPr>
            <w:tcW w:w="900" w:type="dxa"/>
            <w:vAlign w:val="bottom"/>
            <w:shd w:val="clear" w:color="auto" w:fill="DBDBDB"/>
          </w:tcPr>
          <w:p>
            <w:pPr>
              <w:spacing w:after="0"/>
              <w:rPr>
                <w:sz w:val="14"/>
                <w:szCs w:val="14"/>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903</w:t>
            </w:r>
          </w:p>
        </w:tc>
        <w:tc>
          <w:tcPr>
            <w:tcW w:w="80" w:type="dxa"/>
            <w:vAlign w:val="bottom"/>
            <w:shd w:val="clear" w:color="auto" w:fill="DBDBDB"/>
          </w:tcPr>
          <w:p>
            <w:pPr>
              <w:spacing w:after="0"/>
              <w:rPr>
                <w:sz w:val="14"/>
                <w:szCs w:val="14"/>
                <w:color w:val="auto"/>
              </w:rPr>
            </w:pPr>
          </w:p>
        </w:tc>
        <w:tc>
          <w:tcPr>
            <w:tcW w:w="900" w:type="dxa"/>
            <w:vAlign w:val="bottom"/>
            <w:shd w:val="clear" w:color="auto" w:fill="DBDBDB"/>
          </w:tcPr>
          <w:p>
            <w:pPr>
              <w:spacing w:after="0"/>
              <w:rPr>
                <w:sz w:val="14"/>
                <w:szCs w:val="14"/>
                <w:color w:val="auto"/>
              </w:rPr>
            </w:pPr>
          </w:p>
        </w:tc>
        <w:tc>
          <w:tcPr>
            <w:tcW w:w="50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920" w:type="dxa"/>
            <w:vAlign w:val="bottom"/>
          </w:tcPr>
          <w:p>
            <w:pPr>
              <w:ind w:left="700"/>
              <w:spacing w:after="0" w:line="144" w:lineRule="exact"/>
              <w:rPr>
                <w:sz w:val="20"/>
                <w:szCs w:val="20"/>
                <w:color w:val="auto"/>
              </w:rPr>
            </w:pPr>
            <w:r>
              <w:rPr>
                <w:rFonts w:ascii="Arial" w:cs="Arial" w:eastAsia="Arial" w:hAnsi="Arial"/>
                <w:sz w:val="13"/>
                <w:szCs w:val="13"/>
                <w:color w:val="auto"/>
              </w:rPr>
              <w:t>Other expense</w:t>
            </w: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20" w:type="dxa"/>
            <w:vAlign w:val="bottom"/>
            <w:tcBorders>
              <w:bottom w:val="single" w:sz="8" w:color="DBDBDB"/>
            </w:tcBorders>
          </w:tcPr>
          <w:p>
            <w:pPr>
              <w:ind w:left="180"/>
              <w:spacing w:after="0"/>
              <w:rPr>
                <w:sz w:val="20"/>
                <w:szCs w:val="20"/>
                <w:color w:val="auto"/>
              </w:rPr>
            </w:pPr>
            <w:r>
              <w:rPr>
                <w:rFonts w:ascii="Arial" w:cs="Arial" w:eastAsia="Arial" w:hAnsi="Arial"/>
                <w:sz w:val="13"/>
                <w:szCs w:val="13"/>
                <w:color w:val="auto"/>
              </w:rPr>
              <w:t>(income), net</w:t>
            </w:r>
          </w:p>
        </w:tc>
        <w:tc>
          <w:tcPr>
            <w:tcW w:w="9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1,780</w:t>
            </w:r>
          </w:p>
        </w:tc>
        <w:tc>
          <w:tcPr>
            <w:tcW w:w="80" w:type="dxa"/>
            <w:vAlign w:val="bottom"/>
            <w:tcBorders>
              <w:bottom w:val="single" w:sz="8" w:color="DBDBDB"/>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(1,718)</w:t>
            </w:r>
          </w:p>
        </w:tc>
        <w:tc>
          <w:tcPr>
            <w:tcW w:w="80" w:type="dxa"/>
            <w:vAlign w:val="bottom"/>
            <w:tcBorders>
              <w:bottom w:val="single" w:sz="8" w:color="DBDBDB"/>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(2,200)</w:t>
            </w:r>
          </w:p>
        </w:tc>
        <w:tc>
          <w:tcPr>
            <w:tcW w:w="80" w:type="dxa"/>
            <w:vAlign w:val="bottom"/>
            <w:tcBorders>
              <w:bottom w:val="single" w:sz="8" w:color="DBDBDB"/>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3,498</w:t>
            </w:r>
          </w:p>
        </w:tc>
        <w:tc>
          <w:tcPr>
            <w:tcW w:w="80" w:type="dxa"/>
            <w:vAlign w:val="bottom"/>
            <w:tcBorders>
              <w:bottom w:val="single" w:sz="8" w:color="DBDBDB"/>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920" w:type="dxa"/>
            <w:vAlign w:val="bottom"/>
            <w:shd w:val="clear" w:color="auto" w:fill="DBDBDB"/>
          </w:tcPr>
          <w:p>
            <w:pPr>
              <w:ind w:left="1060"/>
              <w:spacing w:after="0" w:line="126" w:lineRule="exact"/>
              <w:rPr>
                <w:sz w:val="20"/>
                <w:szCs w:val="20"/>
                <w:color w:val="auto"/>
              </w:rPr>
            </w:pPr>
            <w:r>
              <w:rPr>
                <w:rFonts w:ascii="Arial" w:cs="Arial" w:eastAsia="Arial" w:hAnsi="Arial"/>
                <w:sz w:val="13"/>
                <w:szCs w:val="13"/>
                <w:color w:val="auto"/>
              </w:rPr>
              <w:t>Operating</w:t>
            </w:r>
          </w:p>
        </w:tc>
        <w:tc>
          <w:tcPr>
            <w:tcW w:w="900" w:type="dxa"/>
            <w:vAlign w:val="bottom"/>
            <w:shd w:val="clear" w:color="auto" w:fill="DBDBDB"/>
          </w:tcPr>
          <w:p>
            <w:pPr>
              <w:spacing w:after="0"/>
              <w:rPr>
                <w:sz w:val="10"/>
                <w:szCs w:val="10"/>
                <w:color w:val="auto"/>
              </w:rPr>
            </w:pPr>
          </w:p>
        </w:tc>
        <w:tc>
          <w:tcPr>
            <w:tcW w:w="90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900" w:type="dxa"/>
            <w:vAlign w:val="bottom"/>
            <w:shd w:val="clear" w:color="auto" w:fill="DBDBDB"/>
          </w:tcPr>
          <w:p>
            <w:pPr>
              <w:spacing w:after="0"/>
              <w:rPr>
                <w:sz w:val="10"/>
                <w:szCs w:val="10"/>
                <w:color w:val="auto"/>
              </w:rPr>
            </w:pPr>
          </w:p>
        </w:tc>
        <w:tc>
          <w:tcPr>
            <w:tcW w:w="90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880" w:type="dxa"/>
            <w:vAlign w:val="bottom"/>
            <w:shd w:val="clear" w:color="auto" w:fill="DBDBDB"/>
          </w:tcPr>
          <w:p>
            <w:pPr>
              <w:spacing w:after="0"/>
              <w:rPr>
                <w:sz w:val="10"/>
                <w:szCs w:val="10"/>
                <w:color w:val="auto"/>
              </w:rPr>
            </w:pPr>
          </w:p>
        </w:tc>
        <w:tc>
          <w:tcPr>
            <w:tcW w:w="92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900" w:type="dxa"/>
            <w:vAlign w:val="bottom"/>
            <w:shd w:val="clear" w:color="auto" w:fill="DBDBDB"/>
          </w:tcPr>
          <w:p>
            <w:pPr>
              <w:spacing w:after="0"/>
              <w:rPr>
                <w:sz w:val="10"/>
                <w:szCs w:val="10"/>
                <w:color w:val="auto"/>
              </w:rPr>
            </w:pPr>
          </w:p>
        </w:tc>
        <w:tc>
          <w:tcPr>
            <w:tcW w:w="88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900" w:type="dxa"/>
            <w:vAlign w:val="bottom"/>
            <w:shd w:val="clear" w:color="auto" w:fill="DBDBDB"/>
          </w:tcPr>
          <w:p>
            <w:pPr>
              <w:spacing w:after="0"/>
              <w:rPr>
                <w:sz w:val="10"/>
                <w:szCs w:val="10"/>
                <w:color w:val="auto"/>
              </w:rPr>
            </w:pPr>
          </w:p>
        </w:tc>
        <w:tc>
          <w:tcPr>
            <w:tcW w:w="500" w:type="dxa"/>
            <w:vAlign w:val="bottom"/>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DBDBDB"/>
          </w:tcPr>
          <w:p>
            <w:pPr>
              <w:ind w:left="540"/>
              <w:spacing w:after="0"/>
              <w:rPr>
                <w:sz w:val="20"/>
                <w:szCs w:val="20"/>
                <w:color w:val="auto"/>
              </w:rPr>
            </w:pPr>
            <w:r>
              <w:rPr>
                <w:rFonts w:ascii="Arial" w:cs="Arial" w:eastAsia="Arial" w:hAnsi="Arial"/>
                <w:sz w:val="13"/>
                <w:szCs w:val="13"/>
                <w:color w:val="auto"/>
              </w:rPr>
              <w:t>income</w:t>
            </w:r>
          </w:p>
        </w:tc>
        <w:tc>
          <w:tcPr>
            <w:tcW w:w="900" w:type="dxa"/>
            <w:vAlign w:val="bottom"/>
            <w:shd w:val="clear" w:color="auto" w:fill="DBDBDB"/>
          </w:tcPr>
          <w:p>
            <w:pPr>
              <w:spacing w:after="0"/>
              <w:rPr>
                <w:sz w:val="14"/>
                <w:szCs w:val="14"/>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360,273</w:t>
            </w:r>
          </w:p>
        </w:tc>
        <w:tc>
          <w:tcPr>
            <w:tcW w:w="80" w:type="dxa"/>
            <w:vAlign w:val="bottom"/>
            <w:shd w:val="clear" w:color="auto" w:fill="DBDBDB"/>
          </w:tcPr>
          <w:p>
            <w:pPr>
              <w:spacing w:after="0"/>
              <w:rPr>
                <w:sz w:val="14"/>
                <w:szCs w:val="14"/>
                <w:color w:val="auto"/>
              </w:rPr>
            </w:pPr>
          </w:p>
        </w:tc>
        <w:tc>
          <w:tcPr>
            <w:tcW w:w="900" w:type="dxa"/>
            <w:vAlign w:val="bottom"/>
            <w:shd w:val="clear" w:color="auto" w:fill="DBDBDB"/>
          </w:tcPr>
          <w:p>
            <w:pPr>
              <w:spacing w:after="0"/>
              <w:rPr>
                <w:sz w:val="14"/>
                <w:szCs w:val="14"/>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182,715</w:t>
            </w:r>
          </w:p>
        </w:tc>
        <w:tc>
          <w:tcPr>
            <w:tcW w:w="80" w:type="dxa"/>
            <w:vAlign w:val="bottom"/>
            <w:shd w:val="clear" w:color="auto" w:fill="DBDBDB"/>
          </w:tcPr>
          <w:p>
            <w:pPr>
              <w:spacing w:after="0"/>
              <w:rPr>
                <w:sz w:val="14"/>
                <w:szCs w:val="14"/>
                <w:color w:val="auto"/>
              </w:rPr>
            </w:pPr>
          </w:p>
        </w:tc>
        <w:tc>
          <w:tcPr>
            <w:tcW w:w="880" w:type="dxa"/>
            <w:vAlign w:val="bottom"/>
            <w:shd w:val="clear" w:color="auto" w:fill="DBDBDB"/>
          </w:tcPr>
          <w:p>
            <w:pPr>
              <w:spacing w:after="0"/>
              <w:rPr>
                <w:sz w:val="14"/>
                <w:szCs w:val="14"/>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117,525</w:t>
            </w:r>
          </w:p>
        </w:tc>
        <w:tc>
          <w:tcPr>
            <w:tcW w:w="80" w:type="dxa"/>
            <w:vAlign w:val="bottom"/>
            <w:shd w:val="clear" w:color="auto" w:fill="DBDBDB"/>
          </w:tcPr>
          <w:p>
            <w:pPr>
              <w:spacing w:after="0"/>
              <w:rPr>
                <w:sz w:val="14"/>
                <w:szCs w:val="14"/>
                <w:color w:val="auto"/>
              </w:rPr>
            </w:pPr>
          </w:p>
        </w:tc>
        <w:tc>
          <w:tcPr>
            <w:tcW w:w="900" w:type="dxa"/>
            <w:vAlign w:val="bottom"/>
            <w:shd w:val="clear" w:color="auto" w:fill="DBDBDB"/>
          </w:tcPr>
          <w:p>
            <w:pPr>
              <w:spacing w:after="0"/>
              <w:rPr>
                <w:sz w:val="14"/>
                <w:szCs w:val="14"/>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177,558</w:t>
            </w:r>
          </w:p>
        </w:tc>
        <w:tc>
          <w:tcPr>
            <w:tcW w:w="80" w:type="dxa"/>
            <w:vAlign w:val="bottom"/>
            <w:shd w:val="clear" w:color="auto" w:fill="DBDBDB"/>
          </w:tcPr>
          <w:p>
            <w:pPr>
              <w:spacing w:after="0"/>
              <w:rPr>
                <w:sz w:val="14"/>
                <w:szCs w:val="14"/>
                <w:color w:val="auto"/>
              </w:rPr>
            </w:pPr>
          </w:p>
        </w:tc>
        <w:tc>
          <w:tcPr>
            <w:tcW w:w="900" w:type="dxa"/>
            <w:vAlign w:val="bottom"/>
            <w:shd w:val="clear" w:color="auto" w:fill="DBDBDB"/>
          </w:tcPr>
          <w:p>
            <w:pPr>
              <w:spacing w:after="0"/>
              <w:rPr>
                <w:sz w:val="14"/>
                <w:szCs w:val="14"/>
                <w:color w:val="auto"/>
              </w:rPr>
            </w:pPr>
          </w:p>
        </w:tc>
        <w:tc>
          <w:tcPr>
            <w:tcW w:w="50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920" w:type="dxa"/>
            <w:vAlign w:val="bottom"/>
          </w:tcPr>
          <w:p>
            <w:pPr>
              <w:ind w:left="700"/>
              <w:spacing w:after="0"/>
              <w:rPr>
                <w:sz w:val="20"/>
                <w:szCs w:val="20"/>
                <w:color w:val="auto"/>
              </w:rPr>
            </w:pPr>
            <w:r>
              <w:rPr>
                <w:rFonts w:ascii="Arial" w:cs="Arial" w:eastAsia="Arial" w:hAnsi="Arial"/>
                <w:sz w:val="13"/>
                <w:szCs w:val="13"/>
                <w:color w:val="auto"/>
              </w:rPr>
              <w:t>Interest expense</w:t>
            </w:r>
          </w:p>
        </w:tc>
        <w:tc>
          <w:tcPr>
            <w:tcW w:w="9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117,987</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119,886</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122,504</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(1,899)</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920" w:type="dxa"/>
            <w:vAlign w:val="bottom"/>
            <w:shd w:val="clear" w:color="auto" w:fill="DBDBDB"/>
          </w:tcPr>
          <w:p>
            <w:pPr>
              <w:ind w:left="700"/>
              <w:spacing w:after="0" w:line="147" w:lineRule="exact"/>
              <w:rPr>
                <w:sz w:val="20"/>
                <w:szCs w:val="20"/>
                <w:color w:val="auto"/>
              </w:rPr>
            </w:pPr>
            <w:r>
              <w:rPr>
                <w:rFonts w:ascii="Arial" w:cs="Arial" w:eastAsia="Arial" w:hAnsi="Arial"/>
                <w:sz w:val="13"/>
                <w:szCs w:val="13"/>
                <w:color w:val="auto"/>
              </w:rPr>
              <w:t>Fair value loss</w:t>
            </w:r>
          </w:p>
        </w:tc>
        <w:tc>
          <w:tcPr>
            <w:tcW w:w="90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c>
          <w:tcPr>
            <w:tcW w:w="9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5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920" w:type="dxa"/>
            <w:vAlign w:val="bottom"/>
            <w:shd w:val="clear" w:color="auto" w:fill="DBDBDB"/>
          </w:tcPr>
          <w:p>
            <w:pPr>
              <w:ind w:left="180"/>
              <w:spacing w:after="0" w:line="131" w:lineRule="exact"/>
              <w:rPr>
                <w:sz w:val="20"/>
                <w:szCs w:val="20"/>
                <w:color w:val="auto"/>
              </w:rPr>
            </w:pPr>
            <w:r>
              <w:rPr>
                <w:rFonts w:ascii="Arial" w:cs="Arial" w:eastAsia="Arial" w:hAnsi="Arial"/>
                <w:sz w:val="13"/>
                <w:szCs w:val="13"/>
                <w:color w:val="auto"/>
              </w:rPr>
              <w:t>(gain) on common stock</w:t>
            </w:r>
          </w:p>
        </w:tc>
        <w:tc>
          <w:tcPr>
            <w:tcW w:w="900" w:type="dxa"/>
            <w:vAlign w:val="bottom"/>
            <w:shd w:val="clear" w:color="auto" w:fill="DBDBDB"/>
          </w:tcPr>
          <w:p>
            <w:pPr>
              <w:spacing w:after="0"/>
              <w:rPr>
                <w:sz w:val="11"/>
                <w:szCs w:val="11"/>
                <w:color w:val="auto"/>
              </w:rPr>
            </w:pPr>
          </w:p>
        </w:tc>
        <w:tc>
          <w:tcPr>
            <w:tcW w:w="9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900" w:type="dxa"/>
            <w:vAlign w:val="bottom"/>
            <w:shd w:val="clear" w:color="auto" w:fill="DBDBDB"/>
          </w:tcPr>
          <w:p>
            <w:pPr>
              <w:spacing w:after="0"/>
              <w:rPr>
                <w:sz w:val="11"/>
                <w:szCs w:val="11"/>
                <w:color w:val="auto"/>
              </w:rPr>
            </w:pPr>
          </w:p>
        </w:tc>
        <w:tc>
          <w:tcPr>
            <w:tcW w:w="9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880" w:type="dxa"/>
            <w:vAlign w:val="bottom"/>
            <w:shd w:val="clear" w:color="auto" w:fill="DBDBDB"/>
          </w:tcPr>
          <w:p>
            <w:pPr>
              <w:spacing w:after="0"/>
              <w:rPr>
                <w:sz w:val="11"/>
                <w:szCs w:val="11"/>
                <w:color w:val="auto"/>
              </w:rPr>
            </w:pPr>
          </w:p>
        </w:tc>
        <w:tc>
          <w:tcPr>
            <w:tcW w:w="9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900" w:type="dxa"/>
            <w:vAlign w:val="bottom"/>
            <w:shd w:val="clear" w:color="auto" w:fill="DBDBDB"/>
          </w:tcPr>
          <w:p>
            <w:pPr>
              <w:spacing w:after="0"/>
              <w:rPr>
                <w:sz w:val="11"/>
                <w:szCs w:val="11"/>
                <w:color w:val="auto"/>
              </w:rPr>
            </w:pPr>
          </w:p>
        </w:tc>
        <w:tc>
          <w:tcPr>
            <w:tcW w:w="88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900" w:type="dxa"/>
            <w:vAlign w:val="bottom"/>
            <w:shd w:val="clear" w:color="auto" w:fill="DBDBDB"/>
          </w:tcPr>
          <w:p>
            <w:pPr>
              <w:spacing w:after="0"/>
              <w:rPr>
                <w:sz w:val="11"/>
                <w:szCs w:val="11"/>
                <w:color w:val="auto"/>
              </w:rPr>
            </w:pPr>
          </w:p>
        </w:tc>
        <w:tc>
          <w:tcPr>
            <w:tcW w:w="50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DBDBDB"/>
          </w:tcPr>
          <w:p>
            <w:pPr>
              <w:ind w:left="180"/>
              <w:spacing w:after="0"/>
              <w:rPr>
                <w:sz w:val="20"/>
                <w:szCs w:val="20"/>
                <w:color w:val="auto"/>
              </w:rPr>
            </w:pPr>
            <w:r>
              <w:rPr>
                <w:rFonts w:ascii="Arial" w:cs="Arial" w:eastAsia="Arial" w:hAnsi="Arial"/>
                <w:sz w:val="13"/>
                <w:szCs w:val="13"/>
                <w:color w:val="auto"/>
              </w:rPr>
              <w:t>warrant liabilities</w:t>
            </w:r>
          </w:p>
        </w:tc>
        <w:tc>
          <w:tcPr>
            <w:tcW w:w="900" w:type="dxa"/>
            <w:vAlign w:val="bottom"/>
            <w:shd w:val="clear" w:color="auto" w:fill="DBDBDB"/>
          </w:tcPr>
          <w:p>
            <w:pPr>
              <w:spacing w:after="0"/>
              <w:rPr>
                <w:sz w:val="14"/>
                <w:szCs w:val="14"/>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26,597</w:t>
            </w:r>
          </w:p>
        </w:tc>
        <w:tc>
          <w:tcPr>
            <w:tcW w:w="80" w:type="dxa"/>
            <w:vAlign w:val="bottom"/>
            <w:shd w:val="clear" w:color="auto" w:fill="DBDBDB"/>
          </w:tcPr>
          <w:p>
            <w:pPr>
              <w:spacing w:after="0"/>
              <w:rPr>
                <w:sz w:val="14"/>
                <w:szCs w:val="14"/>
                <w:color w:val="auto"/>
              </w:rPr>
            </w:pPr>
          </w:p>
        </w:tc>
        <w:tc>
          <w:tcPr>
            <w:tcW w:w="900" w:type="dxa"/>
            <w:vAlign w:val="bottom"/>
            <w:shd w:val="clear" w:color="auto" w:fill="DBDBDB"/>
          </w:tcPr>
          <w:p>
            <w:pPr>
              <w:spacing w:after="0"/>
              <w:rPr>
                <w:sz w:val="14"/>
                <w:szCs w:val="14"/>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(3,461)</w:t>
            </w:r>
          </w:p>
        </w:tc>
        <w:tc>
          <w:tcPr>
            <w:tcW w:w="80" w:type="dxa"/>
            <w:vAlign w:val="bottom"/>
            <w:shd w:val="clear" w:color="auto" w:fill="DBDBDB"/>
          </w:tcPr>
          <w:p>
            <w:pPr>
              <w:spacing w:after="0"/>
              <w:rPr>
                <w:sz w:val="14"/>
                <w:szCs w:val="14"/>
                <w:color w:val="auto"/>
              </w:rPr>
            </w:pPr>
          </w:p>
        </w:tc>
        <w:tc>
          <w:tcPr>
            <w:tcW w:w="880" w:type="dxa"/>
            <w:vAlign w:val="bottom"/>
            <w:shd w:val="clear" w:color="auto" w:fill="DBDBDB"/>
          </w:tcPr>
          <w:p>
            <w:pPr>
              <w:spacing w:after="0"/>
              <w:rPr>
                <w:sz w:val="14"/>
                <w:szCs w:val="14"/>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109,622</w:t>
            </w:r>
          </w:p>
        </w:tc>
        <w:tc>
          <w:tcPr>
            <w:tcW w:w="80" w:type="dxa"/>
            <w:vAlign w:val="bottom"/>
            <w:shd w:val="clear" w:color="auto" w:fill="DBDBDB"/>
          </w:tcPr>
          <w:p>
            <w:pPr>
              <w:spacing w:after="0"/>
              <w:rPr>
                <w:sz w:val="14"/>
                <w:szCs w:val="14"/>
                <w:color w:val="auto"/>
              </w:rPr>
            </w:pPr>
          </w:p>
        </w:tc>
        <w:tc>
          <w:tcPr>
            <w:tcW w:w="900" w:type="dxa"/>
            <w:vAlign w:val="bottom"/>
            <w:shd w:val="clear" w:color="auto" w:fill="DBDBDB"/>
          </w:tcPr>
          <w:p>
            <w:pPr>
              <w:spacing w:after="0"/>
              <w:rPr>
                <w:sz w:val="14"/>
                <w:szCs w:val="14"/>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30,058</w:t>
            </w:r>
          </w:p>
        </w:tc>
        <w:tc>
          <w:tcPr>
            <w:tcW w:w="80" w:type="dxa"/>
            <w:vAlign w:val="bottom"/>
            <w:shd w:val="clear" w:color="auto" w:fill="DBDBDB"/>
          </w:tcPr>
          <w:p>
            <w:pPr>
              <w:spacing w:after="0"/>
              <w:rPr>
                <w:sz w:val="14"/>
                <w:szCs w:val="14"/>
                <w:color w:val="auto"/>
              </w:rPr>
            </w:pPr>
          </w:p>
        </w:tc>
        <w:tc>
          <w:tcPr>
            <w:tcW w:w="900" w:type="dxa"/>
            <w:vAlign w:val="bottom"/>
            <w:shd w:val="clear" w:color="auto" w:fill="DBDBDB"/>
          </w:tcPr>
          <w:p>
            <w:pPr>
              <w:spacing w:after="0"/>
              <w:rPr>
                <w:sz w:val="14"/>
                <w:szCs w:val="14"/>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44"/>
        </w:trPr>
        <w:tc>
          <w:tcPr>
            <w:tcW w:w="1920" w:type="dxa"/>
            <w:vAlign w:val="bottom"/>
          </w:tcPr>
          <w:p>
            <w:pPr>
              <w:ind w:left="700"/>
              <w:spacing w:after="0" w:line="144" w:lineRule="exact"/>
              <w:rPr>
                <w:sz w:val="20"/>
                <w:szCs w:val="20"/>
                <w:color w:val="auto"/>
              </w:rPr>
            </w:pPr>
            <w:r>
              <w:rPr>
                <w:rFonts w:ascii="Arial" w:cs="Arial" w:eastAsia="Arial" w:hAnsi="Arial"/>
                <w:sz w:val="13"/>
                <w:szCs w:val="13"/>
                <w:color w:val="auto"/>
              </w:rPr>
              <w:t>Loss on</w:t>
            </w: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20" w:type="dxa"/>
            <w:vAlign w:val="bottom"/>
            <w:tcBorders>
              <w:bottom w:val="single" w:sz="8" w:color="DBDBDB"/>
            </w:tcBorders>
          </w:tcPr>
          <w:p>
            <w:pPr>
              <w:ind w:left="180"/>
              <w:spacing w:after="0"/>
              <w:rPr>
                <w:sz w:val="20"/>
                <w:szCs w:val="20"/>
                <w:color w:val="auto"/>
              </w:rPr>
            </w:pPr>
            <w:r>
              <w:rPr>
                <w:rFonts w:ascii="Arial" w:cs="Arial" w:eastAsia="Arial" w:hAnsi="Arial"/>
                <w:sz w:val="13"/>
                <w:szCs w:val="13"/>
                <w:color w:val="auto"/>
              </w:rPr>
              <w:t>extinguishment of debt</w:t>
            </w:r>
          </w:p>
        </w:tc>
        <w:tc>
          <w:tcPr>
            <w:tcW w:w="9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5,999</w:t>
            </w:r>
          </w:p>
        </w:tc>
        <w:tc>
          <w:tcPr>
            <w:tcW w:w="80" w:type="dxa"/>
            <w:vAlign w:val="bottom"/>
            <w:tcBorders>
              <w:bottom w:val="single" w:sz="8" w:color="DBDBDB"/>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42,401</w:t>
            </w:r>
          </w:p>
        </w:tc>
        <w:tc>
          <w:tcPr>
            <w:tcW w:w="80" w:type="dxa"/>
            <w:vAlign w:val="bottom"/>
            <w:tcBorders>
              <w:bottom w:val="single" w:sz="8" w:color="DBDBDB"/>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8,755</w:t>
            </w:r>
          </w:p>
        </w:tc>
        <w:tc>
          <w:tcPr>
            <w:tcW w:w="80" w:type="dxa"/>
            <w:vAlign w:val="bottom"/>
            <w:tcBorders>
              <w:bottom w:val="single" w:sz="8" w:color="DBDBDB"/>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(36,402)</w:t>
            </w:r>
          </w:p>
        </w:tc>
        <w:tc>
          <w:tcPr>
            <w:tcW w:w="80" w:type="dxa"/>
            <w:vAlign w:val="bottom"/>
            <w:tcBorders>
              <w:bottom w:val="single" w:sz="8" w:color="DBDBDB"/>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920" w:type="dxa"/>
            <w:vAlign w:val="bottom"/>
            <w:shd w:val="clear" w:color="auto" w:fill="DBDBDB"/>
          </w:tcPr>
          <w:p>
            <w:pPr>
              <w:ind w:left="540"/>
              <w:spacing w:after="0" w:line="126" w:lineRule="exact"/>
              <w:rPr>
                <w:sz w:val="20"/>
                <w:szCs w:val="20"/>
                <w:color w:val="auto"/>
              </w:rPr>
            </w:pPr>
            <w:r>
              <w:rPr>
                <w:rFonts w:ascii="Arial" w:cs="Arial" w:eastAsia="Arial" w:hAnsi="Arial"/>
                <w:sz w:val="13"/>
                <w:szCs w:val="13"/>
                <w:color w:val="auto"/>
              </w:rPr>
              <w:t>Income (loss) before</w:t>
            </w:r>
          </w:p>
        </w:tc>
        <w:tc>
          <w:tcPr>
            <w:tcW w:w="900" w:type="dxa"/>
            <w:vAlign w:val="bottom"/>
            <w:shd w:val="clear" w:color="auto" w:fill="DBDBDB"/>
          </w:tcPr>
          <w:p>
            <w:pPr>
              <w:spacing w:after="0"/>
              <w:rPr>
                <w:sz w:val="10"/>
                <w:szCs w:val="10"/>
                <w:color w:val="auto"/>
              </w:rPr>
            </w:pPr>
          </w:p>
        </w:tc>
        <w:tc>
          <w:tcPr>
            <w:tcW w:w="90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900" w:type="dxa"/>
            <w:vAlign w:val="bottom"/>
            <w:shd w:val="clear" w:color="auto" w:fill="DBDBDB"/>
          </w:tcPr>
          <w:p>
            <w:pPr>
              <w:spacing w:after="0"/>
              <w:rPr>
                <w:sz w:val="10"/>
                <w:szCs w:val="10"/>
                <w:color w:val="auto"/>
              </w:rPr>
            </w:pPr>
          </w:p>
        </w:tc>
        <w:tc>
          <w:tcPr>
            <w:tcW w:w="90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880" w:type="dxa"/>
            <w:vAlign w:val="bottom"/>
            <w:shd w:val="clear" w:color="auto" w:fill="DBDBDB"/>
          </w:tcPr>
          <w:p>
            <w:pPr>
              <w:spacing w:after="0"/>
              <w:rPr>
                <w:sz w:val="10"/>
                <w:szCs w:val="10"/>
                <w:color w:val="auto"/>
              </w:rPr>
            </w:pPr>
          </w:p>
        </w:tc>
        <w:tc>
          <w:tcPr>
            <w:tcW w:w="92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900" w:type="dxa"/>
            <w:vAlign w:val="bottom"/>
            <w:shd w:val="clear" w:color="auto" w:fill="DBDBDB"/>
          </w:tcPr>
          <w:p>
            <w:pPr>
              <w:spacing w:after="0"/>
              <w:rPr>
                <w:sz w:val="10"/>
                <w:szCs w:val="10"/>
                <w:color w:val="auto"/>
              </w:rPr>
            </w:pPr>
          </w:p>
        </w:tc>
        <w:tc>
          <w:tcPr>
            <w:tcW w:w="88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900" w:type="dxa"/>
            <w:vAlign w:val="bottom"/>
            <w:shd w:val="clear" w:color="auto" w:fill="DBDBDB"/>
          </w:tcPr>
          <w:p>
            <w:pPr>
              <w:spacing w:after="0"/>
              <w:rPr>
                <w:sz w:val="10"/>
                <w:szCs w:val="10"/>
                <w:color w:val="auto"/>
              </w:rPr>
            </w:pPr>
          </w:p>
        </w:tc>
        <w:tc>
          <w:tcPr>
            <w:tcW w:w="500" w:type="dxa"/>
            <w:vAlign w:val="bottom"/>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DBDBDB"/>
          </w:tcPr>
          <w:p>
            <w:pPr>
              <w:spacing w:after="0"/>
              <w:rPr>
                <w:sz w:val="20"/>
                <w:szCs w:val="20"/>
                <w:color w:val="auto"/>
              </w:rPr>
            </w:pPr>
            <w:r>
              <w:rPr>
                <w:rFonts w:ascii="Arial" w:cs="Arial" w:eastAsia="Arial" w:hAnsi="Arial"/>
                <w:sz w:val="13"/>
                <w:szCs w:val="13"/>
                <w:color w:val="auto"/>
              </w:rPr>
              <w:t>income tax</w:t>
            </w:r>
          </w:p>
        </w:tc>
        <w:tc>
          <w:tcPr>
            <w:tcW w:w="900" w:type="dxa"/>
            <w:vAlign w:val="bottom"/>
            <w:shd w:val="clear" w:color="auto" w:fill="DBDBDB"/>
          </w:tcPr>
          <w:p>
            <w:pPr>
              <w:spacing w:after="0"/>
              <w:rPr>
                <w:sz w:val="14"/>
                <w:szCs w:val="14"/>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209,690</w:t>
            </w:r>
          </w:p>
        </w:tc>
        <w:tc>
          <w:tcPr>
            <w:tcW w:w="80" w:type="dxa"/>
            <w:vAlign w:val="bottom"/>
            <w:shd w:val="clear" w:color="auto" w:fill="DBDBDB"/>
          </w:tcPr>
          <w:p>
            <w:pPr>
              <w:spacing w:after="0"/>
              <w:rPr>
                <w:sz w:val="14"/>
                <w:szCs w:val="14"/>
                <w:color w:val="auto"/>
              </w:rPr>
            </w:pPr>
          </w:p>
        </w:tc>
        <w:tc>
          <w:tcPr>
            <w:tcW w:w="900" w:type="dxa"/>
            <w:vAlign w:val="bottom"/>
            <w:shd w:val="clear" w:color="auto" w:fill="DBDBDB"/>
          </w:tcPr>
          <w:p>
            <w:pPr>
              <w:spacing w:after="0"/>
              <w:rPr>
                <w:sz w:val="14"/>
                <w:szCs w:val="14"/>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23,889</w:t>
            </w:r>
          </w:p>
        </w:tc>
        <w:tc>
          <w:tcPr>
            <w:tcW w:w="80" w:type="dxa"/>
            <w:vAlign w:val="bottom"/>
            <w:shd w:val="clear" w:color="auto" w:fill="DBDBDB"/>
          </w:tcPr>
          <w:p>
            <w:pPr>
              <w:spacing w:after="0"/>
              <w:rPr>
                <w:sz w:val="14"/>
                <w:szCs w:val="14"/>
                <w:color w:val="auto"/>
              </w:rPr>
            </w:pPr>
          </w:p>
        </w:tc>
        <w:tc>
          <w:tcPr>
            <w:tcW w:w="880" w:type="dxa"/>
            <w:vAlign w:val="bottom"/>
            <w:shd w:val="clear" w:color="auto" w:fill="DBDBDB"/>
          </w:tcPr>
          <w:p>
            <w:pPr>
              <w:spacing w:after="0"/>
              <w:rPr>
                <w:sz w:val="14"/>
                <w:szCs w:val="14"/>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(123,356)</w:t>
            </w:r>
          </w:p>
        </w:tc>
        <w:tc>
          <w:tcPr>
            <w:tcW w:w="80" w:type="dxa"/>
            <w:vAlign w:val="bottom"/>
            <w:shd w:val="clear" w:color="auto" w:fill="DBDBDB"/>
          </w:tcPr>
          <w:p>
            <w:pPr>
              <w:spacing w:after="0"/>
              <w:rPr>
                <w:sz w:val="14"/>
                <w:szCs w:val="14"/>
                <w:color w:val="auto"/>
              </w:rPr>
            </w:pPr>
          </w:p>
        </w:tc>
        <w:tc>
          <w:tcPr>
            <w:tcW w:w="900" w:type="dxa"/>
            <w:vAlign w:val="bottom"/>
            <w:shd w:val="clear" w:color="auto" w:fill="DBDBDB"/>
          </w:tcPr>
          <w:p>
            <w:pPr>
              <w:spacing w:after="0"/>
              <w:rPr>
                <w:sz w:val="14"/>
                <w:szCs w:val="14"/>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185,801</w:t>
            </w:r>
          </w:p>
        </w:tc>
        <w:tc>
          <w:tcPr>
            <w:tcW w:w="80" w:type="dxa"/>
            <w:vAlign w:val="bottom"/>
            <w:shd w:val="clear" w:color="auto" w:fill="DBDBDB"/>
          </w:tcPr>
          <w:p>
            <w:pPr>
              <w:spacing w:after="0"/>
              <w:rPr>
                <w:sz w:val="14"/>
                <w:szCs w:val="14"/>
                <w:color w:val="auto"/>
              </w:rPr>
            </w:pPr>
          </w:p>
        </w:tc>
        <w:tc>
          <w:tcPr>
            <w:tcW w:w="900" w:type="dxa"/>
            <w:vAlign w:val="bottom"/>
            <w:shd w:val="clear" w:color="auto" w:fill="DBDBDB"/>
          </w:tcPr>
          <w:p>
            <w:pPr>
              <w:spacing w:after="0"/>
              <w:rPr>
                <w:sz w:val="14"/>
                <w:szCs w:val="14"/>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4"/>
        </w:trPr>
        <w:tc>
          <w:tcPr>
            <w:tcW w:w="1920" w:type="dxa"/>
            <w:vAlign w:val="bottom"/>
          </w:tcPr>
          <w:p>
            <w:pPr>
              <w:ind w:left="700"/>
              <w:spacing w:after="0" w:line="144" w:lineRule="exact"/>
              <w:rPr>
                <w:sz w:val="20"/>
                <w:szCs w:val="20"/>
                <w:color w:val="auto"/>
              </w:rPr>
            </w:pPr>
            <w:r>
              <w:rPr>
                <w:rFonts w:ascii="Arial" w:cs="Arial" w:eastAsia="Arial" w:hAnsi="Arial"/>
                <w:sz w:val="13"/>
                <w:szCs w:val="13"/>
                <w:color w:val="auto"/>
              </w:rPr>
              <w:t>Income tax expense</w:t>
            </w: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20" w:type="dxa"/>
            <w:vAlign w:val="bottom"/>
            <w:tcBorders>
              <w:bottom w:val="single" w:sz="8" w:color="DBDBDB"/>
            </w:tcBorders>
          </w:tcPr>
          <w:p>
            <w:pPr>
              <w:ind w:left="180"/>
              <w:spacing w:after="0"/>
              <w:rPr>
                <w:sz w:val="20"/>
                <w:szCs w:val="20"/>
                <w:color w:val="auto"/>
              </w:rPr>
            </w:pPr>
            <w:r>
              <w:rPr>
                <w:rFonts w:ascii="Arial" w:cs="Arial" w:eastAsia="Arial" w:hAnsi="Arial"/>
                <w:sz w:val="13"/>
                <w:szCs w:val="13"/>
                <w:color w:val="auto"/>
              </w:rPr>
              <w:t>(benefit)</w:t>
            </w:r>
          </w:p>
        </w:tc>
        <w:tc>
          <w:tcPr>
            <w:tcW w:w="9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49,546</w:t>
            </w:r>
          </w:p>
        </w:tc>
        <w:tc>
          <w:tcPr>
            <w:tcW w:w="80" w:type="dxa"/>
            <w:vAlign w:val="bottom"/>
            <w:tcBorders>
              <w:bottom w:val="single" w:sz="8" w:color="DBDBDB"/>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(51,451)</w:t>
            </w:r>
          </w:p>
        </w:tc>
        <w:tc>
          <w:tcPr>
            <w:tcW w:w="80" w:type="dxa"/>
            <w:vAlign w:val="bottom"/>
            <w:tcBorders>
              <w:bottom w:val="single" w:sz="8" w:color="DBDBDB"/>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(2,191)</w:t>
            </w:r>
          </w:p>
        </w:tc>
        <w:tc>
          <w:tcPr>
            <w:tcW w:w="80" w:type="dxa"/>
            <w:vAlign w:val="bottom"/>
            <w:tcBorders>
              <w:bottom w:val="single" w:sz="8" w:color="DBDBDB"/>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100,997</w:t>
            </w:r>
          </w:p>
        </w:tc>
        <w:tc>
          <w:tcPr>
            <w:tcW w:w="80" w:type="dxa"/>
            <w:vAlign w:val="bottom"/>
            <w:tcBorders>
              <w:bottom w:val="single" w:sz="8" w:color="DBDBDB"/>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69"/>
        </w:trPr>
        <w:tc>
          <w:tcPr>
            <w:tcW w:w="1920" w:type="dxa"/>
            <w:vAlign w:val="bottom"/>
            <w:shd w:val="clear" w:color="auto" w:fill="DBDBDB"/>
          </w:tcPr>
          <w:p>
            <w:pPr>
              <w:ind w:left="540"/>
              <w:spacing w:after="0"/>
              <w:rPr>
                <w:sz w:val="20"/>
                <w:szCs w:val="20"/>
                <w:color w:val="auto"/>
              </w:rPr>
            </w:pPr>
            <w:r>
              <w:rPr>
                <w:rFonts w:ascii="Arial" w:cs="Arial" w:eastAsia="Arial" w:hAnsi="Arial"/>
                <w:sz w:val="13"/>
                <w:szCs w:val="13"/>
                <w:color w:val="auto"/>
              </w:rPr>
              <w:t>Net income (loss)</w:t>
            </w:r>
          </w:p>
        </w:tc>
        <w:tc>
          <w:tcPr>
            <w:tcW w:w="900" w:type="dxa"/>
            <w:vAlign w:val="bottom"/>
            <w:shd w:val="clear" w:color="auto" w:fill="DBDBDB"/>
          </w:tcPr>
          <w:p>
            <w:pPr>
              <w:spacing w:after="0"/>
              <w:rPr>
                <w:sz w:val="14"/>
                <w:szCs w:val="14"/>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160,144</w:t>
            </w:r>
          </w:p>
        </w:tc>
        <w:tc>
          <w:tcPr>
            <w:tcW w:w="80" w:type="dxa"/>
            <w:vAlign w:val="bottom"/>
            <w:shd w:val="clear" w:color="auto" w:fill="DBDBDB"/>
          </w:tcPr>
          <w:p>
            <w:pPr>
              <w:spacing w:after="0"/>
              <w:rPr>
                <w:sz w:val="14"/>
                <w:szCs w:val="14"/>
                <w:color w:val="auto"/>
              </w:rPr>
            </w:pPr>
          </w:p>
        </w:tc>
        <w:tc>
          <w:tcPr>
            <w:tcW w:w="900" w:type="dxa"/>
            <w:vAlign w:val="bottom"/>
            <w:shd w:val="clear" w:color="auto" w:fill="DBDBDB"/>
          </w:tcPr>
          <w:p>
            <w:pPr>
              <w:spacing w:after="0"/>
              <w:rPr>
                <w:sz w:val="14"/>
                <w:szCs w:val="14"/>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75,340</w:t>
            </w:r>
          </w:p>
        </w:tc>
        <w:tc>
          <w:tcPr>
            <w:tcW w:w="80" w:type="dxa"/>
            <w:vAlign w:val="bottom"/>
            <w:shd w:val="clear" w:color="auto" w:fill="DBDBDB"/>
          </w:tcPr>
          <w:p>
            <w:pPr>
              <w:spacing w:after="0"/>
              <w:rPr>
                <w:sz w:val="14"/>
                <w:szCs w:val="14"/>
                <w:color w:val="auto"/>
              </w:rPr>
            </w:pPr>
          </w:p>
        </w:tc>
        <w:tc>
          <w:tcPr>
            <w:tcW w:w="880" w:type="dxa"/>
            <w:vAlign w:val="bottom"/>
            <w:shd w:val="clear" w:color="auto" w:fill="DBDBDB"/>
          </w:tcPr>
          <w:p>
            <w:pPr>
              <w:spacing w:after="0"/>
              <w:rPr>
                <w:sz w:val="14"/>
                <w:szCs w:val="14"/>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(121,165)</w:t>
            </w:r>
          </w:p>
        </w:tc>
        <w:tc>
          <w:tcPr>
            <w:tcW w:w="80" w:type="dxa"/>
            <w:vAlign w:val="bottom"/>
            <w:shd w:val="clear" w:color="auto" w:fill="DBDBDB"/>
          </w:tcPr>
          <w:p>
            <w:pPr>
              <w:spacing w:after="0"/>
              <w:rPr>
                <w:sz w:val="14"/>
                <w:szCs w:val="14"/>
                <w:color w:val="auto"/>
              </w:rPr>
            </w:pPr>
          </w:p>
        </w:tc>
        <w:tc>
          <w:tcPr>
            <w:tcW w:w="900" w:type="dxa"/>
            <w:vAlign w:val="bottom"/>
            <w:shd w:val="clear" w:color="auto" w:fill="DBDBDB"/>
          </w:tcPr>
          <w:p>
            <w:pPr>
              <w:spacing w:after="0"/>
              <w:rPr>
                <w:sz w:val="14"/>
                <w:szCs w:val="14"/>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84,804</w:t>
            </w:r>
          </w:p>
        </w:tc>
        <w:tc>
          <w:tcPr>
            <w:tcW w:w="80" w:type="dxa"/>
            <w:vAlign w:val="bottom"/>
            <w:shd w:val="clear" w:color="auto" w:fill="DBDBDB"/>
          </w:tcPr>
          <w:p>
            <w:pPr>
              <w:spacing w:after="0"/>
              <w:rPr>
                <w:sz w:val="14"/>
                <w:szCs w:val="14"/>
                <w:color w:val="auto"/>
              </w:rPr>
            </w:pPr>
          </w:p>
        </w:tc>
        <w:tc>
          <w:tcPr>
            <w:tcW w:w="900" w:type="dxa"/>
            <w:vAlign w:val="bottom"/>
            <w:shd w:val="clear" w:color="auto" w:fill="DBDBDB"/>
          </w:tcPr>
          <w:p>
            <w:pPr>
              <w:spacing w:after="0"/>
              <w:rPr>
                <w:sz w:val="14"/>
                <w:szCs w:val="14"/>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4"/>
        </w:trPr>
        <w:tc>
          <w:tcPr>
            <w:tcW w:w="1920" w:type="dxa"/>
            <w:vAlign w:val="bottom"/>
          </w:tcPr>
          <w:p>
            <w:pPr>
              <w:ind w:left="540"/>
              <w:spacing w:after="0" w:line="144" w:lineRule="exact"/>
              <w:rPr>
                <w:sz w:val="20"/>
                <w:szCs w:val="20"/>
                <w:color w:val="auto"/>
              </w:rPr>
            </w:pPr>
            <w:r>
              <w:rPr>
                <w:rFonts w:ascii="Arial" w:cs="Arial" w:eastAsia="Arial" w:hAnsi="Arial"/>
                <w:sz w:val="13"/>
                <w:szCs w:val="13"/>
                <w:color w:val="auto"/>
              </w:rPr>
              <w:t>Net income (loss)</w:t>
            </w: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920" w:type="dxa"/>
            <w:vAlign w:val="bottom"/>
          </w:tcPr>
          <w:p>
            <w:pPr>
              <w:spacing w:after="0" w:line="131" w:lineRule="exact"/>
              <w:rPr>
                <w:sz w:val="20"/>
                <w:szCs w:val="20"/>
                <w:color w:val="auto"/>
              </w:rPr>
            </w:pPr>
            <w:r>
              <w:rPr>
                <w:rFonts w:ascii="Arial" w:cs="Arial" w:eastAsia="Arial" w:hAnsi="Arial"/>
                <w:sz w:val="13"/>
                <w:szCs w:val="13"/>
                <w:color w:val="auto"/>
              </w:rPr>
              <w:t>attributable to non-controlling</w:t>
            </w: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920" w:type="dxa"/>
            <w:vAlign w:val="bottom"/>
          </w:tcPr>
          <w:p>
            <w:pPr>
              <w:spacing w:after="0"/>
              <w:rPr>
                <w:sz w:val="20"/>
                <w:szCs w:val="20"/>
                <w:color w:val="auto"/>
              </w:rPr>
            </w:pPr>
            <w:r>
              <w:rPr>
                <w:rFonts w:ascii="Arial" w:cs="Arial" w:eastAsia="Arial" w:hAnsi="Arial"/>
                <w:sz w:val="13"/>
                <w:szCs w:val="13"/>
                <w:color w:val="auto"/>
              </w:rPr>
              <w:t>interest, net of tax</w:t>
            </w:r>
          </w:p>
        </w:tc>
        <w:tc>
          <w:tcPr>
            <w:tcW w:w="90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1,213</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(421)</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(1,213)</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920" w:type="dxa"/>
            <w:vAlign w:val="bottom"/>
            <w:tcBorders>
              <w:top w:val="single" w:sz="8" w:color="DBDBDB"/>
            </w:tcBorders>
            <w:shd w:val="clear" w:color="auto" w:fill="DBDBDB"/>
          </w:tcPr>
          <w:p>
            <w:pPr>
              <w:ind w:left="540"/>
              <w:spacing w:after="0" w:line="126" w:lineRule="exact"/>
              <w:rPr>
                <w:sz w:val="20"/>
                <w:szCs w:val="20"/>
                <w:color w:val="auto"/>
              </w:rPr>
            </w:pPr>
            <w:r>
              <w:rPr>
                <w:rFonts w:ascii="Arial" w:cs="Arial" w:eastAsia="Arial" w:hAnsi="Arial"/>
                <w:sz w:val="13"/>
                <w:szCs w:val="13"/>
                <w:color w:val="auto"/>
              </w:rPr>
              <w:t>Net income (loss)</w:t>
            </w:r>
          </w:p>
        </w:tc>
        <w:tc>
          <w:tcPr>
            <w:tcW w:w="900" w:type="dxa"/>
            <w:vAlign w:val="bottom"/>
            <w:tcBorders>
              <w:top w:val="single" w:sz="8" w:color="auto"/>
            </w:tcBorders>
            <w:shd w:val="clear" w:color="auto" w:fill="DBDBDB"/>
          </w:tcPr>
          <w:p>
            <w:pPr>
              <w:spacing w:after="0"/>
              <w:rPr>
                <w:sz w:val="10"/>
                <w:szCs w:val="10"/>
                <w:color w:val="auto"/>
              </w:rPr>
            </w:pPr>
          </w:p>
        </w:tc>
        <w:tc>
          <w:tcPr>
            <w:tcW w:w="900" w:type="dxa"/>
            <w:vAlign w:val="bottom"/>
            <w:tcBorders>
              <w:top w:val="single" w:sz="8" w:color="auto"/>
            </w:tcBorders>
            <w:shd w:val="clear" w:color="auto" w:fill="DBDBDB"/>
          </w:tcPr>
          <w:p>
            <w:pPr>
              <w:spacing w:after="0"/>
              <w:rPr>
                <w:sz w:val="10"/>
                <w:szCs w:val="10"/>
                <w:color w:val="auto"/>
              </w:rPr>
            </w:pPr>
          </w:p>
        </w:tc>
        <w:tc>
          <w:tcPr>
            <w:tcW w:w="80" w:type="dxa"/>
            <w:vAlign w:val="bottom"/>
            <w:tcBorders>
              <w:top w:val="single" w:sz="8" w:color="DBDBDB"/>
            </w:tcBorders>
            <w:shd w:val="clear" w:color="auto" w:fill="DBDBDB"/>
          </w:tcPr>
          <w:p>
            <w:pPr>
              <w:spacing w:after="0"/>
              <w:rPr>
                <w:sz w:val="10"/>
                <w:szCs w:val="10"/>
                <w:color w:val="auto"/>
              </w:rPr>
            </w:pPr>
          </w:p>
        </w:tc>
        <w:tc>
          <w:tcPr>
            <w:tcW w:w="900" w:type="dxa"/>
            <w:vAlign w:val="bottom"/>
            <w:tcBorders>
              <w:top w:val="single" w:sz="8" w:color="auto"/>
            </w:tcBorders>
            <w:shd w:val="clear" w:color="auto" w:fill="DBDBDB"/>
          </w:tcPr>
          <w:p>
            <w:pPr>
              <w:spacing w:after="0"/>
              <w:rPr>
                <w:sz w:val="10"/>
                <w:szCs w:val="10"/>
                <w:color w:val="auto"/>
              </w:rPr>
            </w:pPr>
          </w:p>
        </w:tc>
        <w:tc>
          <w:tcPr>
            <w:tcW w:w="900" w:type="dxa"/>
            <w:vAlign w:val="bottom"/>
            <w:tcBorders>
              <w:top w:val="single" w:sz="8" w:color="auto"/>
            </w:tcBorders>
            <w:shd w:val="clear" w:color="auto" w:fill="DBDBDB"/>
          </w:tcPr>
          <w:p>
            <w:pPr>
              <w:spacing w:after="0"/>
              <w:rPr>
                <w:sz w:val="10"/>
                <w:szCs w:val="10"/>
                <w:color w:val="auto"/>
              </w:rPr>
            </w:pPr>
          </w:p>
        </w:tc>
        <w:tc>
          <w:tcPr>
            <w:tcW w:w="80" w:type="dxa"/>
            <w:vAlign w:val="bottom"/>
            <w:tcBorders>
              <w:top w:val="single" w:sz="8" w:color="DBDBDB"/>
            </w:tcBorders>
            <w:shd w:val="clear" w:color="auto" w:fill="DBDBDB"/>
          </w:tcPr>
          <w:p>
            <w:pPr>
              <w:spacing w:after="0"/>
              <w:rPr>
                <w:sz w:val="10"/>
                <w:szCs w:val="10"/>
                <w:color w:val="auto"/>
              </w:rPr>
            </w:pPr>
          </w:p>
        </w:tc>
        <w:tc>
          <w:tcPr>
            <w:tcW w:w="880" w:type="dxa"/>
            <w:vAlign w:val="bottom"/>
            <w:tcBorders>
              <w:top w:val="single" w:sz="8" w:color="auto"/>
            </w:tcBorders>
            <w:shd w:val="clear" w:color="auto" w:fill="DBDBDB"/>
          </w:tcPr>
          <w:p>
            <w:pPr>
              <w:spacing w:after="0"/>
              <w:rPr>
                <w:sz w:val="10"/>
                <w:szCs w:val="10"/>
                <w:color w:val="auto"/>
              </w:rPr>
            </w:pPr>
          </w:p>
        </w:tc>
        <w:tc>
          <w:tcPr>
            <w:tcW w:w="920" w:type="dxa"/>
            <w:vAlign w:val="bottom"/>
            <w:tcBorders>
              <w:top w:val="single" w:sz="8" w:color="auto"/>
            </w:tcBorders>
            <w:shd w:val="clear" w:color="auto" w:fill="DBDBDB"/>
          </w:tcPr>
          <w:p>
            <w:pPr>
              <w:spacing w:after="0"/>
              <w:rPr>
                <w:sz w:val="10"/>
                <w:szCs w:val="10"/>
                <w:color w:val="auto"/>
              </w:rPr>
            </w:pPr>
          </w:p>
        </w:tc>
        <w:tc>
          <w:tcPr>
            <w:tcW w:w="80" w:type="dxa"/>
            <w:vAlign w:val="bottom"/>
            <w:tcBorders>
              <w:top w:val="single" w:sz="8" w:color="DBDBDB"/>
            </w:tcBorders>
            <w:shd w:val="clear" w:color="auto" w:fill="DBDBDB"/>
          </w:tcPr>
          <w:p>
            <w:pPr>
              <w:spacing w:after="0"/>
              <w:rPr>
                <w:sz w:val="10"/>
                <w:szCs w:val="10"/>
                <w:color w:val="auto"/>
              </w:rPr>
            </w:pPr>
          </w:p>
        </w:tc>
        <w:tc>
          <w:tcPr>
            <w:tcW w:w="900" w:type="dxa"/>
            <w:vAlign w:val="bottom"/>
            <w:tcBorders>
              <w:top w:val="single" w:sz="8" w:color="auto"/>
            </w:tcBorders>
            <w:shd w:val="clear" w:color="auto" w:fill="DBDBDB"/>
          </w:tcPr>
          <w:p>
            <w:pPr>
              <w:spacing w:after="0"/>
              <w:rPr>
                <w:sz w:val="10"/>
                <w:szCs w:val="10"/>
                <w:color w:val="auto"/>
              </w:rPr>
            </w:pPr>
          </w:p>
        </w:tc>
        <w:tc>
          <w:tcPr>
            <w:tcW w:w="880" w:type="dxa"/>
            <w:vAlign w:val="bottom"/>
            <w:tcBorders>
              <w:top w:val="single" w:sz="8" w:color="auto"/>
            </w:tcBorders>
            <w:shd w:val="clear" w:color="auto" w:fill="DBDBDB"/>
          </w:tcPr>
          <w:p>
            <w:pPr>
              <w:spacing w:after="0"/>
              <w:rPr>
                <w:sz w:val="10"/>
                <w:szCs w:val="10"/>
                <w:color w:val="auto"/>
              </w:rPr>
            </w:pPr>
          </w:p>
        </w:tc>
        <w:tc>
          <w:tcPr>
            <w:tcW w:w="80" w:type="dxa"/>
            <w:vAlign w:val="bottom"/>
            <w:tcBorders>
              <w:top w:val="single" w:sz="8" w:color="DBDBDB"/>
            </w:tcBorders>
            <w:shd w:val="clear" w:color="auto" w:fill="DBDBDB"/>
          </w:tcPr>
          <w:p>
            <w:pPr>
              <w:spacing w:after="0"/>
              <w:rPr>
                <w:sz w:val="10"/>
                <w:szCs w:val="10"/>
                <w:color w:val="auto"/>
              </w:rPr>
            </w:pPr>
          </w:p>
        </w:tc>
        <w:tc>
          <w:tcPr>
            <w:tcW w:w="900" w:type="dxa"/>
            <w:vAlign w:val="bottom"/>
            <w:tcBorders>
              <w:top w:val="single" w:sz="8" w:color="auto"/>
            </w:tcBorders>
            <w:shd w:val="clear" w:color="auto" w:fill="DBDBDB"/>
          </w:tcPr>
          <w:p>
            <w:pPr>
              <w:spacing w:after="0"/>
              <w:rPr>
                <w:sz w:val="10"/>
                <w:szCs w:val="10"/>
                <w:color w:val="auto"/>
              </w:rPr>
            </w:pPr>
          </w:p>
        </w:tc>
        <w:tc>
          <w:tcPr>
            <w:tcW w:w="500" w:type="dxa"/>
            <w:vAlign w:val="bottom"/>
            <w:tcBorders>
              <w:top w:val="single" w:sz="8" w:color="auto"/>
            </w:tcBorders>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920" w:type="dxa"/>
            <w:vAlign w:val="bottom"/>
            <w:shd w:val="clear" w:color="auto" w:fill="DBDBDB"/>
          </w:tcPr>
          <w:p>
            <w:pPr>
              <w:spacing w:after="0" w:line="131" w:lineRule="exact"/>
              <w:rPr>
                <w:sz w:val="20"/>
                <w:szCs w:val="20"/>
                <w:color w:val="auto"/>
              </w:rPr>
            </w:pPr>
            <w:r>
              <w:rPr>
                <w:rFonts w:ascii="Arial" w:cs="Arial" w:eastAsia="Arial" w:hAnsi="Arial"/>
                <w:sz w:val="13"/>
                <w:szCs w:val="13"/>
                <w:color w:val="auto"/>
              </w:rPr>
              <w:t>attributable to WillScot common</w:t>
            </w:r>
          </w:p>
        </w:tc>
        <w:tc>
          <w:tcPr>
            <w:tcW w:w="900" w:type="dxa"/>
            <w:vAlign w:val="bottom"/>
            <w:vMerge w:val="restart"/>
            <w:shd w:val="clear" w:color="auto" w:fill="DBDBDB"/>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160,144</w:t>
            </w:r>
          </w:p>
        </w:tc>
        <w:tc>
          <w:tcPr>
            <w:tcW w:w="80" w:type="dxa"/>
            <w:vAlign w:val="bottom"/>
            <w:shd w:val="clear" w:color="auto" w:fill="DBDBDB"/>
          </w:tcPr>
          <w:p>
            <w:pPr>
              <w:spacing w:after="0"/>
              <w:rPr>
                <w:sz w:val="11"/>
                <w:szCs w:val="11"/>
                <w:color w:val="auto"/>
              </w:rPr>
            </w:pPr>
          </w:p>
        </w:tc>
        <w:tc>
          <w:tcPr>
            <w:tcW w:w="900" w:type="dxa"/>
            <w:vAlign w:val="bottom"/>
            <w:vMerge w:val="restart"/>
            <w:shd w:val="clear" w:color="auto" w:fill="DBDBDB"/>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74,127</w:t>
            </w:r>
          </w:p>
        </w:tc>
        <w:tc>
          <w:tcPr>
            <w:tcW w:w="80" w:type="dxa"/>
            <w:vAlign w:val="bottom"/>
            <w:shd w:val="clear" w:color="auto" w:fill="DBDBDB"/>
          </w:tcPr>
          <w:p>
            <w:pPr>
              <w:spacing w:after="0"/>
              <w:rPr>
                <w:sz w:val="11"/>
                <w:szCs w:val="11"/>
                <w:color w:val="auto"/>
              </w:rPr>
            </w:pPr>
          </w:p>
        </w:tc>
        <w:tc>
          <w:tcPr>
            <w:tcW w:w="880" w:type="dxa"/>
            <w:vAlign w:val="bottom"/>
            <w:vMerge w:val="restart"/>
            <w:shd w:val="clear" w:color="auto" w:fill="DBDBDB"/>
          </w:tcPr>
          <w:p>
            <w:pPr>
              <w:jc w:val="right"/>
              <w:ind w:right="194"/>
              <w:spacing w:after="0"/>
              <w:rPr>
                <w:sz w:val="20"/>
                <w:szCs w:val="20"/>
                <w:color w:val="auto"/>
              </w:rPr>
            </w:pPr>
            <w:r>
              <w:rPr>
                <w:rFonts w:ascii="Arial" w:cs="Arial" w:eastAsia="Arial" w:hAnsi="Arial"/>
                <w:sz w:val="13"/>
                <w:szCs w:val="13"/>
                <w:color w:val="auto"/>
              </w:rPr>
              <w:t>$</w:t>
            </w:r>
          </w:p>
        </w:tc>
        <w:tc>
          <w:tcPr>
            <w:tcW w:w="9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(120,744)</w:t>
            </w:r>
          </w:p>
        </w:tc>
        <w:tc>
          <w:tcPr>
            <w:tcW w:w="80" w:type="dxa"/>
            <w:vAlign w:val="bottom"/>
            <w:shd w:val="clear" w:color="auto" w:fill="DBDBDB"/>
          </w:tcPr>
          <w:p>
            <w:pPr>
              <w:spacing w:after="0"/>
              <w:rPr>
                <w:sz w:val="11"/>
                <w:szCs w:val="11"/>
                <w:color w:val="auto"/>
              </w:rPr>
            </w:pPr>
          </w:p>
        </w:tc>
        <w:tc>
          <w:tcPr>
            <w:tcW w:w="900" w:type="dxa"/>
            <w:vAlign w:val="bottom"/>
            <w:vMerge w:val="restart"/>
            <w:shd w:val="clear" w:color="auto" w:fill="DBDBDB"/>
          </w:tcPr>
          <w:p>
            <w:pPr>
              <w:jc w:val="right"/>
              <w:ind w:right="214"/>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86,017</w:t>
            </w:r>
          </w:p>
        </w:tc>
        <w:tc>
          <w:tcPr>
            <w:tcW w:w="80" w:type="dxa"/>
            <w:vAlign w:val="bottom"/>
            <w:shd w:val="clear" w:color="auto" w:fill="DBDBDB"/>
          </w:tcPr>
          <w:p>
            <w:pPr>
              <w:spacing w:after="0"/>
              <w:rPr>
                <w:sz w:val="11"/>
                <w:szCs w:val="11"/>
                <w:color w:val="auto"/>
              </w:rPr>
            </w:pPr>
          </w:p>
        </w:tc>
        <w:tc>
          <w:tcPr>
            <w:tcW w:w="900" w:type="dxa"/>
            <w:vAlign w:val="bottom"/>
            <w:vMerge w:val="restart"/>
            <w:shd w:val="clear" w:color="auto" w:fill="DBDBDB"/>
          </w:tcPr>
          <w:p>
            <w:pPr>
              <w:jc w:val="right"/>
              <w:ind w:right="214"/>
              <w:spacing w:after="0"/>
              <w:rPr>
                <w:sz w:val="20"/>
                <w:szCs w:val="20"/>
                <w:color w:val="auto"/>
              </w:rPr>
            </w:pPr>
            <w:r>
              <w:rPr>
                <w:rFonts w:ascii="Arial" w:cs="Arial" w:eastAsia="Arial" w:hAnsi="Arial"/>
                <w:sz w:val="13"/>
                <w:szCs w:val="13"/>
                <w:color w:val="auto"/>
              </w:rPr>
              <w:t>$</w:t>
            </w:r>
          </w:p>
        </w:tc>
        <w:tc>
          <w:tcPr>
            <w:tcW w:w="5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0"/>
        </w:trPr>
        <w:tc>
          <w:tcPr>
            <w:tcW w:w="1920" w:type="dxa"/>
            <w:vAlign w:val="bottom"/>
            <w:tcBorders>
              <w:bottom w:val="single" w:sz="8" w:color="DBDBDB"/>
            </w:tcBorders>
            <w:shd w:val="clear" w:color="auto" w:fill="DBDBDB"/>
          </w:tcPr>
          <w:p>
            <w:pPr>
              <w:spacing w:after="0" w:line="141" w:lineRule="exact"/>
              <w:rPr>
                <w:sz w:val="20"/>
                <w:szCs w:val="20"/>
                <w:color w:val="auto"/>
              </w:rPr>
            </w:pPr>
            <w:r>
              <w:rPr>
                <w:rFonts w:ascii="Arial" w:cs="Arial" w:eastAsia="Arial" w:hAnsi="Arial"/>
                <w:sz w:val="13"/>
                <w:szCs w:val="13"/>
                <w:color w:val="auto"/>
              </w:rPr>
              <w:t>shareholders</w:t>
            </w:r>
          </w:p>
        </w:tc>
        <w:tc>
          <w:tcPr>
            <w:tcW w:w="900" w:type="dxa"/>
            <w:vAlign w:val="bottom"/>
            <w:tcBorders>
              <w:bottom w:val="single" w:sz="8" w:color="auto"/>
            </w:tcBorders>
            <w:vMerge w:val="continue"/>
            <w:shd w:val="clear" w:color="auto" w:fill="DBDBDB"/>
          </w:tcPr>
          <w:p>
            <w:pPr>
              <w:spacing w:after="0"/>
              <w:rPr>
                <w:sz w:val="13"/>
                <w:szCs w:val="13"/>
                <w:color w:val="auto"/>
              </w:rPr>
            </w:pPr>
          </w:p>
        </w:tc>
        <w:tc>
          <w:tcPr>
            <w:tcW w:w="900" w:type="dxa"/>
            <w:vAlign w:val="bottom"/>
            <w:tcBorders>
              <w:bottom w:val="single" w:sz="8" w:color="auto"/>
            </w:tcBorders>
            <w:vMerge w:val="continue"/>
            <w:shd w:val="clear" w:color="auto" w:fill="DBDBDB"/>
          </w:tcPr>
          <w:p>
            <w:pPr>
              <w:spacing w:after="0"/>
              <w:rPr>
                <w:sz w:val="13"/>
                <w:szCs w:val="13"/>
                <w:color w:val="auto"/>
              </w:rPr>
            </w:pPr>
          </w:p>
        </w:tc>
        <w:tc>
          <w:tcPr>
            <w:tcW w:w="80" w:type="dxa"/>
            <w:vAlign w:val="bottom"/>
            <w:tcBorders>
              <w:bottom w:val="single" w:sz="8" w:color="DBDBDB"/>
            </w:tcBorders>
            <w:shd w:val="clear" w:color="auto" w:fill="DBDBDB"/>
          </w:tcPr>
          <w:p>
            <w:pPr>
              <w:spacing w:after="0"/>
              <w:rPr>
                <w:sz w:val="13"/>
                <w:szCs w:val="13"/>
                <w:color w:val="auto"/>
              </w:rPr>
            </w:pPr>
          </w:p>
        </w:tc>
        <w:tc>
          <w:tcPr>
            <w:tcW w:w="900" w:type="dxa"/>
            <w:vAlign w:val="bottom"/>
            <w:tcBorders>
              <w:bottom w:val="single" w:sz="8" w:color="auto"/>
            </w:tcBorders>
            <w:vMerge w:val="continue"/>
            <w:shd w:val="clear" w:color="auto" w:fill="DBDBDB"/>
          </w:tcPr>
          <w:p>
            <w:pPr>
              <w:spacing w:after="0"/>
              <w:rPr>
                <w:sz w:val="13"/>
                <w:szCs w:val="13"/>
                <w:color w:val="auto"/>
              </w:rPr>
            </w:pPr>
          </w:p>
        </w:tc>
        <w:tc>
          <w:tcPr>
            <w:tcW w:w="900" w:type="dxa"/>
            <w:vAlign w:val="bottom"/>
            <w:tcBorders>
              <w:bottom w:val="single" w:sz="8" w:color="auto"/>
            </w:tcBorders>
            <w:vMerge w:val="continue"/>
            <w:shd w:val="clear" w:color="auto" w:fill="DBDBDB"/>
          </w:tcPr>
          <w:p>
            <w:pPr>
              <w:spacing w:after="0"/>
              <w:rPr>
                <w:sz w:val="13"/>
                <w:szCs w:val="13"/>
                <w:color w:val="auto"/>
              </w:rPr>
            </w:pPr>
          </w:p>
        </w:tc>
        <w:tc>
          <w:tcPr>
            <w:tcW w:w="80" w:type="dxa"/>
            <w:vAlign w:val="bottom"/>
            <w:tcBorders>
              <w:bottom w:val="single" w:sz="8" w:color="DBDBDB"/>
            </w:tcBorders>
            <w:shd w:val="clear" w:color="auto" w:fill="DBDBDB"/>
          </w:tcPr>
          <w:p>
            <w:pPr>
              <w:spacing w:after="0"/>
              <w:rPr>
                <w:sz w:val="13"/>
                <w:szCs w:val="13"/>
                <w:color w:val="auto"/>
              </w:rPr>
            </w:pPr>
          </w:p>
        </w:tc>
        <w:tc>
          <w:tcPr>
            <w:tcW w:w="880" w:type="dxa"/>
            <w:vAlign w:val="bottom"/>
            <w:tcBorders>
              <w:bottom w:val="single" w:sz="8" w:color="auto"/>
            </w:tcBorders>
            <w:vMerge w:val="continue"/>
            <w:shd w:val="clear" w:color="auto" w:fill="DBDBDB"/>
          </w:tcPr>
          <w:p>
            <w:pPr>
              <w:spacing w:after="0"/>
              <w:rPr>
                <w:sz w:val="13"/>
                <w:szCs w:val="13"/>
                <w:color w:val="auto"/>
              </w:rPr>
            </w:pPr>
          </w:p>
        </w:tc>
        <w:tc>
          <w:tcPr>
            <w:tcW w:w="920" w:type="dxa"/>
            <w:vAlign w:val="bottom"/>
            <w:tcBorders>
              <w:bottom w:val="single" w:sz="8" w:color="auto"/>
            </w:tcBorders>
            <w:vMerge w:val="continue"/>
            <w:shd w:val="clear" w:color="auto" w:fill="DBDBDB"/>
          </w:tcPr>
          <w:p>
            <w:pPr>
              <w:spacing w:after="0"/>
              <w:rPr>
                <w:sz w:val="13"/>
                <w:szCs w:val="13"/>
                <w:color w:val="auto"/>
              </w:rPr>
            </w:pPr>
          </w:p>
        </w:tc>
        <w:tc>
          <w:tcPr>
            <w:tcW w:w="80" w:type="dxa"/>
            <w:vAlign w:val="bottom"/>
            <w:tcBorders>
              <w:bottom w:val="single" w:sz="8" w:color="DBDBDB"/>
            </w:tcBorders>
            <w:shd w:val="clear" w:color="auto" w:fill="DBDBDB"/>
          </w:tcPr>
          <w:p>
            <w:pPr>
              <w:spacing w:after="0"/>
              <w:rPr>
                <w:sz w:val="13"/>
                <w:szCs w:val="13"/>
                <w:color w:val="auto"/>
              </w:rPr>
            </w:pPr>
          </w:p>
        </w:tc>
        <w:tc>
          <w:tcPr>
            <w:tcW w:w="900" w:type="dxa"/>
            <w:vAlign w:val="bottom"/>
            <w:tcBorders>
              <w:bottom w:val="single" w:sz="8" w:color="auto"/>
            </w:tcBorders>
            <w:vMerge w:val="continue"/>
            <w:shd w:val="clear" w:color="auto" w:fill="DBDBDB"/>
          </w:tcPr>
          <w:p>
            <w:pPr>
              <w:spacing w:after="0"/>
              <w:rPr>
                <w:sz w:val="13"/>
                <w:szCs w:val="13"/>
                <w:color w:val="auto"/>
              </w:rPr>
            </w:pPr>
          </w:p>
        </w:tc>
        <w:tc>
          <w:tcPr>
            <w:tcW w:w="880" w:type="dxa"/>
            <w:vAlign w:val="bottom"/>
            <w:tcBorders>
              <w:bottom w:val="single" w:sz="8" w:color="auto"/>
            </w:tcBorders>
            <w:vMerge w:val="continue"/>
            <w:shd w:val="clear" w:color="auto" w:fill="DBDBDB"/>
          </w:tcPr>
          <w:p>
            <w:pPr>
              <w:spacing w:after="0"/>
              <w:rPr>
                <w:sz w:val="13"/>
                <w:szCs w:val="13"/>
                <w:color w:val="auto"/>
              </w:rPr>
            </w:pPr>
          </w:p>
        </w:tc>
        <w:tc>
          <w:tcPr>
            <w:tcW w:w="80" w:type="dxa"/>
            <w:vAlign w:val="bottom"/>
            <w:tcBorders>
              <w:bottom w:val="single" w:sz="8" w:color="DBDBDB"/>
            </w:tcBorders>
            <w:shd w:val="clear" w:color="auto" w:fill="DBDBDB"/>
          </w:tcPr>
          <w:p>
            <w:pPr>
              <w:spacing w:after="0"/>
              <w:rPr>
                <w:sz w:val="13"/>
                <w:szCs w:val="13"/>
                <w:color w:val="auto"/>
              </w:rPr>
            </w:pPr>
          </w:p>
        </w:tc>
        <w:tc>
          <w:tcPr>
            <w:tcW w:w="900" w:type="dxa"/>
            <w:vAlign w:val="bottom"/>
            <w:tcBorders>
              <w:bottom w:val="single" w:sz="8" w:color="auto"/>
            </w:tcBorders>
            <w:vMerge w:val="continue"/>
            <w:shd w:val="clear" w:color="auto" w:fill="DBDBDB"/>
          </w:tcPr>
          <w:p>
            <w:pPr>
              <w:spacing w:after="0"/>
              <w:rPr>
                <w:sz w:val="13"/>
                <w:szCs w:val="13"/>
                <w:color w:val="auto"/>
              </w:rPr>
            </w:pPr>
          </w:p>
        </w:tc>
        <w:tc>
          <w:tcPr>
            <w:tcW w:w="500" w:type="dxa"/>
            <w:vAlign w:val="bottom"/>
            <w:tcBorders>
              <w:bottom w:val="single" w:sz="8" w:color="auto"/>
            </w:tcBorders>
            <w:vMerge w:val="continue"/>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DBDBDB"/>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5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920" w:type="dxa"/>
            <w:vAlign w:val="bottom"/>
            <w:shd w:val="clear" w:color="auto" w:fill="DBDBDB"/>
          </w:tcPr>
          <w:p>
            <w:pPr>
              <w:ind w:left="540"/>
              <w:spacing w:after="0"/>
              <w:rPr>
                <w:sz w:val="20"/>
                <w:szCs w:val="20"/>
                <w:color w:val="auto"/>
              </w:rPr>
            </w:pPr>
            <w:r>
              <w:rPr>
                <w:rFonts w:ascii="Arial" w:cs="Arial" w:eastAsia="Arial" w:hAnsi="Arial"/>
                <w:sz w:val="13"/>
                <w:szCs w:val="13"/>
                <w:color w:val="auto"/>
              </w:rPr>
              <w:t>Cash Flow Data:</w:t>
            </w:r>
          </w:p>
        </w:tc>
        <w:tc>
          <w:tcPr>
            <w:tcW w:w="900" w:type="dxa"/>
            <w:vAlign w:val="bottom"/>
            <w:shd w:val="clear" w:color="auto" w:fill="DBDBDB"/>
          </w:tcPr>
          <w:p>
            <w:pPr>
              <w:spacing w:after="0"/>
              <w:rPr>
                <w:sz w:val="15"/>
                <w:szCs w:val="15"/>
                <w:color w:val="auto"/>
              </w:rPr>
            </w:pPr>
          </w:p>
        </w:tc>
        <w:tc>
          <w:tcPr>
            <w:tcW w:w="9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900" w:type="dxa"/>
            <w:vAlign w:val="bottom"/>
            <w:shd w:val="clear" w:color="auto" w:fill="DBDBDB"/>
          </w:tcPr>
          <w:p>
            <w:pPr>
              <w:spacing w:after="0"/>
              <w:rPr>
                <w:sz w:val="15"/>
                <w:szCs w:val="15"/>
                <w:color w:val="auto"/>
              </w:rPr>
            </w:pPr>
          </w:p>
        </w:tc>
        <w:tc>
          <w:tcPr>
            <w:tcW w:w="9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88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900" w:type="dxa"/>
            <w:vAlign w:val="bottom"/>
            <w:shd w:val="clear" w:color="auto" w:fill="DBDBDB"/>
          </w:tcPr>
          <w:p>
            <w:pPr>
              <w:spacing w:after="0"/>
              <w:rPr>
                <w:sz w:val="15"/>
                <w:szCs w:val="15"/>
                <w:color w:val="auto"/>
              </w:rPr>
            </w:pPr>
          </w:p>
        </w:tc>
        <w:tc>
          <w:tcPr>
            <w:tcW w:w="8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900" w:type="dxa"/>
            <w:vAlign w:val="bottom"/>
            <w:shd w:val="clear" w:color="auto" w:fill="DBDBDB"/>
          </w:tcPr>
          <w:p>
            <w:pPr>
              <w:spacing w:after="0"/>
              <w:rPr>
                <w:sz w:val="15"/>
                <w:szCs w:val="15"/>
                <w:color w:val="auto"/>
              </w:rPr>
            </w:pPr>
          </w:p>
        </w:tc>
        <w:tc>
          <w:tcPr>
            <w:tcW w:w="5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920" w:type="dxa"/>
            <w:vAlign w:val="bottom"/>
          </w:tcPr>
          <w:p>
            <w:pPr>
              <w:ind w:left="540"/>
              <w:spacing w:after="0" w:line="144" w:lineRule="exact"/>
              <w:rPr>
                <w:sz w:val="20"/>
                <w:szCs w:val="20"/>
                <w:color w:val="auto"/>
              </w:rPr>
            </w:pPr>
            <w:r>
              <w:rPr>
                <w:rFonts w:ascii="Arial" w:cs="Arial" w:eastAsia="Arial" w:hAnsi="Arial"/>
                <w:sz w:val="13"/>
                <w:szCs w:val="13"/>
                <w:color w:val="auto"/>
              </w:rPr>
              <w:t>Net cash from</w:t>
            </w: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20" w:type="dxa"/>
            <w:vAlign w:val="bottom"/>
          </w:tcPr>
          <w:p>
            <w:pPr>
              <w:spacing w:after="0"/>
              <w:rPr>
                <w:sz w:val="20"/>
                <w:szCs w:val="20"/>
                <w:color w:val="auto"/>
              </w:rPr>
            </w:pPr>
            <w:r>
              <w:rPr>
                <w:rFonts w:ascii="Arial" w:cs="Arial" w:eastAsia="Arial" w:hAnsi="Arial"/>
                <w:sz w:val="13"/>
                <w:szCs w:val="13"/>
                <w:color w:val="auto"/>
              </w:rPr>
              <w:t>operating activities</w:t>
            </w:r>
          </w:p>
        </w:tc>
        <w:tc>
          <w:tcPr>
            <w:tcW w:w="90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539,902</w:t>
            </w:r>
          </w:p>
        </w:tc>
        <w:tc>
          <w:tcPr>
            <w:tcW w:w="80" w:type="dxa"/>
            <w:vAlign w:val="bottom"/>
          </w:tcPr>
          <w:p>
            <w:pPr>
              <w:spacing w:after="0"/>
              <w:rPr>
                <w:sz w:val="13"/>
                <w:szCs w:val="13"/>
                <w:color w:val="auto"/>
              </w:rPr>
            </w:pPr>
          </w:p>
        </w:tc>
        <w:tc>
          <w:tcPr>
            <w:tcW w:w="90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304,812</w:t>
            </w:r>
          </w:p>
        </w:tc>
        <w:tc>
          <w:tcPr>
            <w:tcW w:w="80" w:type="dxa"/>
            <w:vAlign w:val="bottom"/>
          </w:tcPr>
          <w:p>
            <w:pPr>
              <w:spacing w:after="0"/>
              <w:rPr>
                <w:sz w:val="13"/>
                <w:szCs w:val="13"/>
                <w:color w:val="auto"/>
              </w:rPr>
            </w:pPr>
          </w:p>
        </w:tc>
        <w:tc>
          <w:tcPr>
            <w:tcW w:w="88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172,566</w:t>
            </w:r>
          </w:p>
        </w:tc>
        <w:tc>
          <w:tcPr>
            <w:tcW w:w="80" w:type="dxa"/>
            <w:vAlign w:val="bottom"/>
          </w:tcPr>
          <w:p>
            <w:pPr>
              <w:spacing w:after="0"/>
              <w:rPr>
                <w:sz w:val="13"/>
                <w:szCs w:val="13"/>
                <w:color w:val="auto"/>
              </w:rPr>
            </w:pPr>
          </w:p>
        </w:tc>
        <w:tc>
          <w:tcPr>
            <w:tcW w:w="90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235,090</w:t>
            </w:r>
          </w:p>
        </w:tc>
        <w:tc>
          <w:tcPr>
            <w:tcW w:w="80" w:type="dxa"/>
            <w:vAlign w:val="bottom"/>
          </w:tcPr>
          <w:p>
            <w:pPr>
              <w:spacing w:after="0"/>
              <w:rPr>
                <w:sz w:val="13"/>
                <w:szCs w:val="13"/>
                <w:color w:val="auto"/>
              </w:rPr>
            </w:pPr>
          </w:p>
        </w:tc>
        <w:tc>
          <w:tcPr>
            <w:tcW w:w="90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6"/>
        </w:trPr>
        <w:tc>
          <w:tcPr>
            <w:tcW w:w="1920" w:type="dxa"/>
            <w:vAlign w:val="bottom"/>
            <w:shd w:val="clear" w:color="auto" w:fill="DBDBDB"/>
          </w:tcPr>
          <w:p>
            <w:pPr>
              <w:ind w:left="540"/>
              <w:spacing w:after="0" w:line="147" w:lineRule="exact"/>
              <w:rPr>
                <w:sz w:val="20"/>
                <w:szCs w:val="20"/>
                <w:color w:val="auto"/>
              </w:rPr>
            </w:pPr>
            <w:r>
              <w:rPr>
                <w:rFonts w:ascii="Arial" w:cs="Arial" w:eastAsia="Arial" w:hAnsi="Arial"/>
                <w:sz w:val="13"/>
                <w:szCs w:val="13"/>
                <w:color w:val="auto"/>
              </w:rPr>
              <w:t>Net cash from investing</w:t>
            </w:r>
          </w:p>
        </w:tc>
        <w:tc>
          <w:tcPr>
            <w:tcW w:w="90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c>
          <w:tcPr>
            <w:tcW w:w="9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5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DBDBDB"/>
          </w:tcPr>
          <w:p>
            <w:pPr>
              <w:spacing w:after="0"/>
              <w:rPr>
                <w:sz w:val="20"/>
                <w:szCs w:val="20"/>
                <w:color w:val="auto"/>
              </w:rPr>
            </w:pPr>
            <w:r>
              <w:rPr>
                <w:rFonts w:ascii="Arial" w:cs="Arial" w:eastAsia="Arial" w:hAnsi="Arial"/>
                <w:sz w:val="13"/>
                <w:szCs w:val="13"/>
                <w:color w:val="auto"/>
              </w:rPr>
              <w:t>activities</w:t>
            </w:r>
          </w:p>
        </w:tc>
        <w:tc>
          <w:tcPr>
            <w:tcW w:w="900" w:type="dxa"/>
            <w:vAlign w:val="bottom"/>
            <w:shd w:val="clear" w:color="auto" w:fill="DBDBDB"/>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(384,047)</w:t>
            </w:r>
          </w:p>
        </w:tc>
        <w:tc>
          <w:tcPr>
            <w:tcW w:w="80" w:type="dxa"/>
            <w:vAlign w:val="bottom"/>
            <w:shd w:val="clear" w:color="auto" w:fill="DBDBDB"/>
          </w:tcPr>
          <w:p>
            <w:pPr>
              <w:spacing w:after="0"/>
              <w:rPr>
                <w:sz w:val="14"/>
                <w:szCs w:val="14"/>
                <w:color w:val="auto"/>
              </w:rPr>
            </w:pPr>
          </w:p>
        </w:tc>
        <w:tc>
          <w:tcPr>
            <w:tcW w:w="900" w:type="dxa"/>
            <w:vAlign w:val="bottom"/>
            <w:shd w:val="clear" w:color="auto" w:fill="DBDBDB"/>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(125,360)</w:t>
            </w:r>
          </w:p>
        </w:tc>
        <w:tc>
          <w:tcPr>
            <w:tcW w:w="80" w:type="dxa"/>
            <w:vAlign w:val="bottom"/>
            <w:shd w:val="clear" w:color="auto" w:fill="DBDBDB"/>
          </w:tcPr>
          <w:p>
            <w:pPr>
              <w:spacing w:after="0"/>
              <w:rPr>
                <w:sz w:val="14"/>
                <w:szCs w:val="14"/>
                <w:color w:val="auto"/>
              </w:rPr>
            </w:pPr>
          </w:p>
        </w:tc>
        <w:tc>
          <w:tcPr>
            <w:tcW w:w="880" w:type="dxa"/>
            <w:vAlign w:val="bottom"/>
            <w:shd w:val="clear" w:color="auto" w:fill="DBDBDB"/>
          </w:tcPr>
          <w:p>
            <w:pPr>
              <w:jc w:val="right"/>
              <w:ind w:right="194"/>
              <w:spacing w:after="0"/>
              <w:rPr>
                <w:sz w:val="20"/>
                <w:szCs w:val="20"/>
                <w:color w:val="auto"/>
              </w:rPr>
            </w:pPr>
            <w:r>
              <w:rPr>
                <w:rFonts w:ascii="Arial" w:cs="Arial" w:eastAsia="Arial" w:hAnsi="Arial"/>
                <w:sz w:val="13"/>
                <w:szCs w:val="13"/>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(152,582)</w:t>
            </w:r>
          </w:p>
        </w:tc>
        <w:tc>
          <w:tcPr>
            <w:tcW w:w="80" w:type="dxa"/>
            <w:vAlign w:val="bottom"/>
            <w:shd w:val="clear" w:color="auto" w:fill="DBDBDB"/>
          </w:tcPr>
          <w:p>
            <w:pPr>
              <w:spacing w:after="0"/>
              <w:rPr>
                <w:sz w:val="14"/>
                <w:szCs w:val="14"/>
                <w:color w:val="auto"/>
              </w:rPr>
            </w:pPr>
          </w:p>
        </w:tc>
        <w:tc>
          <w:tcPr>
            <w:tcW w:w="900" w:type="dxa"/>
            <w:vAlign w:val="bottom"/>
            <w:shd w:val="clear" w:color="auto" w:fill="DBDBDB"/>
          </w:tcPr>
          <w:p>
            <w:pPr>
              <w:jc w:val="right"/>
              <w:ind w:right="214"/>
              <w:spacing w:after="0"/>
              <w:rPr>
                <w:sz w:val="20"/>
                <w:szCs w:val="20"/>
                <w:color w:val="auto"/>
              </w:rPr>
            </w:pPr>
            <w:r>
              <w:rPr>
                <w:rFonts w:ascii="Arial" w:cs="Arial" w:eastAsia="Arial" w:hAnsi="Arial"/>
                <w:sz w:val="13"/>
                <w:szCs w:val="13"/>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(258,687)</w:t>
            </w:r>
          </w:p>
        </w:tc>
        <w:tc>
          <w:tcPr>
            <w:tcW w:w="80" w:type="dxa"/>
            <w:vAlign w:val="bottom"/>
            <w:shd w:val="clear" w:color="auto" w:fill="DBDBDB"/>
          </w:tcPr>
          <w:p>
            <w:pPr>
              <w:spacing w:after="0"/>
              <w:rPr>
                <w:sz w:val="14"/>
                <w:szCs w:val="14"/>
                <w:color w:val="auto"/>
              </w:rPr>
            </w:pPr>
          </w:p>
        </w:tc>
        <w:tc>
          <w:tcPr>
            <w:tcW w:w="900" w:type="dxa"/>
            <w:vAlign w:val="bottom"/>
            <w:shd w:val="clear" w:color="auto" w:fill="DBDBDB"/>
          </w:tcPr>
          <w:p>
            <w:pPr>
              <w:jc w:val="right"/>
              <w:ind w:right="214"/>
              <w:spacing w:after="0"/>
              <w:rPr>
                <w:sz w:val="20"/>
                <w:szCs w:val="20"/>
                <w:color w:val="auto"/>
              </w:rPr>
            </w:pPr>
            <w:r>
              <w:rPr>
                <w:rFonts w:ascii="Arial" w:cs="Arial" w:eastAsia="Arial" w:hAnsi="Arial"/>
                <w:sz w:val="13"/>
                <w:szCs w:val="13"/>
                <w:color w:val="auto"/>
              </w:rPr>
              <w:t>$</w:t>
            </w:r>
          </w:p>
        </w:tc>
        <w:tc>
          <w:tcPr>
            <w:tcW w:w="50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920" w:type="dxa"/>
            <w:vAlign w:val="bottom"/>
          </w:tcPr>
          <w:p>
            <w:pPr>
              <w:ind w:left="540"/>
              <w:spacing w:after="0" w:line="144" w:lineRule="exact"/>
              <w:rPr>
                <w:sz w:val="20"/>
                <w:szCs w:val="20"/>
                <w:color w:val="auto"/>
              </w:rPr>
            </w:pPr>
            <w:r>
              <w:rPr>
                <w:rFonts w:ascii="Arial" w:cs="Arial" w:eastAsia="Arial" w:hAnsi="Arial"/>
                <w:sz w:val="13"/>
                <w:szCs w:val="13"/>
                <w:color w:val="auto"/>
                <w:w w:val="99"/>
              </w:rPr>
              <w:t>Net cash from financing</w:t>
            </w: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20" w:type="dxa"/>
            <w:vAlign w:val="bottom"/>
          </w:tcPr>
          <w:p>
            <w:pPr>
              <w:spacing w:after="0"/>
              <w:rPr>
                <w:sz w:val="20"/>
                <w:szCs w:val="20"/>
                <w:color w:val="auto"/>
              </w:rPr>
            </w:pPr>
            <w:r>
              <w:rPr>
                <w:rFonts w:ascii="Arial" w:cs="Arial" w:eastAsia="Arial" w:hAnsi="Arial"/>
                <w:sz w:val="13"/>
                <w:szCs w:val="13"/>
                <w:color w:val="auto"/>
              </w:rPr>
              <w:t>activities</w:t>
            </w:r>
          </w:p>
        </w:tc>
        <w:tc>
          <w:tcPr>
            <w:tcW w:w="90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(167,887)</w:t>
            </w:r>
          </w:p>
        </w:tc>
        <w:tc>
          <w:tcPr>
            <w:tcW w:w="80" w:type="dxa"/>
            <w:vAlign w:val="bottom"/>
          </w:tcPr>
          <w:p>
            <w:pPr>
              <w:spacing w:after="0"/>
              <w:rPr>
                <w:sz w:val="13"/>
                <w:szCs w:val="13"/>
                <w:color w:val="auto"/>
              </w:rPr>
            </w:pPr>
          </w:p>
        </w:tc>
        <w:tc>
          <w:tcPr>
            <w:tcW w:w="90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(158,958)</w:t>
            </w:r>
          </w:p>
        </w:tc>
        <w:tc>
          <w:tcPr>
            <w:tcW w:w="80" w:type="dxa"/>
            <w:vAlign w:val="bottom"/>
          </w:tcPr>
          <w:p>
            <w:pPr>
              <w:spacing w:after="0"/>
              <w:rPr>
                <w:sz w:val="13"/>
                <w:szCs w:val="13"/>
                <w:color w:val="auto"/>
              </w:rPr>
            </w:pPr>
          </w:p>
        </w:tc>
        <w:tc>
          <w:tcPr>
            <w:tcW w:w="88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(26,063)</w:t>
            </w:r>
          </w:p>
        </w:tc>
        <w:tc>
          <w:tcPr>
            <w:tcW w:w="80" w:type="dxa"/>
            <w:vAlign w:val="bottom"/>
          </w:tcPr>
          <w:p>
            <w:pPr>
              <w:spacing w:after="0"/>
              <w:rPr>
                <w:sz w:val="13"/>
                <w:szCs w:val="13"/>
                <w:color w:val="auto"/>
              </w:rPr>
            </w:pPr>
          </w:p>
        </w:tc>
        <w:tc>
          <w:tcPr>
            <w:tcW w:w="90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(8,929)</w:t>
            </w:r>
          </w:p>
        </w:tc>
        <w:tc>
          <w:tcPr>
            <w:tcW w:w="80" w:type="dxa"/>
            <w:vAlign w:val="bottom"/>
          </w:tcPr>
          <w:p>
            <w:pPr>
              <w:spacing w:after="0"/>
              <w:rPr>
                <w:sz w:val="13"/>
                <w:szCs w:val="13"/>
                <w:color w:val="auto"/>
              </w:rPr>
            </w:pPr>
          </w:p>
        </w:tc>
        <w:tc>
          <w:tcPr>
            <w:tcW w:w="90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210"/>
        </w:trPr>
        <w:tc>
          <w:tcPr>
            <w:tcW w:w="1920" w:type="dxa"/>
            <w:vAlign w:val="bottom"/>
            <w:shd w:val="clear" w:color="auto" w:fill="DBDBDB"/>
          </w:tcPr>
          <w:p>
            <w:pPr>
              <w:spacing w:after="0"/>
              <w:rPr>
                <w:sz w:val="18"/>
                <w:szCs w:val="18"/>
                <w:color w:val="auto"/>
              </w:rPr>
            </w:pPr>
          </w:p>
        </w:tc>
        <w:tc>
          <w:tcPr>
            <w:tcW w:w="900" w:type="dxa"/>
            <w:vAlign w:val="bottom"/>
            <w:shd w:val="clear" w:color="auto" w:fill="DBDBDB"/>
          </w:tcPr>
          <w:p>
            <w:pPr>
              <w:spacing w:after="0"/>
              <w:rPr>
                <w:sz w:val="18"/>
                <w:szCs w:val="18"/>
                <w:color w:val="auto"/>
              </w:rPr>
            </w:pPr>
          </w:p>
        </w:tc>
        <w:tc>
          <w:tcPr>
            <w:tcW w:w="9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900" w:type="dxa"/>
            <w:vAlign w:val="bottom"/>
            <w:shd w:val="clear" w:color="auto" w:fill="DBDBDB"/>
          </w:tcPr>
          <w:p>
            <w:pPr>
              <w:spacing w:after="0"/>
              <w:rPr>
                <w:sz w:val="18"/>
                <w:szCs w:val="18"/>
                <w:color w:val="auto"/>
              </w:rPr>
            </w:pPr>
          </w:p>
        </w:tc>
        <w:tc>
          <w:tcPr>
            <w:tcW w:w="9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90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900" w:type="dxa"/>
            <w:vAlign w:val="bottom"/>
            <w:shd w:val="clear" w:color="auto" w:fill="DBDBDB"/>
          </w:tcPr>
          <w:p>
            <w:pPr>
              <w:spacing w:after="0"/>
              <w:rPr>
                <w:sz w:val="18"/>
                <w:szCs w:val="18"/>
                <w:color w:val="auto"/>
              </w:rPr>
            </w:pPr>
          </w:p>
        </w:tc>
        <w:tc>
          <w:tcPr>
            <w:tcW w:w="5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1920" w:type="dxa"/>
            <w:vAlign w:val="bottom"/>
          </w:tcPr>
          <w:p>
            <w:pPr>
              <w:ind w:left="540"/>
              <w:spacing w:after="0"/>
              <w:rPr>
                <w:sz w:val="20"/>
                <w:szCs w:val="20"/>
                <w:color w:val="auto"/>
              </w:rPr>
            </w:pPr>
            <w:r>
              <w:rPr>
                <w:rFonts w:ascii="Arial" w:cs="Arial" w:eastAsia="Arial" w:hAnsi="Arial"/>
                <w:sz w:val="13"/>
                <w:szCs w:val="13"/>
                <w:color w:val="auto"/>
              </w:rPr>
              <w:t>Other Financial Data:</w:t>
            </w: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920" w:type="dxa"/>
            <w:vAlign w:val="bottom"/>
            <w:shd w:val="clear" w:color="auto" w:fill="DBDBDB"/>
          </w:tcPr>
          <w:p>
            <w:pPr>
              <w:ind w:left="700"/>
              <w:spacing w:after="0" w:line="147" w:lineRule="exact"/>
              <w:rPr>
                <w:sz w:val="20"/>
                <w:szCs w:val="20"/>
                <w:color w:val="auto"/>
              </w:rPr>
            </w:pPr>
            <w:r>
              <w:rPr>
                <w:rFonts w:ascii="Arial" w:cs="Arial" w:eastAsia="Arial" w:hAnsi="Arial"/>
                <w:sz w:val="13"/>
                <w:szCs w:val="13"/>
                <w:color w:val="auto"/>
              </w:rPr>
              <w:t>Consolidated</w:t>
            </w:r>
          </w:p>
        </w:tc>
        <w:tc>
          <w:tcPr>
            <w:tcW w:w="90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c>
          <w:tcPr>
            <w:tcW w:w="9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5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DBDBDB"/>
          </w:tcPr>
          <w:p>
            <w:pPr>
              <w:ind w:left="180"/>
              <w:spacing w:after="0"/>
              <w:rPr>
                <w:sz w:val="20"/>
                <w:szCs w:val="20"/>
                <w:color w:val="auto"/>
              </w:rPr>
            </w:pPr>
            <w:r>
              <w:rPr>
                <w:rFonts w:ascii="Arial" w:cs="Arial" w:eastAsia="Arial" w:hAnsi="Arial"/>
                <w:sz w:val="13"/>
                <w:szCs w:val="13"/>
                <w:color w:val="auto"/>
              </w:rPr>
              <w:t>Adjusted EBITDA(a)</w:t>
            </w:r>
          </w:p>
        </w:tc>
        <w:tc>
          <w:tcPr>
            <w:tcW w:w="900" w:type="dxa"/>
            <w:vAlign w:val="bottom"/>
            <w:shd w:val="clear" w:color="auto" w:fill="DBDBDB"/>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740,393</w:t>
            </w:r>
          </w:p>
        </w:tc>
        <w:tc>
          <w:tcPr>
            <w:tcW w:w="80" w:type="dxa"/>
            <w:vAlign w:val="bottom"/>
            <w:shd w:val="clear" w:color="auto" w:fill="DBDBDB"/>
          </w:tcPr>
          <w:p>
            <w:pPr>
              <w:spacing w:after="0"/>
              <w:rPr>
                <w:sz w:val="14"/>
                <w:szCs w:val="14"/>
                <w:color w:val="auto"/>
              </w:rPr>
            </w:pPr>
          </w:p>
        </w:tc>
        <w:tc>
          <w:tcPr>
            <w:tcW w:w="900" w:type="dxa"/>
            <w:vAlign w:val="bottom"/>
            <w:shd w:val="clear" w:color="auto" w:fill="DBDBDB"/>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530,307</w:t>
            </w:r>
          </w:p>
        </w:tc>
        <w:tc>
          <w:tcPr>
            <w:tcW w:w="80" w:type="dxa"/>
            <w:vAlign w:val="bottom"/>
            <w:shd w:val="clear" w:color="auto" w:fill="DBDBDB"/>
          </w:tcPr>
          <w:p>
            <w:pPr>
              <w:spacing w:after="0"/>
              <w:rPr>
                <w:sz w:val="14"/>
                <w:szCs w:val="14"/>
                <w:color w:val="auto"/>
              </w:rPr>
            </w:pPr>
          </w:p>
        </w:tc>
        <w:tc>
          <w:tcPr>
            <w:tcW w:w="880" w:type="dxa"/>
            <w:vAlign w:val="bottom"/>
            <w:shd w:val="clear" w:color="auto" w:fill="DBDBDB"/>
          </w:tcPr>
          <w:p>
            <w:pPr>
              <w:jc w:val="right"/>
              <w:ind w:right="194"/>
              <w:spacing w:after="0"/>
              <w:rPr>
                <w:sz w:val="20"/>
                <w:szCs w:val="20"/>
                <w:color w:val="auto"/>
              </w:rPr>
            </w:pPr>
            <w:r>
              <w:rPr>
                <w:rFonts w:ascii="Arial" w:cs="Arial" w:eastAsia="Arial" w:hAnsi="Arial"/>
                <w:sz w:val="13"/>
                <w:szCs w:val="13"/>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356,548</w:t>
            </w:r>
          </w:p>
        </w:tc>
        <w:tc>
          <w:tcPr>
            <w:tcW w:w="80" w:type="dxa"/>
            <w:vAlign w:val="bottom"/>
            <w:shd w:val="clear" w:color="auto" w:fill="DBDBDB"/>
          </w:tcPr>
          <w:p>
            <w:pPr>
              <w:spacing w:after="0"/>
              <w:rPr>
                <w:sz w:val="14"/>
                <w:szCs w:val="14"/>
                <w:color w:val="auto"/>
              </w:rPr>
            </w:pPr>
          </w:p>
        </w:tc>
        <w:tc>
          <w:tcPr>
            <w:tcW w:w="900" w:type="dxa"/>
            <w:vAlign w:val="bottom"/>
            <w:shd w:val="clear" w:color="auto" w:fill="DBDBDB"/>
          </w:tcPr>
          <w:p>
            <w:pPr>
              <w:jc w:val="right"/>
              <w:ind w:right="214"/>
              <w:spacing w:after="0"/>
              <w:rPr>
                <w:sz w:val="20"/>
                <w:szCs w:val="20"/>
                <w:color w:val="auto"/>
              </w:rPr>
            </w:pPr>
            <w:r>
              <w:rPr>
                <w:rFonts w:ascii="Arial" w:cs="Arial" w:eastAsia="Arial" w:hAnsi="Arial"/>
                <w:sz w:val="13"/>
                <w:szCs w:val="13"/>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210,086</w:t>
            </w:r>
          </w:p>
        </w:tc>
        <w:tc>
          <w:tcPr>
            <w:tcW w:w="80" w:type="dxa"/>
            <w:vAlign w:val="bottom"/>
            <w:shd w:val="clear" w:color="auto" w:fill="DBDBDB"/>
          </w:tcPr>
          <w:p>
            <w:pPr>
              <w:spacing w:after="0"/>
              <w:rPr>
                <w:sz w:val="14"/>
                <w:szCs w:val="14"/>
                <w:color w:val="auto"/>
              </w:rPr>
            </w:pPr>
          </w:p>
        </w:tc>
        <w:tc>
          <w:tcPr>
            <w:tcW w:w="900" w:type="dxa"/>
            <w:vAlign w:val="bottom"/>
            <w:shd w:val="clear" w:color="auto" w:fill="DBDBDB"/>
          </w:tcPr>
          <w:p>
            <w:pPr>
              <w:jc w:val="right"/>
              <w:ind w:right="214"/>
              <w:spacing w:after="0"/>
              <w:rPr>
                <w:sz w:val="20"/>
                <w:szCs w:val="20"/>
                <w:color w:val="auto"/>
              </w:rPr>
            </w:pPr>
            <w:r>
              <w:rPr>
                <w:rFonts w:ascii="Arial" w:cs="Arial" w:eastAsia="Arial" w:hAnsi="Arial"/>
                <w:sz w:val="13"/>
                <w:szCs w:val="13"/>
                <w:color w:val="auto"/>
              </w:rPr>
              <w:t>$</w:t>
            </w:r>
          </w:p>
        </w:tc>
        <w:tc>
          <w:tcPr>
            <w:tcW w:w="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72"/>
        </w:trPr>
        <w:tc>
          <w:tcPr>
            <w:tcW w:w="1920" w:type="dxa"/>
            <w:vAlign w:val="bottom"/>
          </w:tcPr>
          <w:p>
            <w:pPr>
              <w:ind w:left="700"/>
              <w:spacing w:after="0"/>
              <w:rPr>
                <w:sz w:val="20"/>
                <w:szCs w:val="20"/>
                <w:color w:val="auto"/>
              </w:rPr>
            </w:pPr>
            <w:r>
              <w:rPr>
                <w:rFonts w:ascii="Arial" w:cs="Arial" w:eastAsia="Arial" w:hAnsi="Arial"/>
                <w:sz w:val="13"/>
                <w:szCs w:val="13"/>
                <w:color w:val="auto"/>
              </w:rPr>
              <w:t>Free Cash Flow(a)</w:t>
            </w:r>
          </w:p>
        </w:tc>
        <w:tc>
          <w:tcPr>
            <w:tcW w:w="90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303,027</w:t>
            </w:r>
          </w:p>
        </w:tc>
        <w:tc>
          <w:tcPr>
            <w:tcW w:w="80" w:type="dxa"/>
            <w:vAlign w:val="bottom"/>
          </w:tcPr>
          <w:p>
            <w:pPr>
              <w:spacing w:after="0"/>
              <w:rPr>
                <w:sz w:val="14"/>
                <w:szCs w:val="14"/>
                <w:color w:val="auto"/>
              </w:rPr>
            </w:pPr>
          </w:p>
        </w:tc>
        <w:tc>
          <w:tcPr>
            <w:tcW w:w="90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162,279</w:t>
            </w:r>
          </w:p>
        </w:tc>
        <w:tc>
          <w:tcPr>
            <w:tcW w:w="80" w:type="dxa"/>
            <w:vAlign w:val="bottom"/>
          </w:tcPr>
          <w:p>
            <w:pPr>
              <w:spacing w:after="0"/>
              <w:rPr>
                <w:sz w:val="14"/>
                <w:szCs w:val="14"/>
                <w:color w:val="auto"/>
              </w:rPr>
            </w:pPr>
          </w:p>
        </w:tc>
        <w:tc>
          <w:tcPr>
            <w:tcW w:w="88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19,984</w:t>
            </w:r>
          </w:p>
        </w:tc>
        <w:tc>
          <w:tcPr>
            <w:tcW w:w="80" w:type="dxa"/>
            <w:vAlign w:val="bottom"/>
          </w:tcPr>
          <w:p>
            <w:pPr>
              <w:spacing w:after="0"/>
              <w:rPr>
                <w:sz w:val="14"/>
                <w:szCs w:val="14"/>
                <w:color w:val="auto"/>
              </w:rPr>
            </w:pPr>
          </w:p>
        </w:tc>
        <w:tc>
          <w:tcPr>
            <w:tcW w:w="90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140,748</w:t>
            </w:r>
          </w:p>
        </w:tc>
        <w:tc>
          <w:tcPr>
            <w:tcW w:w="80" w:type="dxa"/>
            <w:vAlign w:val="bottom"/>
          </w:tcPr>
          <w:p>
            <w:pPr>
              <w:spacing w:after="0"/>
              <w:rPr>
                <w:sz w:val="14"/>
                <w:szCs w:val="14"/>
                <w:color w:val="auto"/>
              </w:rPr>
            </w:pPr>
          </w:p>
        </w:tc>
        <w:tc>
          <w:tcPr>
            <w:tcW w:w="90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6"/>
        </w:trPr>
        <w:tc>
          <w:tcPr>
            <w:tcW w:w="1920" w:type="dxa"/>
            <w:vAlign w:val="bottom"/>
            <w:shd w:val="clear" w:color="auto" w:fill="DBDBDB"/>
          </w:tcPr>
          <w:p>
            <w:pPr>
              <w:ind w:left="700"/>
              <w:spacing w:after="0" w:line="147" w:lineRule="exact"/>
              <w:rPr>
                <w:sz w:val="20"/>
                <w:szCs w:val="20"/>
                <w:color w:val="auto"/>
              </w:rPr>
            </w:pPr>
            <w:r>
              <w:rPr>
                <w:rFonts w:ascii="Arial" w:cs="Arial" w:eastAsia="Arial" w:hAnsi="Arial"/>
                <w:sz w:val="13"/>
                <w:szCs w:val="13"/>
                <w:color w:val="auto"/>
              </w:rPr>
              <w:t>Adjusted Gross</w:t>
            </w:r>
          </w:p>
        </w:tc>
        <w:tc>
          <w:tcPr>
            <w:tcW w:w="90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c>
          <w:tcPr>
            <w:tcW w:w="9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5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DBDBDB"/>
          </w:tcPr>
          <w:p>
            <w:pPr>
              <w:ind w:left="180"/>
              <w:spacing w:after="0"/>
              <w:rPr>
                <w:sz w:val="20"/>
                <w:szCs w:val="20"/>
                <w:color w:val="auto"/>
              </w:rPr>
            </w:pPr>
            <w:r>
              <w:rPr>
                <w:rFonts w:ascii="Arial" w:cs="Arial" w:eastAsia="Arial" w:hAnsi="Arial"/>
                <w:sz w:val="13"/>
                <w:szCs w:val="13"/>
                <w:color w:val="auto"/>
              </w:rPr>
              <w:t>Profit(a)</w:t>
            </w:r>
          </w:p>
        </w:tc>
        <w:tc>
          <w:tcPr>
            <w:tcW w:w="900" w:type="dxa"/>
            <w:vAlign w:val="bottom"/>
            <w:shd w:val="clear" w:color="auto" w:fill="DBDBDB"/>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1,205,745</w:t>
            </w:r>
          </w:p>
        </w:tc>
        <w:tc>
          <w:tcPr>
            <w:tcW w:w="80" w:type="dxa"/>
            <w:vAlign w:val="bottom"/>
            <w:shd w:val="clear" w:color="auto" w:fill="DBDBDB"/>
          </w:tcPr>
          <w:p>
            <w:pPr>
              <w:spacing w:after="0"/>
              <w:rPr>
                <w:sz w:val="14"/>
                <w:szCs w:val="14"/>
                <w:color w:val="auto"/>
              </w:rPr>
            </w:pPr>
          </w:p>
        </w:tc>
        <w:tc>
          <w:tcPr>
            <w:tcW w:w="900" w:type="dxa"/>
            <w:vAlign w:val="bottom"/>
            <w:shd w:val="clear" w:color="auto" w:fill="DBDBDB"/>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860,554</w:t>
            </w:r>
          </w:p>
        </w:tc>
        <w:tc>
          <w:tcPr>
            <w:tcW w:w="80" w:type="dxa"/>
            <w:vAlign w:val="bottom"/>
            <w:shd w:val="clear" w:color="auto" w:fill="DBDBDB"/>
          </w:tcPr>
          <w:p>
            <w:pPr>
              <w:spacing w:after="0"/>
              <w:rPr>
                <w:sz w:val="14"/>
                <w:szCs w:val="14"/>
                <w:color w:val="auto"/>
              </w:rPr>
            </w:pPr>
          </w:p>
        </w:tc>
        <w:tc>
          <w:tcPr>
            <w:tcW w:w="880" w:type="dxa"/>
            <w:vAlign w:val="bottom"/>
            <w:shd w:val="clear" w:color="auto" w:fill="DBDBDB"/>
          </w:tcPr>
          <w:p>
            <w:pPr>
              <w:jc w:val="right"/>
              <w:ind w:right="194"/>
              <w:spacing w:after="0"/>
              <w:rPr>
                <w:sz w:val="20"/>
                <w:szCs w:val="20"/>
                <w:color w:val="auto"/>
              </w:rPr>
            </w:pPr>
            <w:r>
              <w:rPr>
                <w:rFonts w:ascii="Arial" w:cs="Arial" w:eastAsia="Arial" w:hAnsi="Arial"/>
                <w:sz w:val="13"/>
                <w:szCs w:val="13"/>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587,992</w:t>
            </w:r>
          </w:p>
        </w:tc>
        <w:tc>
          <w:tcPr>
            <w:tcW w:w="80" w:type="dxa"/>
            <w:vAlign w:val="bottom"/>
            <w:shd w:val="clear" w:color="auto" w:fill="DBDBDB"/>
          </w:tcPr>
          <w:p>
            <w:pPr>
              <w:spacing w:after="0"/>
              <w:rPr>
                <w:sz w:val="14"/>
                <w:szCs w:val="14"/>
                <w:color w:val="auto"/>
              </w:rPr>
            </w:pPr>
          </w:p>
        </w:tc>
        <w:tc>
          <w:tcPr>
            <w:tcW w:w="900" w:type="dxa"/>
            <w:vAlign w:val="bottom"/>
            <w:shd w:val="clear" w:color="auto" w:fill="DBDBDB"/>
          </w:tcPr>
          <w:p>
            <w:pPr>
              <w:jc w:val="right"/>
              <w:ind w:right="214"/>
              <w:spacing w:after="0"/>
              <w:rPr>
                <w:sz w:val="20"/>
                <w:szCs w:val="20"/>
                <w:color w:val="auto"/>
              </w:rPr>
            </w:pPr>
            <w:r>
              <w:rPr>
                <w:rFonts w:ascii="Arial" w:cs="Arial" w:eastAsia="Arial" w:hAnsi="Arial"/>
                <w:sz w:val="13"/>
                <w:szCs w:val="13"/>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345,191</w:t>
            </w:r>
          </w:p>
        </w:tc>
        <w:tc>
          <w:tcPr>
            <w:tcW w:w="80" w:type="dxa"/>
            <w:vAlign w:val="bottom"/>
            <w:shd w:val="clear" w:color="auto" w:fill="DBDBDB"/>
          </w:tcPr>
          <w:p>
            <w:pPr>
              <w:spacing w:after="0"/>
              <w:rPr>
                <w:sz w:val="14"/>
                <w:szCs w:val="14"/>
                <w:color w:val="auto"/>
              </w:rPr>
            </w:pPr>
          </w:p>
        </w:tc>
        <w:tc>
          <w:tcPr>
            <w:tcW w:w="900" w:type="dxa"/>
            <w:vAlign w:val="bottom"/>
            <w:shd w:val="clear" w:color="auto" w:fill="DBDBDB"/>
          </w:tcPr>
          <w:p>
            <w:pPr>
              <w:jc w:val="right"/>
              <w:ind w:right="214"/>
              <w:spacing w:after="0"/>
              <w:rPr>
                <w:sz w:val="20"/>
                <w:szCs w:val="20"/>
                <w:color w:val="auto"/>
              </w:rPr>
            </w:pPr>
            <w:r>
              <w:rPr>
                <w:rFonts w:ascii="Arial" w:cs="Arial" w:eastAsia="Arial" w:hAnsi="Arial"/>
                <w:sz w:val="13"/>
                <w:szCs w:val="13"/>
                <w:color w:val="auto"/>
              </w:rPr>
              <w:t>$</w:t>
            </w:r>
          </w:p>
        </w:tc>
        <w:tc>
          <w:tcPr>
            <w:tcW w:w="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72"/>
        </w:trPr>
        <w:tc>
          <w:tcPr>
            <w:tcW w:w="1920" w:type="dxa"/>
            <w:vAlign w:val="bottom"/>
          </w:tcPr>
          <w:p>
            <w:pPr>
              <w:ind w:left="700"/>
              <w:spacing w:after="0"/>
              <w:rPr>
                <w:sz w:val="20"/>
                <w:szCs w:val="20"/>
                <w:color w:val="auto"/>
              </w:rPr>
            </w:pPr>
            <w:r>
              <w:rPr>
                <w:rFonts w:ascii="Arial" w:cs="Arial" w:eastAsia="Arial" w:hAnsi="Arial"/>
                <w:sz w:val="13"/>
                <w:szCs w:val="13"/>
                <w:color w:val="auto"/>
              </w:rPr>
              <w:t>Net CAPEX(a)</w:t>
            </w:r>
          </w:p>
        </w:tc>
        <w:tc>
          <w:tcPr>
            <w:tcW w:w="90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236,875</w:t>
            </w:r>
          </w:p>
        </w:tc>
        <w:tc>
          <w:tcPr>
            <w:tcW w:w="80" w:type="dxa"/>
            <w:vAlign w:val="bottom"/>
          </w:tcPr>
          <w:p>
            <w:pPr>
              <w:spacing w:after="0"/>
              <w:rPr>
                <w:sz w:val="14"/>
                <w:szCs w:val="14"/>
                <w:color w:val="auto"/>
              </w:rPr>
            </w:pPr>
          </w:p>
        </w:tc>
        <w:tc>
          <w:tcPr>
            <w:tcW w:w="90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142,533</w:t>
            </w:r>
          </w:p>
        </w:tc>
        <w:tc>
          <w:tcPr>
            <w:tcW w:w="80" w:type="dxa"/>
            <w:vAlign w:val="bottom"/>
          </w:tcPr>
          <w:p>
            <w:pPr>
              <w:spacing w:after="0"/>
              <w:rPr>
                <w:sz w:val="14"/>
                <w:szCs w:val="14"/>
                <w:color w:val="auto"/>
              </w:rPr>
            </w:pPr>
          </w:p>
        </w:tc>
        <w:tc>
          <w:tcPr>
            <w:tcW w:w="88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152,582</w:t>
            </w:r>
          </w:p>
        </w:tc>
        <w:tc>
          <w:tcPr>
            <w:tcW w:w="80" w:type="dxa"/>
            <w:vAlign w:val="bottom"/>
          </w:tcPr>
          <w:p>
            <w:pPr>
              <w:spacing w:after="0"/>
              <w:rPr>
                <w:sz w:val="14"/>
                <w:szCs w:val="14"/>
                <w:color w:val="auto"/>
              </w:rPr>
            </w:pPr>
          </w:p>
        </w:tc>
        <w:tc>
          <w:tcPr>
            <w:tcW w:w="90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94,342</w:t>
            </w:r>
          </w:p>
        </w:tc>
        <w:tc>
          <w:tcPr>
            <w:tcW w:w="80" w:type="dxa"/>
            <w:vAlign w:val="bottom"/>
          </w:tcPr>
          <w:p>
            <w:pPr>
              <w:spacing w:after="0"/>
              <w:rPr>
                <w:sz w:val="14"/>
                <w:szCs w:val="14"/>
                <w:color w:val="auto"/>
              </w:rPr>
            </w:pPr>
          </w:p>
        </w:tc>
        <w:tc>
          <w:tcPr>
            <w:tcW w:w="90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10"/>
        </w:trPr>
        <w:tc>
          <w:tcPr>
            <w:tcW w:w="1920" w:type="dxa"/>
            <w:vAlign w:val="bottom"/>
            <w:shd w:val="clear" w:color="auto" w:fill="DBDBDB"/>
          </w:tcPr>
          <w:p>
            <w:pPr>
              <w:spacing w:after="0"/>
              <w:rPr>
                <w:sz w:val="18"/>
                <w:szCs w:val="18"/>
                <w:color w:val="auto"/>
              </w:rPr>
            </w:pPr>
          </w:p>
        </w:tc>
        <w:tc>
          <w:tcPr>
            <w:tcW w:w="900" w:type="dxa"/>
            <w:vAlign w:val="bottom"/>
            <w:shd w:val="clear" w:color="auto" w:fill="DBDBDB"/>
          </w:tcPr>
          <w:p>
            <w:pPr>
              <w:spacing w:after="0"/>
              <w:rPr>
                <w:sz w:val="18"/>
                <w:szCs w:val="18"/>
                <w:color w:val="auto"/>
              </w:rPr>
            </w:pPr>
          </w:p>
        </w:tc>
        <w:tc>
          <w:tcPr>
            <w:tcW w:w="9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900" w:type="dxa"/>
            <w:vAlign w:val="bottom"/>
            <w:shd w:val="clear" w:color="auto" w:fill="DBDBDB"/>
          </w:tcPr>
          <w:p>
            <w:pPr>
              <w:spacing w:after="0"/>
              <w:rPr>
                <w:sz w:val="18"/>
                <w:szCs w:val="18"/>
                <w:color w:val="auto"/>
              </w:rPr>
            </w:pPr>
          </w:p>
        </w:tc>
        <w:tc>
          <w:tcPr>
            <w:tcW w:w="9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90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900" w:type="dxa"/>
            <w:vAlign w:val="bottom"/>
            <w:shd w:val="clear" w:color="auto" w:fill="DBDBDB"/>
          </w:tcPr>
          <w:p>
            <w:pPr>
              <w:spacing w:after="0"/>
              <w:rPr>
                <w:sz w:val="18"/>
                <w:szCs w:val="18"/>
                <w:color w:val="auto"/>
              </w:rPr>
            </w:pPr>
          </w:p>
        </w:tc>
        <w:tc>
          <w:tcPr>
            <w:tcW w:w="5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1920" w:type="dxa"/>
            <w:vAlign w:val="bottom"/>
          </w:tcPr>
          <w:p>
            <w:pPr>
              <w:ind w:left="540"/>
              <w:spacing w:after="0" w:line="144" w:lineRule="exact"/>
              <w:rPr>
                <w:sz w:val="20"/>
                <w:szCs w:val="20"/>
                <w:color w:val="auto"/>
              </w:rPr>
            </w:pPr>
            <w:r>
              <w:rPr>
                <w:rFonts w:ascii="Arial" w:cs="Arial" w:eastAsia="Arial" w:hAnsi="Arial"/>
                <w:sz w:val="13"/>
                <w:szCs w:val="13"/>
                <w:color w:val="auto"/>
              </w:rPr>
              <w:t>Balance Sheet Data</w:t>
            </w: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20" w:type="dxa"/>
            <w:vAlign w:val="bottom"/>
          </w:tcPr>
          <w:p>
            <w:pPr>
              <w:spacing w:after="0"/>
              <w:rPr>
                <w:sz w:val="20"/>
                <w:szCs w:val="20"/>
                <w:color w:val="auto"/>
              </w:rPr>
            </w:pPr>
            <w:r>
              <w:rPr>
                <w:rFonts w:ascii="Arial" w:cs="Arial" w:eastAsia="Arial" w:hAnsi="Arial"/>
                <w:sz w:val="13"/>
                <w:szCs w:val="13"/>
                <w:color w:val="auto"/>
              </w:rPr>
              <w:t>(end of year):</w:t>
            </w: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920" w:type="dxa"/>
            <w:vAlign w:val="bottom"/>
            <w:shd w:val="clear" w:color="auto" w:fill="DBDBDB"/>
          </w:tcPr>
          <w:p>
            <w:pPr>
              <w:ind w:left="700"/>
              <w:spacing w:after="0" w:line="147" w:lineRule="exact"/>
              <w:rPr>
                <w:sz w:val="20"/>
                <w:szCs w:val="20"/>
                <w:color w:val="auto"/>
              </w:rPr>
            </w:pPr>
            <w:r>
              <w:rPr>
                <w:rFonts w:ascii="Arial" w:cs="Arial" w:eastAsia="Arial" w:hAnsi="Arial"/>
                <w:sz w:val="13"/>
                <w:szCs w:val="13"/>
                <w:color w:val="auto"/>
              </w:rPr>
              <w:t>Cash and cash</w:t>
            </w:r>
          </w:p>
        </w:tc>
        <w:tc>
          <w:tcPr>
            <w:tcW w:w="90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c>
          <w:tcPr>
            <w:tcW w:w="9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5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DBDBDB"/>
          </w:tcPr>
          <w:p>
            <w:pPr>
              <w:ind w:left="180"/>
              <w:spacing w:after="0"/>
              <w:rPr>
                <w:sz w:val="20"/>
                <w:szCs w:val="20"/>
                <w:color w:val="auto"/>
              </w:rPr>
            </w:pPr>
            <w:r>
              <w:rPr>
                <w:rFonts w:ascii="Arial" w:cs="Arial" w:eastAsia="Arial" w:hAnsi="Arial"/>
                <w:sz w:val="13"/>
                <w:szCs w:val="13"/>
                <w:color w:val="auto"/>
              </w:rPr>
              <w:t>equivalents</w:t>
            </w:r>
          </w:p>
        </w:tc>
        <w:tc>
          <w:tcPr>
            <w:tcW w:w="900" w:type="dxa"/>
            <w:vAlign w:val="bottom"/>
            <w:shd w:val="clear" w:color="auto" w:fill="DBDBDB"/>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12,699</w:t>
            </w:r>
          </w:p>
        </w:tc>
        <w:tc>
          <w:tcPr>
            <w:tcW w:w="80" w:type="dxa"/>
            <w:vAlign w:val="bottom"/>
            <w:shd w:val="clear" w:color="auto" w:fill="DBDBDB"/>
          </w:tcPr>
          <w:p>
            <w:pPr>
              <w:spacing w:after="0"/>
              <w:rPr>
                <w:sz w:val="14"/>
                <w:szCs w:val="14"/>
                <w:color w:val="auto"/>
              </w:rPr>
            </w:pPr>
          </w:p>
        </w:tc>
        <w:tc>
          <w:tcPr>
            <w:tcW w:w="900" w:type="dxa"/>
            <w:vAlign w:val="bottom"/>
            <w:shd w:val="clear" w:color="auto" w:fill="DBDBDB"/>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24,937</w:t>
            </w:r>
          </w:p>
        </w:tc>
        <w:tc>
          <w:tcPr>
            <w:tcW w:w="80" w:type="dxa"/>
            <w:vAlign w:val="bottom"/>
            <w:shd w:val="clear" w:color="auto" w:fill="DBDBDB"/>
          </w:tcPr>
          <w:p>
            <w:pPr>
              <w:spacing w:after="0"/>
              <w:rPr>
                <w:sz w:val="14"/>
                <w:szCs w:val="14"/>
                <w:color w:val="auto"/>
              </w:rPr>
            </w:pPr>
          </w:p>
        </w:tc>
        <w:tc>
          <w:tcPr>
            <w:tcW w:w="880" w:type="dxa"/>
            <w:vAlign w:val="bottom"/>
            <w:shd w:val="clear" w:color="auto" w:fill="DBDBDB"/>
          </w:tcPr>
          <w:p>
            <w:pPr>
              <w:jc w:val="right"/>
              <w:ind w:right="194"/>
              <w:spacing w:after="0"/>
              <w:rPr>
                <w:sz w:val="20"/>
                <w:szCs w:val="20"/>
                <w:color w:val="auto"/>
              </w:rPr>
            </w:pPr>
            <w:r>
              <w:rPr>
                <w:rFonts w:ascii="Arial" w:cs="Arial" w:eastAsia="Arial" w:hAnsi="Arial"/>
                <w:sz w:val="13"/>
                <w:szCs w:val="13"/>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3,045</w:t>
            </w:r>
          </w:p>
        </w:tc>
        <w:tc>
          <w:tcPr>
            <w:tcW w:w="80" w:type="dxa"/>
            <w:vAlign w:val="bottom"/>
            <w:shd w:val="clear" w:color="auto" w:fill="DBDBDB"/>
          </w:tcPr>
          <w:p>
            <w:pPr>
              <w:spacing w:after="0"/>
              <w:rPr>
                <w:sz w:val="14"/>
                <w:szCs w:val="14"/>
                <w:color w:val="auto"/>
              </w:rPr>
            </w:pPr>
          </w:p>
        </w:tc>
        <w:tc>
          <w:tcPr>
            <w:tcW w:w="900" w:type="dxa"/>
            <w:vAlign w:val="bottom"/>
            <w:shd w:val="clear" w:color="auto" w:fill="DBDBDB"/>
          </w:tcPr>
          <w:p>
            <w:pPr>
              <w:jc w:val="right"/>
              <w:ind w:right="214"/>
              <w:spacing w:after="0"/>
              <w:rPr>
                <w:sz w:val="20"/>
                <w:szCs w:val="20"/>
                <w:color w:val="auto"/>
              </w:rPr>
            </w:pPr>
            <w:r>
              <w:rPr>
                <w:rFonts w:ascii="Arial" w:cs="Arial" w:eastAsia="Arial" w:hAnsi="Arial"/>
                <w:sz w:val="13"/>
                <w:szCs w:val="13"/>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(12,238)</w:t>
            </w:r>
          </w:p>
        </w:tc>
        <w:tc>
          <w:tcPr>
            <w:tcW w:w="80" w:type="dxa"/>
            <w:vAlign w:val="bottom"/>
            <w:shd w:val="clear" w:color="auto" w:fill="DBDBDB"/>
          </w:tcPr>
          <w:p>
            <w:pPr>
              <w:spacing w:after="0"/>
              <w:rPr>
                <w:sz w:val="14"/>
                <w:szCs w:val="14"/>
                <w:color w:val="auto"/>
              </w:rPr>
            </w:pPr>
          </w:p>
        </w:tc>
        <w:tc>
          <w:tcPr>
            <w:tcW w:w="900" w:type="dxa"/>
            <w:vAlign w:val="bottom"/>
            <w:shd w:val="clear" w:color="auto" w:fill="DBDBDB"/>
          </w:tcPr>
          <w:p>
            <w:pPr>
              <w:jc w:val="right"/>
              <w:ind w:right="214"/>
              <w:spacing w:after="0"/>
              <w:rPr>
                <w:sz w:val="20"/>
                <w:szCs w:val="20"/>
                <w:color w:val="auto"/>
              </w:rPr>
            </w:pPr>
            <w:r>
              <w:rPr>
                <w:rFonts w:ascii="Arial" w:cs="Arial" w:eastAsia="Arial" w:hAnsi="Arial"/>
                <w:sz w:val="13"/>
                <w:szCs w:val="13"/>
                <w:color w:val="auto"/>
              </w:rPr>
              <w:t>$</w:t>
            </w:r>
          </w:p>
        </w:tc>
        <w:tc>
          <w:tcPr>
            <w:tcW w:w="50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920" w:type="dxa"/>
            <w:vAlign w:val="bottom"/>
          </w:tcPr>
          <w:p>
            <w:pPr>
              <w:ind w:left="700"/>
              <w:spacing w:after="0" w:line="144" w:lineRule="exact"/>
              <w:rPr>
                <w:sz w:val="20"/>
                <w:szCs w:val="20"/>
                <w:color w:val="auto"/>
              </w:rPr>
            </w:pPr>
            <w:r>
              <w:rPr>
                <w:rFonts w:ascii="Arial" w:cs="Arial" w:eastAsia="Arial" w:hAnsi="Arial"/>
                <w:sz w:val="13"/>
                <w:szCs w:val="13"/>
                <w:color w:val="auto"/>
              </w:rPr>
              <w:t>Rental equipment,</w:t>
            </w: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20" w:type="dxa"/>
            <w:vAlign w:val="bottom"/>
          </w:tcPr>
          <w:p>
            <w:pPr>
              <w:ind w:left="180"/>
              <w:spacing w:after="0"/>
              <w:rPr>
                <w:sz w:val="20"/>
                <w:szCs w:val="20"/>
                <w:color w:val="auto"/>
              </w:rPr>
            </w:pPr>
            <w:r>
              <w:rPr>
                <w:rFonts w:ascii="Arial" w:cs="Arial" w:eastAsia="Arial" w:hAnsi="Arial"/>
                <w:sz w:val="13"/>
                <w:szCs w:val="13"/>
                <w:color w:val="auto"/>
              </w:rPr>
              <w:t>net</w:t>
            </w:r>
          </w:p>
        </w:tc>
        <w:tc>
          <w:tcPr>
            <w:tcW w:w="90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3,080,981</w:t>
            </w:r>
          </w:p>
        </w:tc>
        <w:tc>
          <w:tcPr>
            <w:tcW w:w="80" w:type="dxa"/>
            <w:vAlign w:val="bottom"/>
          </w:tcPr>
          <w:p>
            <w:pPr>
              <w:spacing w:after="0"/>
              <w:rPr>
                <w:sz w:val="13"/>
                <w:szCs w:val="13"/>
                <w:color w:val="auto"/>
              </w:rPr>
            </w:pPr>
          </w:p>
        </w:tc>
        <w:tc>
          <w:tcPr>
            <w:tcW w:w="90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2,931,646</w:t>
            </w:r>
          </w:p>
        </w:tc>
        <w:tc>
          <w:tcPr>
            <w:tcW w:w="80" w:type="dxa"/>
            <w:vAlign w:val="bottom"/>
          </w:tcPr>
          <w:p>
            <w:pPr>
              <w:spacing w:after="0"/>
              <w:rPr>
                <w:sz w:val="13"/>
                <w:szCs w:val="13"/>
                <w:color w:val="auto"/>
              </w:rPr>
            </w:pPr>
          </w:p>
        </w:tc>
        <w:tc>
          <w:tcPr>
            <w:tcW w:w="88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1,944,436</w:t>
            </w:r>
          </w:p>
        </w:tc>
        <w:tc>
          <w:tcPr>
            <w:tcW w:w="80" w:type="dxa"/>
            <w:vAlign w:val="bottom"/>
          </w:tcPr>
          <w:p>
            <w:pPr>
              <w:spacing w:after="0"/>
              <w:rPr>
                <w:sz w:val="13"/>
                <w:szCs w:val="13"/>
                <w:color w:val="auto"/>
              </w:rPr>
            </w:pPr>
          </w:p>
        </w:tc>
        <w:tc>
          <w:tcPr>
            <w:tcW w:w="90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149,335</w:t>
            </w:r>
          </w:p>
        </w:tc>
        <w:tc>
          <w:tcPr>
            <w:tcW w:w="80" w:type="dxa"/>
            <w:vAlign w:val="bottom"/>
          </w:tcPr>
          <w:p>
            <w:pPr>
              <w:spacing w:after="0"/>
              <w:rPr>
                <w:sz w:val="13"/>
                <w:szCs w:val="13"/>
                <w:color w:val="auto"/>
              </w:rPr>
            </w:pPr>
          </w:p>
        </w:tc>
        <w:tc>
          <w:tcPr>
            <w:tcW w:w="90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78"/>
        </w:trPr>
        <w:tc>
          <w:tcPr>
            <w:tcW w:w="1920" w:type="dxa"/>
            <w:vAlign w:val="bottom"/>
            <w:shd w:val="clear" w:color="auto" w:fill="DBDBDB"/>
          </w:tcPr>
          <w:p>
            <w:pPr>
              <w:ind w:left="700"/>
              <w:spacing w:after="0"/>
              <w:rPr>
                <w:sz w:val="20"/>
                <w:szCs w:val="20"/>
                <w:color w:val="auto"/>
              </w:rPr>
            </w:pPr>
            <w:r>
              <w:rPr>
                <w:rFonts w:ascii="Arial" w:cs="Arial" w:eastAsia="Arial" w:hAnsi="Arial"/>
                <w:sz w:val="13"/>
                <w:szCs w:val="13"/>
                <w:color w:val="auto"/>
              </w:rPr>
              <w:t>Total assets</w:t>
            </w:r>
          </w:p>
        </w:tc>
        <w:tc>
          <w:tcPr>
            <w:tcW w:w="900" w:type="dxa"/>
            <w:vAlign w:val="bottom"/>
            <w:shd w:val="clear" w:color="auto" w:fill="DBDBDB"/>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5,773,599</w:t>
            </w:r>
          </w:p>
        </w:tc>
        <w:tc>
          <w:tcPr>
            <w:tcW w:w="80" w:type="dxa"/>
            <w:vAlign w:val="bottom"/>
            <w:shd w:val="clear" w:color="auto" w:fill="DBDBDB"/>
          </w:tcPr>
          <w:p>
            <w:pPr>
              <w:spacing w:after="0"/>
              <w:rPr>
                <w:sz w:val="15"/>
                <w:szCs w:val="15"/>
                <w:color w:val="auto"/>
              </w:rPr>
            </w:pPr>
          </w:p>
        </w:tc>
        <w:tc>
          <w:tcPr>
            <w:tcW w:w="900" w:type="dxa"/>
            <w:vAlign w:val="bottom"/>
            <w:shd w:val="clear" w:color="auto" w:fill="DBDBDB"/>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5,572,205</w:t>
            </w:r>
          </w:p>
        </w:tc>
        <w:tc>
          <w:tcPr>
            <w:tcW w:w="80" w:type="dxa"/>
            <w:vAlign w:val="bottom"/>
            <w:shd w:val="clear" w:color="auto" w:fill="DBDBDB"/>
          </w:tcPr>
          <w:p>
            <w:pPr>
              <w:spacing w:after="0"/>
              <w:rPr>
                <w:sz w:val="15"/>
                <w:szCs w:val="15"/>
                <w:color w:val="auto"/>
              </w:rPr>
            </w:pPr>
          </w:p>
        </w:tc>
        <w:tc>
          <w:tcPr>
            <w:tcW w:w="880" w:type="dxa"/>
            <w:vAlign w:val="bottom"/>
            <w:shd w:val="clear" w:color="auto" w:fill="DBDBDB"/>
          </w:tcPr>
          <w:p>
            <w:pPr>
              <w:jc w:val="right"/>
              <w:ind w:right="194"/>
              <w:spacing w:after="0"/>
              <w:rPr>
                <w:sz w:val="20"/>
                <w:szCs w:val="20"/>
                <w:color w:val="auto"/>
              </w:rPr>
            </w:pPr>
            <w:r>
              <w:rPr>
                <w:rFonts w:ascii="Arial" w:cs="Arial" w:eastAsia="Arial" w:hAnsi="Arial"/>
                <w:sz w:val="13"/>
                <w:szCs w:val="13"/>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2,897,649</w:t>
            </w:r>
          </w:p>
        </w:tc>
        <w:tc>
          <w:tcPr>
            <w:tcW w:w="80" w:type="dxa"/>
            <w:vAlign w:val="bottom"/>
            <w:shd w:val="clear" w:color="auto" w:fill="DBDBDB"/>
          </w:tcPr>
          <w:p>
            <w:pPr>
              <w:spacing w:after="0"/>
              <w:rPr>
                <w:sz w:val="15"/>
                <w:szCs w:val="15"/>
                <w:color w:val="auto"/>
              </w:rPr>
            </w:pPr>
          </w:p>
        </w:tc>
        <w:tc>
          <w:tcPr>
            <w:tcW w:w="900" w:type="dxa"/>
            <w:vAlign w:val="bottom"/>
            <w:shd w:val="clear" w:color="auto" w:fill="DBDBDB"/>
          </w:tcPr>
          <w:p>
            <w:pPr>
              <w:jc w:val="right"/>
              <w:ind w:right="214"/>
              <w:spacing w:after="0"/>
              <w:rPr>
                <w:sz w:val="20"/>
                <w:szCs w:val="20"/>
                <w:color w:val="auto"/>
              </w:rPr>
            </w:pPr>
            <w:r>
              <w:rPr>
                <w:rFonts w:ascii="Arial" w:cs="Arial" w:eastAsia="Arial" w:hAnsi="Arial"/>
                <w:sz w:val="13"/>
                <w:szCs w:val="13"/>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201,394</w:t>
            </w:r>
          </w:p>
        </w:tc>
        <w:tc>
          <w:tcPr>
            <w:tcW w:w="80" w:type="dxa"/>
            <w:vAlign w:val="bottom"/>
            <w:shd w:val="clear" w:color="auto" w:fill="DBDBDB"/>
          </w:tcPr>
          <w:p>
            <w:pPr>
              <w:spacing w:after="0"/>
              <w:rPr>
                <w:sz w:val="15"/>
                <w:szCs w:val="15"/>
                <w:color w:val="auto"/>
              </w:rPr>
            </w:pPr>
          </w:p>
        </w:tc>
        <w:tc>
          <w:tcPr>
            <w:tcW w:w="900" w:type="dxa"/>
            <w:vAlign w:val="bottom"/>
            <w:shd w:val="clear" w:color="auto" w:fill="DBDBDB"/>
          </w:tcPr>
          <w:p>
            <w:pPr>
              <w:jc w:val="right"/>
              <w:ind w:right="214"/>
              <w:spacing w:after="0"/>
              <w:rPr>
                <w:sz w:val="20"/>
                <w:szCs w:val="20"/>
                <w:color w:val="auto"/>
              </w:rPr>
            </w:pPr>
            <w:r>
              <w:rPr>
                <w:rFonts w:ascii="Arial" w:cs="Arial" w:eastAsia="Arial" w:hAnsi="Arial"/>
                <w:sz w:val="13"/>
                <w:szCs w:val="13"/>
                <w:color w:val="auto"/>
              </w:rPr>
              <w:t>$</w:t>
            </w:r>
          </w:p>
        </w:tc>
        <w:tc>
          <w:tcPr>
            <w:tcW w:w="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44"/>
        </w:trPr>
        <w:tc>
          <w:tcPr>
            <w:tcW w:w="1920" w:type="dxa"/>
            <w:vAlign w:val="bottom"/>
          </w:tcPr>
          <w:p>
            <w:pPr>
              <w:ind w:left="700"/>
              <w:spacing w:after="0" w:line="144" w:lineRule="exact"/>
              <w:rPr>
                <w:sz w:val="20"/>
                <w:szCs w:val="20"/>
                <w:color w:val="auto"/>
              </w:rPr>
            </w:pPr>
            <w:r>
              <w:rPr>
                <w:rFonts w:ascii="Arial" w:cs="Arial" w:eastAsia="Arial" w:hAnsi="Arial"/>
                <w:sz w:val="13"/>
                <w:szCs w:val="13"/>
                <w:color w:val="auto"/>
              </w:rPr>
              <w:t>Total debt, excluding</w:t>
            </w: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20" w:type="dxa"/>
            <w:vAlign w:val="bottom"/>
          </w:tcPr>
          <w:p>
            <w:pPr>
              <w:ind w:left="180"/>
              <w:spacing w:after="0"/>
              <w:rPr>
                <w:sz w:val="20"/>
                <w:szCs w:val="20"/>
                <w:color w:val="auto"/>
              </w:rPr>
            </w:pPr>
            <w:r>
              <w:rPr>
                <w:rFonts w:ascii="Arial" w:cs="Arial" w:eastAsia="Arial" w:hAnsi="Arial"/>
                <w:sz w:val="13"/>
                <w:szCs w:val="13"/>
                <w:color w:val="auto"/>
              </w:rPr>
              <w:t>current portion</w:t>
            </w:r>
          </w:p>
        </w:tc>
        <w:tc>
          <w:tcPr>
            <w:tcW w:w="90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2,694,319</w:t>
            </w:r>
          </w:p>
        </w:tc>
        <w:tc>
          <w:tcPr>
            <w:tcW w:w="80" w:type="dxa"/>
            <w:vAlign w:val="bottom"/>
          </w:tcPr>
          <w:p>
            <w:pPr>
              <w:spacing w:after="0"/>
              <w:rPr>
                <w:sz w:val="13"/>
                <w:szCs w:val="13"/>
                <w:color w:val="auto"/>
              </w:rPr>
            </w:pPr>
          </w:p>
        </w:tc>
        <w:tc>
          <w:tcPr>
            <w:tcW w:w="90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2,453,809</w:t>
            </w:r>
          </w:p>
        </w:tc>
        <w:tc>
          <w:tcPr>
            <w:tcW w:w="80" w:type="dxa"/>
            <w:vAlign w:val="bottom"/>
          </w:tcPr>
          <w:p>
            <w:pPr>
              <w:spacing w:after="0"/>
              <w:rPr>
                <w:sz w:val="13"/>
                <w:szCs w:val="13"/>
                <w:color w:val="auto"/>
              </w:rPr>
            </w:pPr>
          </w:p>
        </w:tc>
        <w:tc>
          <w:tcPr>
            <w:tcW w:w="88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1,632,589</w:t>
            </w:r>
          </w:p>
        </w:tc>
        <w:tc>
          <w:tcPr>
            <w:tcW w:w="80" w:type="dxa"/>
            <w:vAlign w:val="bottom"/>
          </w:tcPr>
          <w:p>
            <w:pPr>
              <w:spacing w:after="0"/>
              <w:rPr>
                <w:sz w:val="13"/>
                <w:szCs w:val="13"/>
                <w:color w:val="auto"/>
              </w:rPr>
            </w:pPr>
          </w:p>
        </w:tc>
        <w:tc>
          <w:tcPr>
            <w:tcW w:w="90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240,510</w:t>
            </w:r>
          </w:p>
        </w:tc>
        <w:tc>
          <w:tcPr>
            <w:tcW w:w="80" w:type="dxa"/>
            <w:vAlign w:val="bottom"/>
          </w:tcPr>
          <w:p>
            <w:pPr>
              <w:spacing w:after="0"/>
              <w:rPr>
                <w:sz w:val="13"/>
                <w:szCs w:val="13"/>
                <w:color w:val="auto"/>
              </w:rPr>
            </w:pPr>
          </w:p>
        </w:tc>
        <w:tc>
          <w:tcPr>
            <w:tcW w:w="90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46"/>
        </w:trPr>
        <w:tc>
          <w:tcPr>
            <w:tcW w:w="1920" w:type="dxa"/>
            <w:vAlign w:val="bottom"/>
            <w:shd w:val="clear" w:color="auto" w:fill="DBDBDB"/>
          </w:tcPr>
          <w:p>
            <w:pPr>
              <w:ind w:left="700"/>
              <w:spacing w:after="0" w:line="147" w:lineRule="exact"/>
              <w:rPr>
                <w:sz w:val="20"/>
                <w:szCs w:val="20"/>
                <w:color w:val="auto"/>
              </w:rPr>
            </w:pPr>
            <w:r>
              <w:rPr>
                <w:rFonts w:ascii="Arial" w:cs="Arial" w:eastAsia="Arial" w:hAnsi="Arial"/>
                <w:sz w:val="13"/>
                <w:szCs w:val="13"/>
                <w:color w:val="auto"/>
              </w:rPr>
              <w:t>Total shareholders’</w:t>
            </w:r>
          </w:p>
        </w:tc>
        <w:tc>
          <w:tcPr>
            <w:tcW w:w="90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c>
          <w:tcPr>
            <w:tcW w:w="9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5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DBDBDB"/>
          </w:tcPr>
          <w:p>
            <w:pPr>
              <w:ind w:left="180"/>
              <w:spacing w:after="0"/>
              <w:rPr>
                <w:sz w:val="20"/>
                <w:szCs w:val="20"/>
                <w:color w:val="auto"/>
              </w:rPr>
            </w:pPr>
            <w:r>
              <w:rPr>
                <w:rFonts w:ascii="Arial" w:cs="Arial" w:eastAsia="Arial" w:hAnsi="Arial"/>
                <w:sz w:val="13"/>
                <w:szCs w:val="13"/>
                <w:color w:val="auto"/>
              </w:rPr>
              <w:t>equity</w:t>
            </w:r>
          </w:p>
        </w:tc>
        <w:tc>
          <w:tcPr>
            <w:tcW w:w="900" w:type="dxa"/>
            <w:vAlign w:val="bottom"/>
            <w:shd w:val="clear" w:color="auto" w:fill="DBDBDB"/>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1,996,763</w:t>
            </w:r>
          </w:p>
        </w:tc>
        <w:tc>
          <w:tcPr>
            <w:tcW w:w="80" w:type="dxa"/>
            <w:vAlign w:val="bottom"/>
            <w:shd w:val="clear" w:color="auto" w:fill="DBDBDB"/>
          </w:tcPr>
          <w:p>
            <w:pPr>
              <w:spacing w:after="0"/>
              <w:rPr>
                <w:sz w:val="14"/>
                <w:szCs w:val="14"/>
                <w:color w:val="auto"/>
              </w:rPr>
            </w:pPr>
          </w:p>
        </w:tc>
        <w:tc>
          <w:tcPr>
            <w:tcW w:w="900" w:type="dxa"/>
            <w:vAlign w:val="bottom"/>
            <w:shd w:val="clear" w:color="auto" w:fill="DBDBDB"/>
          </w:tcPr>
          <w:p>
            <w:pPr>
              <w:jc w:val="right"/>
              <w:ind w:right="214"/>
              <w:spacing w:after="0"/>
              <w:rPr>
                <w:sz w:val="20"/>
                <w:szCs w:val="20"/>
                <w:color w:val="auto"/>
              </w:rPr>
            </w:pPr>
            <w:r>
              <w:rPr>
                <w:rFonts w:ascii="Arial" w:cs="Arial" w:eastAsia="Arial" w:hAnsi="Arial"/>
                <w:sz w:val="13"/>
                <w:szCs w:val="13"/>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2,063,873</w:t>
            </w:r>
          </w:p>
        </w:tc>
        <w:tc>
          <w:tcPr>
            <w:tcW w:w="80" w:type="dxa"/>
            <w:vAlign w:val="bottom"/>
            <w:shd w:val="clear" w:color="auto" w:fill="DBDBDB"/>
          </w:tcPr>
          <w:p>
            <w:pPr>
              <w:spacing w:after="0"/>
              <w:rPr>
                <w:sz w:val="14"/>
                <w:szCs w:val="14"/>
                <w:color w:val="auto"/>
              </w:rPr>
            </w:pPr>
          </w:p>
        </w:tc>
        <w:tc>
          <w:tcPr>
            <w:tcW w:w="880" w:type="dxa"/>
            <w:vAlign w:val="bottom"/>
            <w:shd w:val="clear" w:color="auto" w:fill="DBDBDB"/>
          </w:tcPr>
          <w:p>
            <w:pPr>
              <w:jc w:val="right"/>
              <w:ind w:right="194"/>
              <w:spacing w:after="0"/>
              <w:rPr>
                <w:sz w:val="20"/>
                <w:szCs w:val="20"/>
                <w:color w:val="auto"/>
              </w:rPr>
            </w:pPr>
            <w:r>
              <w:rPr>
                <w:rFonts w:ascii="Arial" w:cs="Arial" w:eastAsia="Arial" w:hAnsi="Arial"/>
                <w:sz w:val="13"/>
                <w:szCs w:val="13"/>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490,609</w:t>
            </w:r>
          </w:p>
        </w:tc>
        <w:tc>
          <w:tcPr>
            <w:tcW w:w="80" w:type="dxa"/>
            <w:vAlign w:val="bottom"/>
            <w:shd w:val="clear" w:color="auto" w:fill="DBDBDB"/>
          </w:tcPr>
          <w:p>
            <w:pPr>
              <w:spacing w:after="0"/>
              <w:rPr>
                <w:sz w:val="14"/>
                <w:szCs w:val="14"/>
                <w:color w:val="auto"/>
              </w:rPr>
            </w:pPr>
          </w:p>
        </w:tc>
        <w:tc>
          <w:tcPr>
            <w:tcW w:w="900" w:type="dxa"/>
            <w:vAlign w:val="bottom"/>
            <w:shd w:val="clear" w:color="auto" w:fill="DBDBDB"/>
          </w:tcPr>
          <w:p>
            <w:pPr>
              <w:jc w:val="right"/>
              <w:ind w:right="214"/>
              <w:spacing w:after="0"/>
              <w:rPr>
                <w:sz w:val="20"/>
                <w:szCs w:val="20"/>
                <w:color w:val="auto"/>
              </w:rPr>
            </w:pPr>
            <w:r>
              <w:rPr>
                <w:rFonts w:ascii="Arial" w:cs="Arial" w:eastAsia="Arial" w:hAnsi="Arial"/>
                <w:sz w:val="13"/>
                <w:szCs w:val="13"/>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(67,110)</w:t>
            </w:r>
          </w:p>
        </w:tc>
        <w:tc>
          <w:tcPr>
            <w:tcW w:w="80" w:type="dxa"/>
            <w:vAlign w:val="bottom"/>
            <w:shd w:val="clear" w:color="auto" w:fill="DBDBDB"/>
          </w:tcPr>
          <w:p>
            <w:pPr>
              <w:spacing w:after="0"/>
              <w:rPr>
                <w:sz w:val="14"/>
                <w:szCs w:val="14"/>
                <w:color w:val="auto"/>
              </w:rPr>
            </w:pPr>
          </w:p>
        </w:tc>
        <w:tc>
          <w:tcPr>
            <w:tcW w:w="900" w:type="dxa"/>
            <w:vAlign w:val="bottom"/>
            <w:shd w:val="clear" w:color="auto" w:fill="DBDBDB"/>
          </w:tcPr>
          <w:p>
            <w:pPr>
              <w:jc w:val="right"/>
              <w:ind w:right="214"/>
              <w:spacing w:after="0"/>
              <w:rPr>
                <w:sz w:val="20"/>
                <w:szCs w:val="20"/>
                <w:color w:val="auto"/>
              </w:rPr>
            </w:pPr>
            <w:r>
              <w:rPr>
                <w:rFonts w:ascii="Arial" w:cs="Arial" w:eastAsia="Arial" w:hAnsi="Arial"/>
                <w:sz w:val="13"/>
                <w:szCs w:val="13"/>
                <w:color w:val="auto"/>
              </w:rPr>
              <w:t>$</w:t>
            </w:r>
          </w:p>
        </w:tc>
        <w:tc>
          <w:tcPr>
            <w:tcW w:w="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bl>
    <w:p>
      <w:pPr>
        <w:spacing w:after="0" w:line="124" w:lineRule="exact"/>
        <w:rPr>
          <w:sz w:val="20"/>
          <w:szCs w:val="20"/>
          <w:color w:val="auto"/>
        </w:rPr>
      </w:pPr>
    </w:p>
    <w:p>
      <w:pPr>
        <w:jc w:val="both"/>
        <w:ind w:left="-7" w:right="80" w:firstLine="7"/>
        <w:spacing w:after="0" w:line="232" w:lineRule="auto"/>
        <w:tabs>
          <w:tab w:leader="none" w:pos="179" w:val="left"/>
        </w:tabs>
        <w:numPr>
          <w:ilvl w:val="0"/>
          <w:numId w:val="19"/>
        </w:numPr>
        <w:rPr>
          <w:rFonts w:ascii="Arial" w:cs="Arial" w:eastAsia="Arial" w:hAnsi="Arial"/>
          <w:sz w:val="12"/>
          <w:szCs w:val="12"/>
          <w:color w:val="auto"/>
        </w:rPr>
      </w:pPr>
      <w:r>
        <w:rPr>
          <w:rFonts w:ascii="Arial" w:cs="Arial" w:eastAsia="Arial" w:hAnsi="Arial"/>
          <w:sz w:val="12"/>
          <w:szCs w:val="12"/>
          <w:color w:val="auto"/>
        </w:rPr>
        <w:t>WillScot Mobile Mini presents Adjusted EBITDA, Free Cash Flow, Adjusted Gross Profit and Net CAPEX, which are measurements not calculated in accordance with GAAP and are defined below in the section "Reconciliation of non-GAAP Financial Measures," because they are key metrics used by management to assess financial performance. Our business is capital intensive, and these additional metrics allow management to further evaluate its operating performance. See below for reconciliations of non-GAAP financial measures.</w:t>
      </w:r>
    </w:p>
    <w:p>
      <w:pPr>
        <w:sectPr>
          <w:pgSz w:w="11900" w:h="16838" w:orient="portrait"/>
          <w:cols w:equalWidth="0" w:num="1">
            <w:col w:w="11353"/>
          </w:cols>
          <w:pgMar w:left="307" w:top="9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87"/>
        <w:spacing w:after="0"/>
        <w:rPr>
          <w:sz w:val="20"/>
          <w:szCs w:val="20"/>
          <w:color w:val="auto"/>
        </w:rPr>
      </w:pPr>
      <w:r>
        <w:rPr>
          <w:rFonts w:ascii="Arial" w:cs="Arial" w:eastAsia="Arial" w:hAnsi="Arial"/>
          <w:sz w:val="10"/>
          <w:szCs w:val="1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50800</wp:posOffset>
            </wp:positionV>
            <wp:extent cx="7183755" cy="393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353"/>
          </w:cols>
          <w:pgMar w:left="307" w:top="960" w:right="2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5"/>
          <w:szCs w:val="15"/>
          <w:b w:val="1"/>
          <w:bCs w:val="1"/>
          <w:color w:val="auto"/>
        </w:rPr>
        <w:t>Quarterly Consolidated Results for the Year Ended December 31,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0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w w:val="99"/>
              </w:rPr>
              <w:t>(in thousands, except for units on rent and monthly rental rate)</w:t>
            </w:r>
          </w:p>
        </w:tc>
        <w:tc>
          <w:tcPr>
            <w:tcW w:w="240" w:type="dxa"/>
            <w:vAlign w:val="bottom"/>
            <w:shd w:val="clear" w:color="auto" w:fill="1D2758"/>
          </w:tcPr>
          <w:p>
            <w:pPr>
              <w:spacing w:after="0"/>
              <w:rPr>
                <w:sz w:val="15"/>
                <w:szCs w:val="15"/>
                <w:color w:val="auto"/>
              </w:rPr>
            </w:pPr>
          </w:p>
        </w:tc>
        <w:tc>
          <w:tcPr>
            <w:tcW w:w="1280" w:type="dxa"/>
            <w:vAlign w:val="bottom"/>
            <w:shd w:val="clear" w:color="auto" w:fill="1D2758"/>
          </w:tcPr>
          <w:p>
            <w:pPr>
              <w:jc w:val="center"/>
              <w:ind w:right="194"/>
              <w:spacing w:after="0"/>
              <w:rPr>
                <w:sz w:val="20"/>
                <w:szCs w:val="20"/>
                <w:color w:val="auto"/>
              </w:rPr>
            </w:pPr>
            <w:r>
              <w:rPr>
                <w:rFonts w:ascii="Arial" w:cs="Arial" w:eastAsia="Arial" w:hAnsi="Arial"/>
                <w:sz w:val="13"/>
                <w:szCs w:val="13"/>
                <w:b w:val="1"/>
                <w:bCs w:val="1"/>
                <w:color w:val="FFFFFF"/>
              </w:rPr>
              <w:t>Q1</w:t>
            </w:r>
          </w:p>
        </w:tc>
        <w:tc>
          <w:tcPr>
            <w:tcW w:w="280" w:type="dxa"/>
            <w:vAlign w:val="bottom"/>
            <w:shd w:val="clear" w:color="auto" w:fill="1D2758"/>
          </w:tcPr>
          <w:p>
            <w:pPr>
              <w:spacing w:after="0"/>
              <w:rPr>
                <w:sz w:val="15"/>
                <w:szCs w:val="15"/>
                <w:color w:val="auto"/>
              </w:rPr>
            </w:pPr>
          </w:p>
        </w:tc>
        <w:tc>
          <w:tcPr>
            <w:tcW w:w="1280" w:type="dxa"/>
            <w:vAlign w:val="bottom"/>
            <w:shd w:val="clear" w:color="auto" w:fill="1D2758"/>
          </w:tcPr>
          <w:p>
            <w:pPr>
              <w:jc w:val="center"/>
              <w:ind w:right="234"/>
              <w:spacing w:after="0"/>
              <w:rPr>
                <w:sz w:val="20"/>
                <w:szCs w:val="20"/>
                <w:color w:val="auto"/>
              </w:rPr>
            </w:pPr>
            <w:r>
              <w:rPr>
                <w:rFonts w:ascii="Arial" w:cs="Arial" w:eastAsia="Arial" w:hAnsi="Arial"/>
                <w:sz w:val="13"/>
                <w:szCs w:val="13"/>
                <w:b w:val="1"/>
                <w:bCs w:val="1"/>
                <w:color w:val="FFFFFF"/>
              </w:rPr>
              <w:t>Q2</w:t>
            </w:r>
          </w:p>
        </w:tc>
        <w:tc>
          <w:tcPr>
            <w:tcW w:w="260" w:type="dxa"/>
            <w:vAlign w:val="bottom"/>
            <w:shd w:val="clear" w:color="auto" w:fill="1D2758"/>
          </w:tcPr>
          <w:p>
            <w:pPr>
              <w:spacing w:after="0"/>
              <w:rPr>
                <w:sz w:val="15"/>
                <w:szCs w:val="15"/>
                <w:color w:val="auto"/>
              </w:rPr>
            </w:pPr>
          </w:p>
        </w:tc>
        <w:tc>
          <w:tcPr>
            <w:tcW w:w="1280" w:type="dxa"/>
            <w:vAlign w:val="bottom"/>
            <w:shd w:val="clear" w:color="auto" w:fill="1D2758"/>
          </w:tcPr>
          <w:p>
            <w:pPr>
              <w:jc w:val="center"/>
              <w:ind w:right="194"/>
              <w:spacing w:after="0"/>
              <w:rPr>
                <w:sz w:val="20"/>
                <w:szCs w:val="20"/>
                <w:color w:val="auto"/>
              </w:rPr>
            </w:pPr>
            <w:r>
              <w:rPr>
                <w:rFonts w:ascii="Arial" w:cs="Arial" w:eastAsia="Arial" w:hAnsi="Arial"/>
                <w:sz w:val="13"/>
                <w:szCs w:val="13"/>
                <w:b w:val="1"/>
                <w:bCs w:val="1"/>
                <w:color w:val="FFFFFF"/>
              </w:rPr>
              <w:t>Q3</w:t>
            </w:r>
          </w:p>
        </w:tc>
        <w:tc>
          <w:tcPr>
            <w:tcW w:w="280" w:type="dxa"/>
            <w:vAlign w:val="bottom"/>
            <w:shd w:val="clear" w:color="auto" w:fill="1D2758"/>
          </w:tcPr>
          <w:p>
            <w:pPr>
              <w:spacing w:after="0"/>
              <w:rPr>
                <w:sz w:val="15"/>
                <w:szCs w:val="15"/>
                <w:color w:val="auto"/>
              </w:rPr>
            </w:pPr>
          </w:p>
        </w:tc>
        <w:tc>
          <w:tcPr>
            <w:tcW w:w="1280" w:type="dxa"/>
            <w:vAlign w:val="bottom"/>
            <w:shd w:val="clear" w:color="auto" w:fill="1D2758"/>
          </w:tcPr>
          <w:p>
            <w:pPr>
              <w:jc w:val="center"/>
              <w:ind w:right="214"/>
              <w:spacing w:after="0"/>
              <w:rPr>
                <w:sz w:val="20"/>
                <w:szCs w:val="20"/>
                <w:color w:val="auto"/>
              </w:rPr>
            </w:pPr>
            <w:r>
              <w:rPr>
                <w:rFonts w:ascii="Arial" w:cs="Arial" w:eastAsia="Arial" w:hAnsi="Arial"/>
                <w:sz w:val="13"/>
                <w:szCs w:val="13"/>
                <w:b w:val="1"/>
                <w:bCs w:val="1"/>
                <w:color w:val="FFFFFF"/>
                <w:w w:val="91"/>
              </w:rPr>
              <w:t>Q4</w:t>
            </w:r>
          </w:p>
        </w:tc>
        <w:tc>
          <w:tcPr>
            <w:tcW w:w="260" w:type="dxa"/>
            <w:vAlign w:val="bottom"/>
            <w:shd w:val="clear" w:color="auto" w:fill="1D2758"/>
          </w:tcPr>
          <w:p>
            <w:pPr>
              <w:spacing w:after="0"/>
              <w:rPr>
                <w:sz w:val="15"/>
                <w:szCs w:val="15"/>
                <w:color w:val="auto"/>
              </w:rPr>
            </w:pPr>
          </w:p>
        </w:tc>
        <w:tc>
          <w:tcPr>
            <w:tcW w:w="1240" w:type="dxa"/>
            <w:vAlign w:val="bottom"/>
            <w:shd w:val="clear" w:color="auto" w:fill="1D2758"/>
          </w:tcPr>
          <w:p>
            <w:pPr>
              <w:jc w:val="right"/>
              <w:ind w:right="394"/>
              <w:spacing w:after="0"/>
              <w:rPr>
                <w:sz w:val="20"/>
                <w:szCs w:val="20"/>
                <w:color w:val="auto"/>
              </w:rPr>
            </w:pPr>
            <w:r>
              <w:rPr>
                <w:rFonts w:ascii="Arial" w:cs="Arial" w:eastAsia="Arial" w:hAnsi="Arial"/>
                <w:sz w:val="13"/>
                <w:szCs w:val="13"/>
                <w:b w:val="1"/>
                <w:bCs w:val="1"/>
                <w:color w:val="FFFFFF"/>
              </w:rPr>
              <w:t>Full Year</w:t>
            </w:r>
          </w:p>
        </w:tc>
      </w:tr>
      <w:tr>
        <w:trPr>
          <w:trHeight w:val="175"/>
        </w:trPr>
        <w:tc>
          <w:tcPr>
            <w:tcW w:w="3600" w:type="dxa"/>
            <w:vAlign w:val="bottom"/>
            <w:shd w:val="clear" w:color="auto" w:fill="DBDBDB"/>
          </w:tcPr>
          <w:p>
            <w:pPr>
              <w:ind w:left="20"/>
              <w:spacing w:after="0"/>
              <w:rPr>
                <w:sz w:val="20"/>
                <w:szCs w:val="20"/>
                <w:color w:val="auto"/>
              </w:rPr>
            </w:pPr>
            <w:r>
              <w:rPr>
                <w:rFonts w:ascii="Arial" w:cs="Arial" w:eastAsia="Arial" w:hAnsi="Arial"/>
                <w:sz w:val="13"/>
                <w:szCs w:val="13"/>
                <w:color w:val="auto"/>
              </w:rPr>
              <w:t>Revenue</w:t>
            </w:r>
          </w:p>
        </w:tc>
        <w:tc>
          <w:tcPr>
            <w:tcW w:w="24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425,323</w:t>
            </w:r>
          </w:p>
        </w:tc>
        <w:tc>
          <w:tcPr>
            <w:tcW w:w="28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461,102</w:t>
            </w:r>
          </w:p>
        </w:tc>
        <w:tc>
          <w:tcPr>
            <w:tcW w:w="26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490,552</w:t>
            </w:r>
          </w:p>
        </w:tc>
        <w:tc>
          <w:tcPr>
            <w:tcW w:w="28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517,920</w:t>
            </w:r>
          </w:p>
        </w:tc>
        <w:tc>
          <w:tcPr>
            <w:tcW w:w="26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1,894,897</w:t>
            </w:r>
          </w:p>
        </w:tc>
      </w:tr>
      <w:tr>
        <w:trPr>
          <w:trHeight w:val="172"/>
        </w:trPr>
        <w:tc>
          <w:tcPr>
            <w:tcW w:w="3600" w:type="dxa"/>
            <w:vAlign w:val="bottom"/>
          </w:tcPr>
          <w:p>
            <w:pPr>
              <w:ind w:left="20"/>
              <w:spacing w:after="0"/>
              <w:rPr>
                <w:sz w:val="20"/>
                <w:szCs w:val="20"/>
                <w:color w:val="auto"/>
              </w:rPr>
            </w:pPr>
            <w:r>
              <w:rPr>
                <w:rFonts w:ascii="Arial" w:cs="Arial" w:eastAsia="Arial" w:hAnsi="Arial"/>
                <w:sz w:val="13"/>
                <w:szCs w:val="13"/>
                <w:color w:val="auto"/>
              </w:rPr>
              <w:t>Gross profit</w:t>
            </w:r>
          </w:p>
        </w:tc>
        <w:tc>
          <w:tcPr>
            <w:tcW w:w="24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54"/>
              <w:spacing w:after="0"/>
              <w:rPr>
                <w:sz w:val="20"/>
                <w:szCs w:val="20"/>
                <w:color w:val="auto"/>
              </w:rPr>
            </w:pPr>
            <w:r>
              <w:rPr>
                <w:rFonts w:ascii="Arial" w:cs="Arial" w:eastAsia="Arial" w:hAnsi="Arial"/>
                <w:sz w:val="13"/>
                <w:szCs w:val="13"/>
                <w:color w:val="auto"/>
              </w:rPr>
              <w:t>213,380</w:t>
            </w: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54"/>
              <w:spacing w:after="0"/>
              <w:rPr>
                <w:sz w:val="20"/>
                <w:szCs w:val="20"/>
                <w:color w:val="auto"/>
              </w:rPr>
            </w:pPr>
            <w:r>
              <w:rPr>
                <w:rFonts w:ascii="Arial" w:cs="Arial" w:eastAsia="Arial" w:hAnsi="Arial"/>
                <w:sz w:val="13"/>
                <w:szCs w:val="13"/>
                <w:color w:val="auto"/>
              </w:rPr>
              <w:t>222,810</w:t>
            </w:r>
          </w:p>
        </w:tc>
        <w:tc>
          <w:tcPr>
            <w:tcW w:w="2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34"/>
              <w:spacing w:after="0"/>
              <w:rPr>
                <w:sz w:val="20"/>
                <w:szCs w:val="20"/>
                <w:color w:val="auto"/>
              </w:rPr>
            </w:pPr>
            <w:r>
              <w:rPr>
                <w:rFonts w:ascii="Arial" w:cs="Arial" w:eastAsia="Arial" w:hAnsi="Arial"/>
                <w:sz w:val="13"/>
                <w:szCs w:val="13"/>
                <w:color w:val="auto"/>
              </w:rPr>
              <w:t>253,549</w:t>
            </w: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54"/>
              <w:spacing w:after="0"/>
              <w:rPr>
                <w:sz w:val="20"/>
                <w:szCs w:val="20"/>
                <w:color w:val="auto"/>
              </w:rPr>
            </w:pPr>
            <w:r>
              <w:rPr>
                <w:rFonts w:ascii="Arial" w:cs="Arial" w:eastAsia="Arial" w:hAnsi="Arial"/>
                <w:sz w:val="13"/>
                <w:szCs w:val="13"/>
                <w:color w:val="auto"/>
              </w:rPr>
              <w:t>278,469</w:t>
            </w:r>
          </w:p>
        </w:tc>
        <w:tc>
          <w:tcPr>
            <w:tcW w:w="2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94"/>
              <w:spacing w:after="0"/>
              <w:rPr>
                <w:sz w:val="20"/>
                <w:szCs w:val="20"/>
                <w:color w:val="auto"/>
              </w:rPr>
            </w:pPr>
            <w:r>
              <w:rPr>
                <w:rFonts w:ascii="Arial" w:cs="Arial" w:eastAsia="Arial" w:hAnsi="Arial"/>
                <w:sz w:val="13"/>
                <w:szCs w:val="13"/>
                <w:color w:val="auto"/>
              </w:rPr>
              <w:t>968,208</w:t>
            </w:r>
          </w:p>
        </w:tc>
      </w:tr>
      <w:tr>
        <w:trPr>
          <w:trHeight w:val="178"/>
        </w:trPr>
        <w:tc>
          <w:tcPr>
            <w:tcW w:w="3600" w:type="dxa"/>
            <w:vAlign w:val="bottom"/>
            <w:shd w:val="clear" w:color="auto" w:fill="DBDBDB"/>
          </w:tcPr>
          <w:p>
            <w:pPr>
              <w:ind w:left="20"/>
              <w:spacing w:after="0"/>
              <w:rPr>
                <w:sz w:val="20"/>
                <w:szCs w:val="20"/>
                <w:color w:val="auto"/>
              </w:rPr>
            </w:pPr>
            <w:r>
              <w:rPr>
                <w:rFonts w:ascii="Arial" w:cs="Arial" w:eastAsia="Arial" w:hAnsi="Arial"/>
                <w:sz w:val="13"/>
                <w:szCs w:val="13"/>
                <w:color w:val="auto"/>
              </w:rPr>
              <w:t>Adjusted EBITDA</w:t>
            </w:r>
          </w:p>
        </w:tc>
        <w:tc>
          <w:tcPr>
            <w:tcW w:w="24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163,585</w:t>
            </w:r>
          </w:p>
        </w:tc>
        <w:tc>
          <w:tcPr>
            <w:tcW w:w="28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175,495</w:t>
            </w:r>
          </w:p>
        </w:tc>
        <w:tc>
          <w:tcPr>
            <w:tcW w:w="26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190,149</w:t>
            </w:r>
          </w:p>
        </w:tc>
        <w:tc>
          <w:tcPr>
            <w:tcW w:w="28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211,164</w:t>
            </w:r>
          </w:p>
        </w:tc>
        <w:tc>
          <w:tcPr>
            <w:tcW w:w="26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740,393</w:t>
            </w:r>
          </w:p>
        </w:tc>
      </w:tr>
      <w:tr>
        <w:trPr>
          <w:trHeight w:val="172"/>
        </w:trPr>
        <w:tc>
          <w:tcPr>
            <w:tcW w:w="360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24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54"/>
              <w:spacing w:after="0"/>
              <w:rPr>
                <w:sz w:val="20"/>
                <w:szCs w:val="20"/>
                <w:color w:val="auto"/>
              </w:rPr>
            </w:pPr>
            <w:r>
              <w:rPr>
                <w:rFonts w:ascii="Arial" w:cs="Arial" w:eastAsia="Arial" w:hAnsi="Arial"/>
                <w:sz w:val="13"/>
                <w:szCs w:val="13"/>
                <w:color w:val="auto"/>
              </w:rPr>
              <w:t>4,447</w:t>
            </w: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54"/>
              <w:spacing w:after="0"/>
              <w:rPr>
                <w:sz w:val="20"/>
                <w:szCs w:val="20"/>
                <w:color w:val="auto"/>
              </w:rPr>
            </w:pPr>
            <w:r>
              <w:rPr>
                <w:rFonts w:ascii="Arial" w:cs="Arial" w:eastAsia="Arial" w:hAnsi="Arial"/>
                <w:sz w:val="13"/>
                <w:szCs w:val="13"/>
                <w:color w:val="auto"/>
              </w:rPr>
              <w:t>20,371</w:t>
            </w:r>
          </w:p>
        </w:tc>
        <w:tc>
          <w:tcPr>
            <w:tcW w:w="2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34"/>
              <w:spacing w:after="0"/>
              <w:rPr>
                <w:sz w:val="20"/>
                <w:szCs w:val="20"/>
                <w:color w:val="auto"/>
              </w:rPr>
            </w:pPr>
            <w:r>
              <w:rPr>
                <w:rFonts w:ascii="Arial" w:cs="Arial" w:eastAsia="Arial" w:hAnsi="Arial"/>
                <w:sz w:val="13"/>
                <w:szCs w:val="13"/>
                <w:color w:val="auto"/>
              </w:rPr>
              <w:t>61,103</w:t>
            </w: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54"/>
              <w:spacing w:after="0"/>
              <w:rPr>
                <w:sz w:val="20"/>
                <w:szCs w:val="20"/>
                <w:color w:val="auto"/>
              </w:rPr>
            </w:pPr>
            <w:r>
              <w:rPr>
                <w:rFonts w:ascii="Arial" w:cs="Arial" w:eastAsia="Arial" w:hAnsi="Arial"/>
                <w:sz w:val="13"/>
                <w:szCs w:val="13"/>
                <w:color w:val="auto"/>
              </w:rPr>
              <w:t>74,223</w:t>
            </w:r>
          </w:p>
        </w:tc>
        <w:tc>
          <w:tcPr>
            <w:tcW w:w="2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94"/>
              <w:spacing w:after="0"/>
              <w:rPr>
                <w:sz w:val="20"/>
                <w:szCs w:val="20"/>
                <w:color w:val="auto"/>
              </w:rPr>
            </w:pPr>
            <w:r>
              <w:rPr>
                <w:rFonts w:ascii="Arial" w:cs="Arial" w:eastAsia="Arial" w:hAnsi="Arial"/>
                <w:sz w:val="13"/>
                <w:szCs w:val="13"/>
                <w:color w:val="auto"/>
              </w:rPr>
              <w:t>160,144</w:t>
            </w:r>
          </w:p>
        </w:tc>
      </w:tr>
      <w:tr>
        <w:trPr>
          <w:trHeight w:val="178"/>
        </w:trPr>
        <w:tc>
          <w:tcPr>
            <w:tcW w:w="3600" w:type="dxa"/>
            <w:vAlign w:val="bottom"/>
            <w:shd w:val="clear" w:color="auto" w:fill="DBDBDB"/>
          </w:tcPr>
          <w:p>
            <w:pPr>
              <w:ind w:left="20"/>
              <w:spacing w:after="0"/>
              <w:rPr>
                <w:sz w:val="20"/>
                <w:szCs w:val="20"/>
                <w:color w:val="auto"/>
              </w:rPr>
            </w:pPr>
            <w:r>
              <w:rPr>
                <w:rFonts w:ascii="Arial" w:cs="Arial" w:eastAsia="Arial" w:hAnsi="Arial"/>
                <w:sz w:val="13"/>
                <w:szCs w:val="13"/>
                <w:color w:val="auto"/>
              </w:rPr>
              <w:t>Net CAPEX</w:t>
            </w:r>
          </w:p>
        </w:tc>
        <w:tc>
          <w:tcPr>
            <w:tcW w:w="24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30,911</w:t>
            </w:r>
          </w:p>
        </w:tc>
        <w:tc>
          <w:tcPr>
            <w:tcW w:w="28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57,481</w:t>
            </w:r>
          </w:p>
        </w:tc>
        <w:tc>
          <w:tcPr>
            <w:tcW w:w="26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51,954</w:t>
            </w:r>
          </w:p>
        </w:tc>
        <w:tc>
          <w:tcPr>
            <w:tcW w:w="28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96,529</w:t>
            </w:r>
          </w:p>
        </w:tc>
        <w:tc>
          <w:tcPr>
            <w:tcW w:w="26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236,875</w:t>
            </w:r>
          </w:p>
        </w:tc>
      </w:tr>
      <w:tr>
        <w:trPr>
          <w:trHeight w:val="172"/>
        </w:trPr>
        <w:tc>
          <w:tcPr>
            <w:tcW w:w="3600" w:type="dxa"/>
            <w:vAlign w:val="bottom"/>
          </w:tcPr>
          <w:p>
            <w:pPr>
              <w:ind w:left="20"/>
              <w:spacing w:after="0"/>
              <w:rPr>
                <w:sz w:val="20"/>
                <w:szCs w:val="20"/>
                <w:color w:val="auto"/>
              </w:rPr>
            </w:pPr>
            <w:r>
              <w:rPr>
                <w:rFonts w:ascii="Arial" w:cs="Arial" w:eastAsia="Arial" w:hAnsi="Arial"/>
                <w:sz w:val="13"/>
                <w:szCs w:val="13"/>
                <w:color w:val="auto"/>
              </w:rPr>
              <w:t>Modular space units on rent (average during the period)</w:t>
            </w:r>
          </w:p>
        </w:tc>
        <w:tc>
          <w:tcPr>
            <w:tcW w:w="240" w:type="dxa"/>
            <w:vAlign w:val="bottom"/>
          </w:tcPr>
          <w:p>
            <w:pPr>
              <w:spacing w:after="0"/>
              <w:rPr>
                <w:sz w:val="14"/>
                <w:szCs w:val="14"/>
                <w:color w:val="auto"/>
              </w:rPr>
            </w:pPr>
          </w:p>
        </w:tc>
        <w:tc>
          <w:tcPr>
            <w:tcW w:w="1280" w:type="dxa"/>
            <w:vAlign w:val="bottom"/>
          </w:tcPr>
          <w:p>
            <w:pPr>
              <w:jc w:val="right"/>
              <w:ind w:right="154"/>
              <w:spacing w:after="0"/>
              <w:rPr>
                <w:sz w:val="20"/>
                <w:szCs w:val="20"/>
                <w:color w:val="auto"/>
              </w:rPr>
            </w:pPr>
            <w:r>
              <w:rPr>
                <w:rFonts w:ascii="Arial" w:cs="Arial" w:eastAsia="Arial" w:hAnsi="Arial"/>
                <w:sz w:val="13"/>
                <w:szCs w:val="13"/>
                <w:color w:val="auto"/>
              </w:rPr>
              <w:t>110,349</w:t>
            </w:r>
          </w:p>
        </w:tc>
        <w:tc>
          <w:tcPr>
            <w:tcW w:w="280" w:type="dxa"/>
            <w:vAlign w:val="bottom"/>
          </w:tcPr>
          <w:p>
            <w:pPr>
              <w:spacing w:after="0"/>
              <w:rPr>
                <w:sz w:val="14"/>
                <w:szCs w:val="14"/>
                <w:color w:val="auto"/>
              </w:rPr>
            </w:pPr>
          </w:p>
        </w:tc>
        <w:tc>
          <w:tcPr>
            <w:tcW w:w="1280" w:type="dxa"/>
            <w:vAlign w:val="bottom"/>
          </w:tcPr>
          <w:p>
            <w:pPr>
              <w:jc w:val="right"/>
              <w:ind w:right="154"/>
              <w:spacing w:after="0"/>
              <w:rPr>
                <w:sz w:val="20"/>
                <w:szCs w:val="20"/>
                <w:color w:val="auto"/>
              </w:rPr>
            </w:pPr>
            <w:r>
              <w:rPr>
                <w:rFonts w:ascii="Arial" w:cs="Arial" w:eastAsia="Arial" w:hAnsi="Arial"/>
                <w:sz w:val="13"/>
                <w:szCs w:val="13"/>
                <w:color w:val="auto"/>
              </w:rPr>
              <w:t>110,468</w:t>
            </w:r>
          </w:p>
        </w:tc>
        <w:tc>
          <w:tcPr>
            <w:tcW w:w="260" w:type="dxa"/>
            <w:vAlign w:val="bottom"/>
          </w:tcPr>
          <w:p>
            <w:pPr>
              <w:spacing w:after="0"/>
              <w:rPr>
                <w:sz w:val="14"/>
                <w:szCs w:val="14"/>
                <w:color w:val="auto"/>
              </w:rPr>
            </w:pPr>
          </w:p>
        </w:tc>
        <w:tc>
          <w:tcPr>
            <w:tcW w:w="1280" w:type="dxa"/>
            <w:vAlign w:val="bottom"/>
          </w:tcPr>
          <w:p>
            <w:pPr>
              <w:jc w:val="right"/>
              <w:ind w:right="134"/>
              <w:spacing w:after="0"/>
              <w:rPr>
                <w:sz w:val="20"/>
                <w:szCs w:val="20"/>
                <w:color w:val="auto"/>
              </w:rPr>
            </w:pPr>
            <w:r>
              <w:rPr>
                <w:rFonts w:ascii="Arial" w:cs="Arial" w:eastAsia="Arial" w:hAnsi="Arial"/>
                <w:sz w:val="13"/>
                <w:szCs w:val="13"/>
                <w:color w:val="auto"/>
              </w:rPr>
              <w:t>109,832</w:t>
            </w:r>
          </w:p>
        </w:tc>
        <w:tc>
          <w:tcPr>
            <w:tcW w:w="280" w:type="dxa"/>
            <w:vAlign w:val="bottom"/>
          </w:tcPr>
          <w:p>
            <w:pPr>
              <w:spacing w:after="0"/>
              <w:rPr>
                <w:sz w:val="14"/>
                <w:szCs w:val="14"/>
                <w:color w:val="auto"/>
              </w:rPr>
            </w:pPr>
          </w:p>
        </w:tc>
        <w:tc>
          <w:tcPr>
            <w:tcW w:w="1280" w:type="dxa"/>
            <w:vAlign w:val="bottom"/>
          </w:tcPr>
          <w:p>
            <w:pPr>
              <w:jc w:val="right"/>
              <w:ind w:right="154"/>
              <w:spacing w:after="0"/>
              <w:rPr>
                <w:sz w:val="20"/>
                <w:szCs w:val="20"/>
                <w:color w:val="auto"/>
              </w:rPr>
            </w:pPr>
            <w:r>
              <w:rPr>
                <w:rFonts w:ascii="Arial" w:cs="Arial" w:eastAsia="Arial" w:hAnsi="Arial"/>
                <w:sz w:val="13"/>
                <w:szCs w:val="13"/>
                <w:color w:val="auto"/>
              </w:rPr>
              <w:t>110,961</w:t>
            </w:r>
          </w:p>
        </w:tc>
        <w:tc>
          <w:tcPr>
            <w:tcW w:w="260" w:type="dxa"/>
            <w:vAlign w:val="bottom"/>
          </w:tcPr>
          <w:p>
            <w:pPr>
              <w:spacing w:after="0"/>
              <w:rPr>
                <w:sz w:val="14"/>
                <w:szCs w:val="14"/>
                <w:color w:val="auto"/>
              </w:rPr>
            </w:pPr>
          </w:p>
        </w:tc>
        <w:tc>
          <w:tcPr>
            <w:tcW w:w="1240" w:type="dxa"/>
            <w:vAlign w:val="bottom"/>
          </w:tcPr>
          <w:p>
            <w:pPr>
              <w:jc w:val="right"/>
              <w:ind w:right="94"/>
              <w:spacing w:after="0"/>
              <w:rPr>
                <w:sz w:val="20"/>
                <w:szCs w:val="20"/>
                <w:color w:val="auto"/>
              </w:rPr>
            </w:pPr>
            <w:r>
              <w:rPr>
                <w:rFonts w:ascii="Arial" w:cs="Arial" w:eastAsia="Arial" w:hAnsi="Arial"/>
                <w:sz w:val="13"/>
                <w:szCs w:val="13"/>
                <w:color w:val="auto"/>
              </w:rPr>
              <w:t>110,402</w:t>
            </w:r>
          </w:p>
        </w:tc>
      </w:tr>
      <w:tr>
        <w:trPr>
          <w:trHeight w:val="178"/>
        </w:trPr>
        <w:tc>
          <w:tcPr>
            <w:tcW w:w="3600" w:type="dxa"/>
            <w:vAlign w:val="bottom"/>
            <w:shd w:val="clear" w:color="auto" w:fill="DBDBDB"/>
          </w:tcPr>
          <w:p>
            <w:pPr>
              <w:ind w:left="20"/>
              <w:spacing w:after="0"/>
              <w:rPr>
                <w:sz w:val="20"/>
                <w:szCs w:val="20"/>
                <w:color w:val="auto"/>
              </w:rPr>
            </w:pPr>
            <w:r>
              <w:rPr>
                <w:rFonts w:ascii="Arial" w:cs="Arial" w:eastAsia="Arial" w:hAnsi="Arial"/>
                <w:sz w:val="13"/>
                <w:szCs w:val="13"/>
                <w:color w:val="auto"/>
              </w:rPr>
              <w:t>Average modular space utilization rate</w:t>
            </w:r>
          </w:p>
        </w:tc>
        <w:tc>
          <w:tcPr>
            <w:tcW w:w="240" w:type="dxa"/>
            <w:vAlign w:val="bottom"/>
            <w:shd w:val="clear" w:color="auto" w:fill="DBDBDB"/>
          </w:tcPr>
          <w:p>
            <w:pPr>
              <w:spacing w:after="0"/>
              <w:rPr>
                <w:sz w:val="15"/>
                <w:szCs w:val="15"/>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70.3 %</w:t>
            </w:r>
          </w:p>
        </w:tc>
        <w:tc>
          <w:tcPr>
            <w:tcW w:w="280" w:type="dxa"/>
            <w:vAlign w:val="bottom"/>
            <w:shd w:val="clear" w:color="auto" w:fill="DBDBDB"/>
          </w:tcPr>
          <w:p>
            <w:pPr>
              <w:spacing w:after="0"/>
              <w:rPr>
                <w:sz w:val="15"/>
                <w:szCs w:val="15"/>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70.3 %</w:t>
            </w:r>
          </w:p>
        </w:tc>
        <w:tc>
          <w:tcPr>
            <w:tcW w:w="260" w:type="dxa"/>
            <w:vAlign w:val="bottom"/>
            <w:shd w:val="clear" w:color="auto" w:fill="DBDBDB"/>
          </w:tcPr>
          <w:p>
            <w:pPr>
              <w:spacing w:after="0"/>
              <w:rPr>
                <w:sz w:val="15"/>
                <w:szCs w:val="15"/>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70.1 %</w:t>
            </w:r>
          </w:p>
        </w:tc>
        <w:tc>
          <w:tcPr>
            <w:tcW w:w="280" w:type="dxa"/>
            <w:vAlign w:val="bottom"/>
            <w:shd w:val="clear" w:color="auto" w:fill="DBDBDB"/>
          </w:tcPr>
          <w:p>
            <w:pPr>
              <w:spacing w:after="0"/>
              <w:rPr>
                <w:sz w:val="15"/>
                <w:szCs w:val="15"/>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69.8 %</w:t>
            </w:r>
          </w:p>
        </w:tc>
        <w:tc>
          <w:tcPr>
            <w:tcW w:w="260" w:type="dxa"/>
            <w:vAlign w:val="bottom"/>
            <w:shd w:val="clear" w:color="auto" w:fill="DBDBDB"/>
          </w:tcPr>
          <w:p>
            <w:pPr>
              <w:spacing w:after="0"/>
              <w:rPr>
                <w:sz w:val="15"/>
                <w:szCs w:val="15"/>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70.1 %</w:t>
            </w:r>
          </w:p>
        </w:tc>
      </w:tr>
      <w:tr>
        <w:trPr>
          <w:trHeight w:val="172"/>
        </w:trPr>
        <w:tc>
          <w:tcPr>
            <w:tcW w:w="3600" w:type="dxa"/>
            <w:vAlign w:val="bottom"/>
          </w:tcPr>
          <w:p>
            <w:pPr>
              <w:ind w:left="20"/>
              <w:spacing w:after="0"/>
              <w:rPr>
                <w:sz w:val="20"/>
                <w:szCs w:val="20"/>
                <w:color w:val="auto"/>
              </w:rPr>
            </w:pPr>
            <w:r>
              <w:rPr>
                <w:rFonts w:ascii="Arial" w:cs="Arial" w:eastAsia="Arial" w:hAnsi="Arial"/>
                <w:sz w:val="13"/>
                <w:szCs w:val="13"/>
                <w:color w:val="auto"/>
              </w:rPr>
              <w:t>Average modular space monthly rental rate</w:t>
            </w:r>
          </w:p>
        </w:tc>
        <w:tc>
          <w:tcPr>
            <w:tcW w:w="24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54"/>
              <w:spacing w:after="0"/>
              <w:rPr>
                <w:sz w:val="20"/>
                <w:szCs w:val="20"/>
                <w:color w:val="auto"/>
              </w:rPr>
            </w:pPr>
            <w:r>
              <w:rPr>
                <w:rFonts w:ascii="Arial" w:cs="Arial" w:eastAsia="Arial" w:hAnsi="Arial"/>
                <w:sz w:val="13"/>
                <w:szCs w:val="13"/>
                <w:color w:val="auto"/>
              </w:rPr>
              <w:t>679</w:t>
            </w: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54"/>
              <w:spacing w:after="0"/>
              <w:rPr>
                <w:sz w:val="20"/>
                <w:szCs w:val="20"/>
                <w:color w:val="auto"/>
              </w:rPr>
            </w:pPr>
            <w:r>
              <w:rPr>
                <w:rFonts w:ascii="Arial" w:cs="Arial" w:eastAsia="Arial" w:hAnsi="Arial"/>
                <w:sz w:val="13"/>
                <w:szCs w:val="13"/>
                <w:color w:val="auto"/>
              </w:rPr>
              <w:t>736</w:t>
            </w:r>
          </w:p>
        </w:tc>
        <w:tc>
          <w:tcPr>
            <w:tcW w:w="2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34"/>
              <w:spacing w:after="0"/>
              <w:rPr>
                <w:sz w:val="20"/>
                <w:szCs w:val="20"/>
                <w:color w:val="auto"/>
              </w:rPr>
            </w:pPr>
            <w:r>
              <w:rPr>
                <w:rFonts w:ascii="Arial" w:cs="Arial" w:eastAsia="Arial" w:hAnsi="Arial"/>
                <w:sz w:val="13"/>
                <w:szCs w:val="13"/>
                <w:color w:val="auto"/>
              </w:rPr>
              <w:t>767</w:t>
            </w: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54"/>
              <w:spacing w:after="0"/>
              <w:rPr>
                <w:sz w:val="20"/>
                <w:szCs w:val="20"/>
                <w:color w:val="auto"/>
              </w:rPr>
            </w:pPr>
            <w:r>
              <w:rPr>
                <w:rFonts w:ascii="Arial" w:cs="Arial" w:eastAsia="Arial" w:hAnsi="Arial"/>
                <w:sz w:val="13"/>
                <w:szCs w:val="13"/>
                <w:color w:val="auto"/>
              </w:rPr>
              <w:t>792</w:t>
            </w:r>
          </w:p>
        </w:tc>
        <w:tc>
          <w:tcPr>
            <w:tcW w:w="2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94"/>
              <w:spacing w:after="0"/>
              <w:rPr>
                <w:sz w:val="20"/>
                <w:szCs w:val="20"/>
                <w:color w:val="auto"/>
              </w:rPr>
            </w:pPr>
            <w:r>
              <w:rPr>
                <w:rFonts w:ascii="Arial" w:cs="Arial" w:eastAsia="Arial" w:hAnsi="Arial"/>
                <w:sz w:val="13"/>
                <w:szCs w:val="13"/>
                <w:color w:val="auto"/>
              </w:rPr>
              <w:t>744</w:t>
            </w:r>
          </w:p>
        </w:tc>
      </w:tr>
      <w:tr>
        <w:trPr>
          <w:trHeight w:val="178"/>
        </w:trPr>
        <w:tc>
          <w:tcPr>
            <w:tcW w:w="3600" w:type="dxa"/>
            <w:vAlign w:val="bottom"/>
            <w:shd w:val="clear" w:color="auto" w:fill="DBDBDB"/>
          </w:tcPr>
          <w:p>
            <w:pPr>
              <w:ind w:left="20"/>
              <w:spacing w:after="0"/>
              <w:rPr>
                <w:sz w:val="20"/>
                <w:szCs w:val="20"/>
                <w:color w:val="auto"/>
              </w:rPr>
            </w:pPr>
            <w:r>
              <w:rPr>
                <w:rFonts w:ascii="Arial" w:cs="Arial" w:eastAsia="Arial" w:hAnsi="Arial"/>
                <w:sz w:val="13"/>
                <w:szCs w:val="13"/>
                <w:color w:val="auto"/>
              </w:rPr>
              <w:t>Portable storage units on rent (average during the period)</w:t>
            </w:r>
          </w:p>
        </w:tc>
        <w:tc>
          <w:tcPr>
            <w:tcW w:w="240" w:type="dxa"/>
            <w:vAlign w:val="bottom"/>
            <w:shd w:val="clear" w:color="auto" w:fill="DBDBDB"/>
          </w:tcPr>
          <w:p>
            <w:pPr>
              <w:spacing w:after="0"/>
              <w:rPr>
                <w:sz w:val="15"/>
                <w:szCs w:val="15"/>
                <w:color w:val="auto"/>
              </w:rPr>
            </w:pPr>
          </w:p>
        </w:tc>
        <w:tc>
          <w:tcPr>
            <w:tcW w:w="128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145,360</w:t>
            </w:r>
          </w:p>
        </w:tc>
        <w:tc>
          <w:tcPr>
            <w:tcW w:w="280" w:type="dxa"/>
            <w:vAlign w:val="bottom"/>
            <w:shd w:val="clear" w:color="auto" w:fill="DBDBDB"/>
          </w:tcPr>
          <w:p>
            <w:pPr>
              <w:spacing w:after="0"/>
              <w:rPr>
                <w:sz w:val="15"/>
                <w:szCs w:val="15"/>
                <w:color w:val="auto"/>
              </w:rPr>
            </w:pPr>
          </w:p>
        </w:tc>
        <w:tc>
          <w:tcPr>
            <w:tcW w:w="128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151,736</w:t>
            </w:r>
          </w:p>
        </w:tc>
        <w:tc>
          <w:tcPr>
            <w:tcW w:w="260" w:type="dxa"/>
            <w:vAlign w:val="bottom"/>
            <w:shd w:val="clear" w:color="auto" w:fill="DBDBDB"/>
          </w:tcPr>
          <w:p>
            <w:pPr>
              <w:spacing w:after="0"/>
              <w:rPr>
                <w:sz w:val="15"/>
                <w:szCs w:val="15"/>
                <w:color w:val="auto"/>
              </w:rPr>
            </w:pPr>
          </w:p>
        </w:tc>
        <w:tc>
          <w:tcPr>
            <w:tcW w:w="128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163,248</w:t>
            </w:r>
          </w:p>
        </w:tc>
        <w:tc>
          <w:tcPr>
            <w:tcW w:w="280" w:type="dxa"/>
            <w:vAlign w:val="bottom"/>
            <w:shd w:val="clear" w:color="auto" w:fill="DBDBDB"/>
          </w:tcPr>
          <w:p>
            <w:pPr>
              <w:spacing w:after="0"/>
              <w:rPr>
                <w:sz w:val="15"/>
                <w:szCs w:val="15"/>
                <w:color w:val="auto"/>
              </w:rPr>
            </w:pPr>
          </w:p>
        </w:tc>
        <w:tc>
          <w:tcPr>
            <w:tcW w:w="128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185,518</w:t>
            </w:r>
          </w:p>
        </w:tc>
        <w:tc>
          <w:tcPr>
            <w:tcW w:w="260" w:type="dxa"/>
            <w:vAlign w:val="bottom"/>
            <w:shd w:val="clear" w:color="auto" w:fill="DBDBDB"/>
          </w:tcPr>
          <w:p>
            <w:pPr>
              <w:spacing w:after="0"/>
              <w:rPr>
                <w:sz w:val="15"/>
                <w:szCs w:val="15"/>
                <w:color w:val="auto"/>
              </w:rPr>
            </w:pPr>
          </w:p>
        </w:tc>
        <w:tc>
          <w:tcPr>
            <w:tcW w:w="12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161,466</w:t>
            </w:r>
          </w:p>
        </w:tc>
      </w:tr>
      <w:tr>
        <w:trPr>
          <w:trHeight w:val="172"/>
        </w:trPr>
        <w:tc>
          <w:tcPr>
            <w:tcW w:w="3600" w:type="dxa"/>
            <w:vAlign w:val="bottom"/>
          </w:tcPr>
          <w:p>
            <w:pPr>
              <w:ind w:left="20"/>
              <w:spacing w:after="0"/>
              <w:rPr>
                <w:sz w:val="20"/>
                <w:szCs w:val="20"/>
                <w:color w:val="auto"/>
              </w:rPr>
            </w:pPr>
            <w:r>
              <w:rPr>
                <w:rFonts w:ascii="Arial" w:cs="Arial" w:eastAsia="Arial" w:hAnsi="Arial"/>
                <w:sz w:val="13"/>
                <w:szCs w:val="13"/>
                <w:color w:val="auto"/>
              </w:rPr>
              <w:t>Average portable storage utilization rate</w:t>
            </w: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74.4 %</w:t>
            </w: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77.7 %</w:t>
            </w:r>
          </w:p>
        </w:tc>
        <w:tc>
          <w:tcPr>
            <w:tcW w:w="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83.9 %</w:t>
            </w: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88.4 %</w:t>
            </w: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81.5 %</w:t>
            </w:r>
          </w:p>
        </w:tc>
      </w:tr>
      <w:tr>
        <w:trPr>
          <w:trHeight w:val="178"/>
        </w:trPr>
        <w:tc>
          <w:tcPr>
            <w:tcW w:w="3600" w:type="dxa"/>
            <w:vAlign w:val="bottom"/>
            <w:shd w:val="clear" w:color="auto" w:fill="DBDBDB"/>
          </w:tcPr>
          <w:p>
            <w:pPr>
              <w:ind w:left="20"/>
              <w:spacing w:after="0"/>
              <w:rPr>
                <w:sz w:val="20"/>
                <w:szCs w:val="20"/>
                <w:color w:val="auto"/>
              </w:rPr>
            </w:pPr>
            <w:r>
              <w:rPr>
                <w:rFonts w:ascii="Arial" w:cs="Arial" w:eastAsia="Arial" w:hAnsi="Arial"/>
                <w:sz w:val="13"/>
                <w:szCs w:val="13"/>
                <w:color w:val="auto"/>
              </w:rPr>
              <w:t>Average portable storage monthly rental rate</w:t>
            </w:r>
          </w:p>
        </w:tc>
        <w:tc>
          <w:tcPr>
            <w:tcW w:w="24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135</w:t>
            </w:r>
          </w:p>
        </w:tc>
        <w:tc>
          <w:tcPr>
            <w:tcW w:w="28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139</w:t>
            </w:r>
          </w:p>
        </w:tc>
        <w:tc>
          <w:tcPr>
            <w:tcW w:w="26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145</w:t>
            </w:r>
          </w:p>
        </w:tc>
        <w:tc>
          <w:tcPr>
            <w:tcW w:w="28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153</w:t>
            </w:r>
          </w:p>
        </w:tc>
        <w:tc>
          <w:tcPr>
            <w:tcW w:w="26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144</w:t>
            </w:r>
          </w:p>
        </w:tc>
      </w:tr>
      <w:tr>
        <w:trPr>
          <w:trHeight w:val="144"/>
        </w:trPr>
        <w:tc>
          <w:tcPr>
            <w:tcW w:w="3600" w:type="dxa"/>
            <w:vAlign w:val="bottom"/>
          </w:tcPr>
          <w:p>
            <w:pPr>
              <w:ind w:left="20"/>
              <w:spacing w:after="0" w:line="144" w:lineRule="exact"/>
              <w:rPr>
                <w:sz w:val="20"/>
                <w:szCs w:val="20"/>
                <w:color w:val="auto"/>
              </w:rPr>
            </w:pPr>
            <w:r>
              <w:rPr>
                <w:rFonts w:ascii="Arial" w:cs="Arial" w:eastAsia="Arial" w:hAnsi="Arial"/>
                <w:sz w:val="13"/>
                <w:szCs w:val="13"/>
                <w:color w:val="auto"/>
              </w:rPr>
              <w:t>Average tank and pump solutions rental fleet utilization based</w:t>
            </w:r>
          </w:p>
        </w:tc>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59"/>
        </w:trPr>
        <w:tc>
          <w:tcPr>
            <w:tcW w:w="3600" w:type="dxa"/>
            <w:vAlign w:val="bottom"/>
          </w:tcPr>
          <w:p>
            <w:pPr>
              <w:ind w:left="20"/>
              <w:spacing w:after="0"/>
              <w:rPr>
                <w:sz w:val="20"/>
                <w:szCs w:val="20"/>
                <w:color w:val="auto"/>
              </w:rPr>
            </w:pPr>
            <w:r>
              <w:rPr>
                <w:rFonts w:ascii="Arial" w:cs="Arial" w:eastAsia="Arial" w:hAnsi="Arial"/>
                <w:sz w:val="13"/>
                <w:szCs w:val="13"/>
                <w:color w:val="auto"/>
              </w:rPr>
              <w:t>on original equipment cost</w:t>
            </w:r>
          </w:p>
        </w:tc>
        <w:tc>
          <w:tcPr>
            <w:tcW w:w="2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67.4 %</w:t>
            </w: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71.2 %</w:t>
            </w:r>
          </w:p>
        </w:tc>
        <w:tc>
          <w:tcPr>
            <w:tcW w:w="2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74.8 %</w:t>
            </w: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75.5 %</w:t>
            </w:r>
          </w:p>
        </w:tc>
        <w:tc>
          <w:tcPr>
            <w:tcW w:w="2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72.3 %</w:t>
            </w:r>
          </w:p>
        </w:tc>
      </w:tr>
      <w:tr>
        <w:trPr>
          <w:trHeight w:val="178"/>
        </w:trPr>
        <w:tc>
          <w:tcPr>
            <w:tcW w:w="3600" w:type="dxa"/>
            <w:vAlign w:val="bottom"/>
            <w:shd w:val="clear" w:color="auto" w:fill="DBDBDB"/>
          </w:tcPr>
          <w:p>
            <w:pPr>
              <w:ind w:left="20"/>
              <w:spacing w:after="0"/>
              <w:rPr>
                <w:sz w:val="20"/>
                <w:szCs w:val="20"/>
                <w:color w:val="auto"/>
              </w:rPr>
            </w:pPr>
            <w:r>
              <w:rPr>
                <w:rFonts w:ascii="Arial" w:cs="Arial" w:eastAsia="Arial" w:hAnsi="Arial"/>
                <w:sz w:val="13"/>
                <w:szCs w:val="13"/>
                <w:color w:val="auto"/>
              </w:rPr>
              <w:t>Earnings per share - basic</w:t>
            </w:r>
          </w:p>
        </w:tc>
        <w:tc>
          <w:tcPr>
            <w:tcW w:w="24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0.02</w:t>
            </w:r>
          </w:p>
        </w:tc>
        <w:tc>
          <w:tcPr>
            <w:tcW w:w="28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0.09</w:t>
            </w:r>
          </w:p>
        </w:tc>
        <w:tc>
          <w:tcPr>
            <w:tcW w:w="26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0.27</w:t>
            </w:r>
          </w:p>
        </w:tc>
        <w:tc>
          <w:tcPr>
            <w:tcW w:w="28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0.33</w:t>
            </w:r>
          </w:p>
        </w:tc>
        <w:tc>
          <w:tcPr>
            <w:tcW w:w="26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0.71</w:t>
            </w:r>
          </w:p>
        </w:tc>
      </w:tr>
      <w:tr>
        <w:trPr>
          <w:trHeight w:val="172"/>
        </w:trPr>
        <w:tc>
          <w:tcPr>
            <w:tcW w:w="3600" w:type="dxa"/>
            <w:vAlign w:val="bottom"/>
          </w:tcPr>
          <w:p>
            <w:pPr>
              <w:ind w:left="20"/>
              <w:spacing w:after="0"/>
              <w:rPr>
                <w:sz w:val="20"/>
                <w:szCs w:val="20"/>
                <w:color w:val="auto"/>
              </w:rPr>
            </w:pPr>
            <w:r>
              <w:rPr>
                <w:rFonts w:ascii="Arial" w:cs="Arial" w:eastAsia="Arial" w:hAnsi="Arial"/>
                <w:sz w:val="13"/>
                <w:szCs w:val="13"/>
                <w:color w:val="auto"/>
              </w:rPr>
              <w:t>Earnings per share - diluted</w:t>
            </w:r>
          </w:p>
        </w:tc>
        <w:tc>
          <w:tcPr>
            <w:tcW w:w="24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54"/>
              <w:spacing w:after="0"/>
              <w:rPr>
                <w:sz w:val="20"/>
                <w:szCs w:val="20"/>
                <w:color w:val="auto"/>
              </w:rPr>
            </w:pPr>
            <w:r>
              <w:rPr>
                <w:rFonts w:ascii="Arial" w:cs="Arial" w:eastAsia="Arial" w:hAnsi="Arial"/>
                <w:sz w:val="13"/>
                <w:szCs w:val="13"/>
                <w:color w:val="auto"/>
              </w:rPr>
              <w:t>0.02</w:t>
            </w: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54"/>
              <w:spacing w:after="0"/>
              <w:rPr>
                <w:sz w:val="20"/>
                <w:szCs w:val="20"/>
                <w:color w:val="auto"/>
              </w:rPr>
            </w:pPr>
            <w:r>
              <w:rPr>
                <w:rFonts w:ascii="Arial" w:cs="Arial" w:eastAsia="Arial" w:hAnsi="Arial"/>
                <w:sz w:val="13"/>
                <w:szCs w:val="13"/>
                <w:color w:val="auto"/>
              </w:rPr>
              <w:t>0.08</w:t>
            </w:r>
          </w:p>
        </w:tc>
        <w:tc>
          <w:tcPr>
            <w:tcW w:w="2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34"/>
              <w:spacing w:after="0"/>
              <w:rPr>
                <w:sz w:val="20"/>
                <w:szCs w:val="20"/>
                <w:color w:val="auto"/>
              </w:rPr>
            </w:pPr>
            <w:r>
              <w:rPr>
                <w:rFonts w:ascii="Arial" w:cs="Arial" w:eastAsia="Arial" w:hAnsi="Arial"/>
                <w:sz w:val="13"/>
                <w:szCs w:val="13"/>
                <w:color w:val="auto"/>
              </w:rPr>
              <w:t>0.26</w:t>
            </w: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54"/>
              <w:spacing w:after="0"/>
              <w:rPr>
                <w:sz w:val="20"/>
                <w:szCs w:val="20"/>
                <w:color w:val="auto"/>
              </w:rPr>
            </w:pPr>
            <w:r>
              <w:rPr>
                <w:rFonts w:ascii="Arial" w:cs="Arial" w:eastAsia="Arial" w:hAnsi="Arial"/>
                <w:sz w:val="13"/>
                <w:szCs w:val="13"/>
                <w:color w:val="auto"/>
              </w:rPr>
              <w:t>0.32</w:t>
            </w:r>
          </w:p>
        </w:tc>
        <w:tc>
          <w:tcPr>
            <w:tcW w:w="2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94"/>
              <w:spacing w:after="0"/>
              <w:rPr>
                <w:sz w:val="20"/>
                <w:szCs w:val="20"/>
                <w:color w:val="auto"/>
              </w:rPr>
            </w:pPr>
            <w:r>
              <w:rPr>
                <w:rFonts w:ascii="Arial" w:cs="Arial" w:eastAsia="Arial" w:hAnsi="Arial"/>
                <w:sz w:val="13"/>
                <w:szCs w:val="13"/>
                <w:color w:val="auto"/>
              </w:rPr>
              <w:t>0.69</w:t>
            </w:r>
          </w:p>
        </w:tc>
      </w:tr>
      <w:tr>
        <w:trPr>
          <w:trHeight w:val="178"/>
        </w:trPr>
        <w:tc>
          <w:tcPr>
            <w:tcW w:w="3600" w:type="dxa"/>
            <w:vAlign w:val="bottom"/>
            <w:shd w:val="clear" w:color="auto" w:fill="DBDBDB"/>
          </w:tcPr>
          <w:p>
            <w:pPr>
              <w:ind w:left="20"/>
              <w:spacing w:after="0"/>
              <w:rPr>
                <w:sz w:val="20"/>
                <w:szCs w:val="20"/>
                <w:color w:val="auto"/>
              </w:rPr>
            </w:pPr>
            <w:r>
              <w:rPr>
                <w:rFonts w:ascii="Arial" w:cs="Arial" w:eastAsia="Arial" w:hAnsi="Arial"/>
                <w:sz w:val="13"/>
                <w:szCs w:val="13"/>
                <w:color w:val="auto"/>
              </w:rPr>
              <w:t>Weighted average shares - basic</w:t>
            </w:r>
          </w:p>
        </w:tc>
        <w:tc>
          <w:tcPr>
            <w:tcW w:w="240" w:type="dxa"/>
            <w:vAlign w:val="bottom"/>
            <w:shd w:val="clear" w:color="auto" w:fill="DBDBDB"/>
          </w:tcPr>
          <w:p>
            <w:pPr>
              <w:spacing w:after="0"/>
              <w:rPr>
                <w:sz w:val="15"/>
                <w:szCs w:val="15"/>
                <w:color w:val="auto"/>
              </w:rPr>
            </w:pPr>
          </w:p>
        </w:tc>
        <w:tc>
          <w:tcPr>
            <w:tcW w:w="1280" w:type="dxa"/>
            <w:vAlign w:val="bottom"/>
            <w:shd w:val="clear" w:color="auto" w:fill="DBDBDB"/>
          </w:tcPr>
          <w:p>
            <w:pPr>
              <w:jc w:val="center"/>
              <w:ind w:right="214"/>
              <w:spacing w:after="0"/>
              <w:rPr>
                <w:sz w:val="20"/>
                <w:szCs w:val="20"/>
                <w:color w:val="auto"/>
              </w:rPr>
            </w:pPr>
            <w:r>
              <w:rPr>
                <w:rFonts w:ascii="Arial" w:cs="Arial" w:eastAsia="Arial" w:hAnsi="Arial"/>
                <w:sz w:val="13"/>
                <w:szCs w:val="13"/>
                <w:color w:val="auto"/>
                <w:w w:val="99"/>
              </w:rPr>
              <w:t>228,293,197</w:t>
            </w:r>
          </w:p>
        </w:tc>
        <w:tc>
          <w:tcPr>
            <w:tcW w:w="280" w:type="dxa"/>
            <w:vAlign w:val="bottom"/>
            <w:shd w:val="clear" w:color="auto" w:fill="DBDBDB"/>
          </w:tcPr>
          <w:p>
            <w:pPr>
              <w:spacing w:after="0"/>
              <w:rPr>
                <w:sz w:val="15"/>
                <w:szCs w:val="15"/>
                <w:color w:val="auto"/>
              </w:rPr>
            </w:pPr>
          </w:p>
        </w:tc>
        <w:tc>
          <w:tcPr>
            <w:tcW w:w="1280" w:type="dxa"/>
            <w:vAlign w:val="bottom"/>
            <w:shd w:val="clear" w:color="auto" w:fill="DBDBDB"/>
          </w:tcPr>
          <w:p>
            <w:pPr>
              <w:jc w:val="center"/>
              <w:ind w:right="214"/>
              <w:spacing w:after="0"/>
              <w:rPr>
                <w:sz w:val="20"/>
                <w:szCs w:val="20"/>
                <w:color w:val="auto"/>
              </w:rPr>
            </w:pPr>
            <w:r>
              <w:rPr>
                <w:rFonts w:ascii="Arial" w:cs="Arial" w:eastAsia="Arial" w:hAnsi="Arial"/>
                <w:sz w:val="13"/>
                <w:szCs w:val="13"/>
                <w:color w:val="auto"/>
                <w:w w:val="99"/>
              </w:rPr>
              <w:t>228,406,812</w:t>
            </w:r>
          </w:p>
        </w:tc>
        <w:tc>
          <w:tcPr>
            <w:tcW w:w="260" w:type="dxa"/>
            <w:vAlign w:val="bottom"/>
            <w:shd w:val="clear" w:color="auto" w:fill="DBDBDB"/>
          </w:tcPr>
          <w:p>
            <w:pPr>
              <w:spacing w:after="0"/>
              <w:rPr>
                <w:sz w:val="15"/>
                <w:szCs w:val="15"/>
                <w:color w:val="auto"/>
              </w:rPr>
            </w:pPr>
          </w:p>
        </w:tc>
        <w:tc>
          <w:tcPr>
            <w:tcW w:w="1280" w:type="dxa"/>
            <w:vAlign w:val="bottom"/>
            <w:shd w:val="clear" w:color="auto" w:fill="DBDBDB"/>
          </w:tcPr>
          <w:p>
            <w:pPr>
              <w:jc w:val="center"/>
              <w:ind w:right="194"/>
              <w:spacing w:after="0"/>
              <w:rPr>
                <w:sz w:val="20"/>
                <w:szCs w:val="20"/>
                <w:color w:val="auto"/>
              </w:rPr>
            </w:pPr>
            <w:r>
              <w:rPr>
                <w:rFonts w:ascii="Arial" w:cs="Arial" w:eastAsia="Arial" w:hAnsi="Arial"/>
                <w:sz w:val="13"/>
                <w:szCs w:val="13"/>
                <w:color w:val="auto"/>
              </w:rPr>
              <w:t>225,998,202</w:t>
            </w:r>
          </w:p>
        </w:tc>
        <w:tc>
          <w:tcPr>
            <w:tcW w:w="280" w:type="dxa"/>
            <w:vAlign w:val="bottom"/>
            <w:shd w:val="clear" w:color="auto" w:fill="DBDBDB"/>
          </w:tcPr>
          <w:p>
            <w:pPr>
              <w:spacing w:after="0"/>
              <w:rPr>
                <w:sz w:val="15"/>
                <w:szCs w:val="15"/>
                <w:color w:val="auto"/>
              </w:rPr>
            </w:pPr>
          </w:p>
        </w:tc>
        <w:tc>
          <w:tcPr>
            <w:tcW w:w="1280" w:type="dxa"/>
            <w:vAlign w:val="bottom"/>
            <w:shd w:val="clear" w:color="auto" w:fill="DBDBDB"/>
          </w:tcPr>
          <w:p>
            <w:pPr>
              <w:jc w:val="center"/>
              <w:ind w:right="214"/>
              <w:spacing w:after="0"/>
              <w:rPr>
                <w:sz w:val="20"/>
                <w:szCs w:val="20"/>
                <w:color w:val="auto"/>
              </w:rPr>
            </w:pPr>
            <w:r>
              <w:rPr>
                <w:rFonts w:ascii="Arial" w:cs="Arial" w:eastAsia="Arial" w:hAnsi="Arial"/>
                <w:sz w:val="13"/>
                <w:szCs w:val="13"/>
                <w:color w:val="auto"/>
                <w:w w:val="99"/>
              </w:rPr>
              <w:t>223,436,603</w:t>
            </w:r>
          </w:p>
        </w:tc>
        <w:tc>
          <w:tcPr>
            <w:tcW w:w="260" w:type="dxa"/>
            <w:vAlign w:val="bottom"/>
            <w:shd w:val="clear" w:color="auto" w:fill="DBDBDB"/>
          </w:tcPr>
          <w:p>
            <w:pPr>
              <w:spacing w:after="0"/>
              <w:rPr>
                <w:sz w:val="15"/>
                <w:szCs w:val="15"/>
                <w:color w:val="auto"/>
              </w:rPr>
            </w:pPr>
          </w:p>
        </w:tc>
        <w:tc>
          <w:tcPr>
            <w:tcW w:w="1240" w:type="dxa"/>
            <w:vAlign w:val="bottom"/>
            <w:shd w:val="clear" w:color="auto" w:fill="DBDBDB"/>
          </w:tcPr>
          <w:p>
            <w:pPr>
              <w:jc w:val="right"/>
              <w:ind w:right="294"/>
              <w:spacing w:after="0"/>
              <w:rPr>
                <w:sz w:val="20"/>
                <w:szCs w:val="20"/>
                <w:color w:val="auto"/>
              </w:rPr>
            </w:pPr>
            <w:r>
              <w:rPr>
                <w:rFonts w:ascii="Arial" w:cs="Arial" w:eastAsia="Arial" w:hAnsi="Arial"/>
                <w:sz w:val="13"/>
                <w:szCs w:val="13"/>
                <w:color w:val="auto"/>
              </w:rPr>
              <w:t>226,518,931</w:t>
            </w:r>
          </w:p>
        </w:tc>
      </w:tr>
      <w:tr>
        <w:trPr>
          <w:trHeight w:val="169"/>
        </w:trPr>
        <w:tc>
          <w:tcPr>
            <w:tcW w:w="3600" w:type="dxa"/>
            <w:vAlign w:val="bottom"/>
          </w:tcPr>
          <w:p>
            <w:pPr>
              <w:ind w:left="20"/>
              <w:spacing w:after="0"/>
              <w:rPr>
                <w:sz w:val="20"/>
                <w:szCs w:val="20"/>
                <w:color w:val="auto"/>
              </w:rPr>
            </w:pPr>
            <w:r>
              <w:rPr>
                <w:rFonts w:ascii="Arial" w:cs="Arial" w:eastAsia="Arial" w:hAnsi="Arial"/>
                <w:sz w:val="13"/>
                <w:szCs w:val="13"/>
                <w:color w:val="auto"/>
              </w:rPr>
              <w:t>Weighted average shares - diluted</w:t>
            </w:r>
          </w:p>
        </w:tc>
        <w:tc>
          <w:tcPr>
            <w:tcW w:w="240" w:type="dxa"/>
            <w:vAlign w:val="bottom"/>
          </w:tcPr>
          <w:p>
            <w:pPr>
              <w:spacing w:after="0"/>
              <w:rPr>
                <w:sz w:val="14"/>
                <w:szCs w:val="14"/>
                <w:color w:val="auto"/>
              </w:rPr>
            </w:pPr>
          </w:p>
        </w:tc>
        <w:tc>
          <w:tcPr>
            <w:tcW w:w="1280" w:type="dxa"/>
            <w:vAlign w:val="bottom"/>
          </w:tcPr>
          <w:p>
            <w:pPr>
              <w:jc w:val="center"/>
              <w:ind w:right="214"/>
              <w:spacing w:after="0"/>
              <w:rPr>
                <w:sz w:val="20"/>
                <w:szCs w:val="20"/>
                <w:color w:val="auto"/>
              </w:rPr>
            </w:pPr>
            <w:r>
              <w:rPr>
                <w:rFonts w:ascii="Arial" w:cs="Arial" w:eastAsia="Arial" w:hAnsi="Arial"/>
                <w:sz w:val="13"/>
                <w:szCs w:val="13"/>
                <w:color w:val="auto"/>
                <w:w w:val="99"/>
              </w:rPr>
              <w:t>234,720,295</w:t>
            </w:r>
          </w:p>
        </w:tc>
        <w:tc>
          <w:tcPr>
            <w:tcW w:w="280" w:type="dxa"/>
            <w:vAlign w:val="bottom"/>
          </w:tcPr>
          <w:p>
            <w:pPr>
              <w:spacing w:after="0"/>
              <w:rPr>
                <w:sz w:val="14"/>
                <w:szCs w:val="14"/>
                <w:color w:val="auto"/>
              </w:rPr>
            </w:pPr>
          </w:p>
        </w:tc>
        <w:tc>
          <w:tcPr>
            <w:tcW w:w="1280" w:type="dxa"/>
            <w:vAlign w:val="bottom"/>
          </w:tcPr>
          <w:p>
            <w:pPr>
              <w:jc w:val="center"/>
              <w:ind w:right="214"/>
              <w:spacing w:after="0"/>
              <w:rPr>
                <w:sz w:val="20"/>
                <w:szCs w:val="20"/>
                <w:color w:val="auto"/>
              </w:rPr>
            </w:pPr>
            <w:r>
              <w:rPr>
                <w:rFonts w:ascii="Arial" w:cs="Arial" w:eastAsia="Arial" w:hAnsi="Arial"/>
                <w:sz w:val="13"/>
                <w:szCs w:val="13"/>
                <w:color w:val="auto"/>
                <w:w w:val="99"/>
              </w:rPr>
              <w:t>236,536,713</w:t>
            </w:r>
          </w:p>
        </w:tc>
        <w:tc>
          <w:tcPr>
            <w:tcW w:w="260" w:type="dxa"/>
            <w:vAlign w:val="bottom"/>
          </w:tcPr>
          <w:p>
            <w:pPr>
              <w:spacing w:after="0"/>
              <w:rPr>
                <w:sz w:val="14"/>
                <w:szCs w:val="14"/>
                <w:color w:val="auto"/>
              </w:rPr>
            </w:pPr>
          </w:p>
        </w:tc>
        <w:tc>
          <w:tcPr>
            <w:tcW w:w="1280" w:type="dxa"/>
            <w:vAlign w:val="bottom"/>
          </w:tcPr>
          <w:p>
            <w:pPr>
              <w:jc w:val="center"/>
              <w:ind w:right="194"/>
              <w:spacing w:after="0"/>
              <w:rPr>
                <w:sz w:val="20"/>
                <w:szCs w:val="20"/>
                <w:color w:val="auto"/>
              </w:rPr>
            </w:pPr>
            <w:r>
              <w:rPr>
                <w:rFonts w:ascii="Arial" w:cs="Arial" w:eastAsia="Arial" w:hAnsi="Arial"/>
                <w:sz w:val="13"/>
                <w:szCs w:val="13"/>
                <w:color w:val="auto"/>
              </w:rPr>
              <w:t>231,868,397</w:t>
            </w:r>
          </w:p>
        </w:tc>
        <w:tc>
          <w:tcPr>
            <w:tcW w:w="280" w:type="dxa"/>
            <w:vAlign w:val="bottom"/>
          </w:tcPr>
          <w:p>
            <w:pPr>
              <w:spacing w:after="0"/>
              <w:rPr>
                <w:sz w:val="14"/>
                <w:szCs w:val="14"/>
                <w:color w:val="auto"/>
              </w:rPr>
            </w:pPr>
          </w:p>
        </w:tc>
        <w:tc>
          <w:tcPr>
            <w:tcW w:w="1280" w:type="dxa"/>
            <w:vAlign w:val="bottom"/>
          </w:tcPr>
          <w:p>
            <w:pPr>
              <w:jc w:val="center"/>
              <w:ind w:right="214"/>
              <w:spacing w:after="0"/>
              <w:rPr>
                <w:sz w:val="20"/>
                <w:szCs w:val="20"/>
                <w:color w:val="auto"/>
              </w:rPr>
            </w:pPr>
            <w:r>
              <w:rPr>
                <w:rFonts w:ascii="Arial" w:cs="Arial" w:eastAsia="Arial" w:hAnsi="Arial"/>
                <w:sz w:val="13"/>
                <w:szCs w:val="13"/>
                <w:color w:val="auto"/>
                <w:w w:val="99"/>
              </w:rPr>
              <w:t>229,965,703</w:t>
            </w:r>
          </w:p>
        </w:tc>
        <w:tc>
          <w:tcPr>
            <w:tcW w:w="260" w:type="dxa"/>
            <w:vAlign w:val="bottom"/>
          </w:tcPr>
          <w:p>
            <w:pPr>
              <w:spacing w:after="0"/>
              <w:rPr>
                <w:sz w:val="14"/>
                <w:szCs w:val="14"/>
                <w:color w:val="auto"/>
              </w:rPr>
            </w:pPr>
          </w:p>
        </w:tc>
        <w:tc>
          <w:tcPr>
            <w:tcW w:w="1240" w:type="dxa"/>
            <w:vAlign w:val="bottom"/>
          </w:tcPr>
          <w:p>
            <w:pPr>
              <w:jc w:val="right"/>
              <w:ind w:right="294"/>
              <w:spacing w:after="0"/>
              <w:rPr>
                <w:sz w:val="20"/>
                <w:szCs w:val="20"/>
                <w:color w:val="auto"/>
              </w:rPr>
            </w:pPr>
            <w:r>
              <w:rPr>
                <w:rFonts w:ascii="Arial" w:cs="Arial" w:eastAsia="Arial" w:hAnsi="Arial"/>
                <w:sz w:val="13"/>
                <w:szCs w:val="13"/>
                <w:color w:val="auto"/>
              </w:rPr>
              <w:t>232,793,902</w:t>
            </w:r>
          </w:p>
        </w:tc>
      </w:tr>
    </w:tbl>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Quarterly Consolidated Results for the Year Ended December 31, 2020</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0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w w:val="99"/>
              </w:rPr>
              <w:t>(in thousands, except for units on rent and monthly rental rate)</w:t>
            </w:r>
          </w:p>
        </w:tc>
        <w:tc>
          <w:tcPr>
            <w:tcW w:w="240" w:type="dxa"/>
            <w:vAlign w:val="bottom"/>
            <w:shd w:val="clear" w:color="auto" w:fill="1D2758"/>
          </w:tcPr>
          <w:p>
            <w:pPr>
              <w:spacing w:after="0"/>
              <w:rPr>
                <w:sz w:val="15"/>
                <w:szCs w:val="15"/>
                <w:color w:val="auto"/>
              </w:rPr>
            </w:pPr>
          </w:p>
        </w:tc>
        <w:tc>
          <w:tcPr>
            <w:tcW w:w="1280" w:type="dxa"/>
            <w:vAlign w:val="bottom"/>
            <w:shd w:val="clear" w:color="auto" w:fill="1D2758"/>
          </w:tcPr>
          <w:p>
            <w:pPr>
              <w:jc w:val="center"/>
              <w:ind w:right="194"/>
              <w:spacing w:after="0"/>
              <w:rPr>
                <w:sz w:val="20"/>
                <w:szCs w:val="20"/>
                <w:color w:val="auto"/>
              </w:rPr>
            </w:pPr>
            <w:r>
              <w:rPr>
                <w:rFonts w:ascii="Arial" w:cs="Arial" w:eastAsia="Arial" w:hAnsi="Arial"/>
                <w:sz w:val="13"/>
                <w:szCs w:val="13"/>
                <w:b w:val="1"/>
                <w:bCs w:val="1"/>
                <w:color w:val="FFFFFF"/>
              </w:rPr>
              <w:t>Q1</w:t>
            </w:r>
          </w:p>
        </w:tc>
        <w:tc>
          <w:tcPr>
            <w:tcW w:w="280" w:type="dxa"/>
            <w:vAlign w:val="bottom"/>
            <w:shd w:val="clear" w:color="auto" w:fill="1D2758"/>
          </w:tcPr>
          <w:p>
            <w:pPr>
              <w:spacing w:after="0"/>
              <w:rPr>
                <w:sz w:val="15"/>
                <w:szCs w:val="15"/>
                <w:color w:val="auto"/>
              </w:rPr>
            </w:pPr>
          </w:p>
        </w:tc>
        <w:tc>
          <w:tcPr>
            <w:tcW w:w="1280" w:type="dxa"/>
            <w:vAlign w:val="bottom"/>
            <w:shd w:val="clear" w:color="auto" w:fill="1D2758"/>
          </w:tcPr>
          <w:p>
            <w:pPr>
              <w:jc w:val="center"/>
              <w:ind w:right="234"/>
              <w:spacing w:after="0"/>
              <w:rPr>
                <w:sz w:val="20"/>
                <w:szCs w:val="20"/>
                <w:color w:val="auto"/>
              </w:rPr>
            </w:pPr>
            <w:r>
              <w:rPr>
                <w:rFonts w:ascii="Arial" w:cs="Arial" w:eastAsia="Arial" w:hAnsi="Arial"/>
                <w:sz w:val="13"/>
                <w:szCs w:val="13"/>
                <w:b w:val="1"/>
                <w:bCs w:val="1"/>
                <w:color w:val="FFFFFF"/>
              </w:rPr>
              <w:t>Q2</w:t>
            </w:r>
          </w:p>
        </w:tc>
        <w:tc>
          <w:tcPr>
            <w:tcW w:w="260" w:type="dxa"/>
            <w:vAlign w:val="bottom"/>
            <w:shd w:val="clear" w:color="auto" w:fill="1D2758"/>
          </w:tcPr>
          <w:p>
            <w:pPr>
              <w:spacing w:after="0"/>
              <w:rPr>
                <w:sz w:val="15"/>
                <w:szCs w:val="15"/>
                <w:color w:val="auto"/>
              </w:rPr>
            </w:pPr>
          </w:p>
        </w:tc>
        <w:tc>
          <w:tcPr>
            <w:tcW w:w="1280" w:type="dxa"/>
            <w:vAlign w:val="bottom"/>
            <w:shd w:val="clear" w:color="auto" w:fill="1D2758"/>
          </w:tcPr>
          <w:p>
            <w:pPr>
              <w:jc w:val="center"/>
              <w:ind w:right="194"/>
              <w:spacing w:after="0"/>
              <w:rPr>
                <w:sz w:val="20"/>
                <w:szCs w:val="20"/>
                <w:color w:val="auto"/>
              </w:rPr>
            </w:pPr>
            <w:r>
              <w:rPr>
                <w:rFonts w:ascii="Arial" w:cs="Arial" w:eastAsia="Arial" w:hAnsi="Arial"/>
                <w:sz w:val="13"/>
                <w:szCs w:val="13"/>
                <w:b w:val="1"/>
                <w:bCs w:val="1"/>
                <w:color w:val="FFFFFF"/>
              </w:rPr>
              <w:t>Q3</w:t>
            </w:r>
          </w:p>
        </w:tc>
        <w:tc>
          <w:tcPr>
            <w:tcW w:w="280" w:type="dxa"/>
            <w:vAlign w:val="bottom"/>
            <w:shd w:val="clear" w:color="auto" w:fill="1D2758"/>
          </w:tcPr>
          <w:p>
            <w:pPr>
              <w:spacing w:after="0"/>
              <w:rPr>
                <w:sz w:val="15"/>
                <w:szCs w:val="15"/>
                <w:color w:val="auto"/>
              </w:rPr>
            </w:pPr>
          </w:p>
        </w:tc>
        <w:tc>
          <w:tcPr>
            <w:tcW w:w="1280" w:type="dxa"/>
            <w:vAlign w:val="bottom"/>
            <w:shd w:val="clear" w:color="auto" w:fill="1D2758"/>
          </w:tcPr>
          <w:p>
            <w:pPr>
              <w:jc w:val="center"/>
              <w:ind w:right="214"/>
              <w:spacing w:after="0"/>
              <w:rPr>
                <w:sz w:val="20"/>
                <w:szCs w:val="20"/>
                <w:color w:val="auto"/>
              </w:rPr>
            </w:pPr>
            <w:r>
              <w:rPr>
                <w:rFonts w:ascii="Arial" w:cs="Arial" w:eastAsia="Arial" w:hAnsi="Arial"/>
                <w:sz w:val="13"/>
                <w:szCs w:val="13"/>
                <w:b w:val="1"/>
                <w:bCs w:val="1"/>
                <w:color w:val="FFFFFF"/>
                <w:w w:val="91"/>
              </w:rPr>
              <w:t>Q4</w:t>
            </w:r>
          </w:p>
        </w:tc>
        <w:tc>
          <w:tcPr>
            <w:tcW w:w="260" w:type="dxa"/>
            <w:vAlign w:val="bottom"/>
            <w:shd w:val="clear" w:color="auto" w:fill="1D2758"/>
          </w:tcPr>
          <w:p>
            <w:pPr>
              <w:spacing w:after="0"/>
              <w:rPr>
                <w:sz w:val="15"/>
                <w:szCs w:val="15"/>
                <w:color w:val="auto"/>
              </w:rPr>
            </w:pPr>
          </w:p>
        </w:tc>
        <w:tc>
          <w:tcPr>
            <w:tcW w:w="1240" w:type="dxa"/>
            <w:vAlign w:val="bottom"/>
            <w:shd w:val="clear" w:color="auto" w:fill="1D2758"/>
          </w:tcPr>
          <w:p>
            <w:pPr>
              <w:jc w:val="right"/>
              <w:ind w:right="394"/>
              <w:spacing w:after="0"/>
              <w:rPr>
                <w:sz w:val="20"/>
                <w:szCs w:val="20"/>
                <w:color w:val="auto"/>
              </w:rPr>
            </w:pPr>
            <w:r>
              <w:rPr>
                <w:rFonts w:ascii="Arial" w:cs="Arial" w:eastAsia="Arial" w:hAnsi="Arial"/>
                <w:sz w:val="13"/>
                <w:szCs w:val="13"/>
                <w:b w:val="1"/>
                <w:bCs w:val="1"/>
                <w:color w:val="FFFFFF"/>
              </w:rPr>
              <w:t>Full Year</w:t>
            </w:r>
          </w:p>
        </w:tc>
      </w:tr>
      <w:tr>
        <w:trPr>
          <w:trHeight w:val="175"/>
        </w:trPr>
        <w:tc>
          <w:tcPr>
            <w:tcW w:w="3600" w:type="dxa"/>
            <w:vAlign w:val="bottom"/>
            <w:shd w:val="clear" w:color="auto" w:fill="DBDBDB"/>
          </w:tcPr>
          <w:p>
            <w:pPr>
              <w:ind w:left="20"/>
              <w:spacing w:after="0"/>
              <w:rPr>
                <w:sz w:val="20"/>
                <w:szCs w:val="20"/>
                <w:color w:val="auto"/>
              </w:rPr>
            </w:pPr>
            <w:r>
              <w:rPr>
                <w:rFonts w:ascii="Arial" w:cs="Arial" w:eastAsia="Arial" w:hAnsi="Arial"/>
                <w:sz w:val="13"/>
                <w:szCs w:val="13"/>
                <w:color w:val="auto"/>
              </w:rPr>
              <w:t>Revenue</w:t>
            </w:r>
          </w:p>
        </w:tc>
        <w:tc>
          <w:tcPr>
            <w:tcW w:w="24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255,821</w:t>
            </w:r>
          </w:p>
        </w:tc>
        <w:tc>
          <w:tcPr>
            <w:tcW w:w="28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256,862</w:t>
            </w:r>
          </w:p>
        </w:tc>
        <w:tc>
          <w:tcPr>
            <w:tcW w:w="26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417,315</w:t>
            </w:r>
          </w:p>
        </w:tc>
        <w:tc>
          <w:tcPr>
            <w:tcW w:w="28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437,647</w:t>
            </w:r>
          </w:p>
        </w:tc>
        <w:tc>
          <w:tcPr>
            <w:tcW w:w="26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1,367,645</w:t>
            </w:r>
          </w:p>
        </w:tc>
      </w:tr>
      <w:tr>
        <w:trPr>
          <w:trHeight w:val="172"/>
        </w:trPr>
        <w:tc>
          <w:tcPr>
            <w:tcW w:w="3600" w:type="dxa"/>
            <w:vAlign w:val="bottom"/>
          </w:tcPr>
          <w:p>
            <w:pPr>
              <w:ind w:left="20"/>
              <w:spacing w:after="0"/>
              <w:rPr>
                <w:sz w:val="20"/>
                <w:szCs w:val="20"/>
                <w:color w:val="auto"/>
              </w:rPr>
            </w:pPr>
            <w:r>
              <w:rPr>
                <w:rFonts w:ascii="Arial" w:cs="Arial" w:eastAsia="Arial" w:hAnsi="Arial"/>
                <w:sz w:val="13"/>
                <w:szCs w:val="13"/>
                <w:color w:val="auto"/>
              </w:rPr>
              <w:t>Gross profit</w:t>
            </w:r>
          </w:p>
        </w:tc>
        <w:tc>
          <w:tcPr>
            <w:tcW w:w="24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54"/>
              <w:spacing w:after="0"/>
              <w:rPr>
                <w:sz w:val="20"/>
                <w:szCs w:val="20"/>
                <w:color w:val="auto"/>
              </w:rPr>
            </w:pPr>
            <w:r>
              <w:rPr>
                <w:rFonts w:ascii="Arial" w:cs="Arial" w:eastAsia="Arial" w:hAnsi="Arial"/>
                <w:sz w:val="13"/>
                <w:szCs w:val="13"/>
                <w:color w:val="auto"/>
              </w:rPr>
              <w:t>106,190</w:t>
            </w: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54"/>
              <w:spacing w:after="0"/>
              <w:rPr>
                <w:sz w:val="20"/>
                <w:szCs w:val="20"/>
                <w:color w:val="auto"/>
              </w:rPr>
            </w:pPr>
            <w:r>
              <w:rPr>
                <w:rFonts w:ascii="Arial" w:cs="Arial" w:eastAsia="Arial" w:hAnsi="Arial"/>
                <w:sz w:val="13"/>
                <w:szCs w:val="13"/>
                <w:color w:val="auto"/>
              </w:rPr>
              <w:t>109,964</w:t>
            </w:r>
          </w:p>
        </w:tc>
        <w:tc>
          <w:tcPr>
            <w:tcW w:w="2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34"/>
              <w:spacing w:after="0"/>
              <w:rPr>
                <w:sz w:val="20"/>
                <w:szCs w:val="20"/>
                <w:color w:val="auto"/>
              </w:rPr>
            </w:pPr>
            <w:r>
              <w:rPr>
                <w:rFonts w:ascii="Arial" w:cs="Arial" w:eastAsia="Arial" w:hAnsi="Arial"/>
                <w:sz w:val="13"/>
                <w:szCs w:val="13"/>
                <w:color w:val="auto"/>
              </w:rPr>
              <w:t>209,564</w:t>
            </w: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54"/>
              <w:spacing w:after="0"/>
              <w:rPr>
                <w:sz w:val="20"/>
                <w:szCs w:val="20"/>
                <w:color w:val="auto"/>
              </w:rPr>
            </w:pPr>
            <w:r>
              <w:rPr>
                <w:rFonts w:ascii="Arial" w:cs="Arial" w:eastAsia="Arial" w:hAnsi="Arial"/>
                <w:sz w:val="13"/>
                <w:szCs w:val="13"/>
                <w:color w:val="auto"/>
              </w:rPr>
              <w:t>234,255</w:t>
            </w:r>
          </w:p>
        </w:tc>
        <w:tc>
          <w:tcPr>
            <w:tcW w:w="2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94"/>
              <w:spacing w:after="0"/>
              <w:rPr>
                <w:sz w:val="20"/>
                <w:szCs w:val="20"/>
                <w:color w:val="auto"/>
              </w:rPr>
            </w:pPr>
            <w:r>
              <w:rPr>
                <w:rFonts w:ascii="Arial" w:cs="Arial" w:eastAsia="Arial" w:hAnsi="Arial"/>
                <w:sz w:val="13"/>
                <w:szCs w:val="13"/>
                <w:color w:val="auto"/>
              </w:rPr>
              <w:t>659,973</w:t>
            </w:r>
          </w:p>
        </w:tc>
      </w:tr>
      <w:tr>
        <w:trPr>
          <w:trHeight w:val="178"/>
        </w:trPr>
        <w:tc>
          <w:tcPr>
            <w:tcW w:w="3600" w:type="dxa"/>
            <w:vAlign w:val="bottom"/>
            <w:shd w:val="clear" w:color="auto" w:fill="DBDBDB"/>
          </w:tcPr>
          <w:p>
            <w:pPr>
              <w:ind w:left="20"/>
              <w:spacing w:after="0"/>
              <w:rPr>
                <w:sz w:val="20"/>
                <w:szCs w:val="20"/>
                <w:color w:val="auto"/>
              </w:rPr>
            </w:pPr>
            <w:r>
              <w:rPr>
                <w:rFonts w:ascii="Arial" w:cs="Arial" w:eastAsia="Arial" w:hAnsi="Arial"/>
                <w:sz w:val="13"/>
                <w:szCs w:val="13"/>
                <w:color w:val="auto"/>
              </w:rPr>
              <w:t>Adjusted EBITDA</w:t>
            </w:r>
          </w:p>
        </w:tc>
        <w:tc>
          <w:tcPr>
            <w:tcW w:w="24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89,544</w:t>
            </w:r>
          </w:p>
        </w:tc>
        <w:tc>
          <w:tcPr>
            <w:tcW w:w="28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97,520</w:t>
            </w:r>
          </w:p>
        </w:tc>
        <w:tc>
          <w:tcPr>
            <w:tcW w:w="26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163,559</w:t>
            </w:r>
          </w:p>
        </w:tc>
        <w:tc>
          <w:tcPr>
            <w:tcW w:w="28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179,684</w:t>
            </w:r>
          </w:p>
        </w:tc>
        <w:tc>
          <w:tcPr>
            <w:tcW w:w="26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530,307</w:t>
            </w:r>
          </w:p>
        </w:tc>
      </w:tr>
      <w:tr>
        <w:trPr>
          <w:trHeight w:val="172"/>
        </w:trPr>
        <w:tc>
          <w:tcPr>
            <w:tcW w:w="360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24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54"/>
              <w:spacing w:after="0"/>
              <w:rPr>
                <w:sz w:val="20"/>
                <w:szCs w:val="20"/>
                <w:color w:val="auto"/>
              </w:rPr>
            </w:pPr>
            <w:r>
              <w:rPr>
                <w:rFonts w:ascii="Arial" w:cs="Arial" w:eastAsia="Arial" w:hAnsi="Arial"/>
                <w:sz w:val="13"/>
                <w:szCs w:val="13"/>
                <w:color w:val="auto"/>
              </w:rPr>
              <w:t>91,655</w:t>
            </w: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14"/>
              <w:spacing w:after="0"/>
              <w:rPr>
                <w:sz w:val="20"/>
                <w:szCs w:val="20"/>
                <w:color w:val="auto"/>
              </w:rPr>
            </w:pPr>
            <w:r>
              <w:rPr>
                <w:rFonts w:ascii="Arial" w:cs="Arial" w:eastAsia="Arial" w:hAnsi="Arial"/>
                <w:sz w:val="13"/>
                <w:szCs w:val="13"/>
                <w:color w:val="auto"/>
              </w:rPr>
              <w:t>(14,130)</w:t>
            </w:r>
          </w:p>
        </w:tc>
        <w:tc>
          <w:tcPr>
            <w:tcW w:w="2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14"/>
              <w:spacing w:after="0"/>
              <w:rPr>
                <w:sz w:val="20"/>
                <w:szCs w:val="20"/>
                <w:color w:val="auto"/>
              </w:rPr>
            </w:pPr>
            <w:r>
              <w:rPr>
                <w:rFonts w:ascii="Arial" w:cs="Arial" w:eastAsia="Arial" w:hAnsi="Arial"/>
                <w:sz w:val="13"/>
                <w:szCs w:val="13"/>
                <w:color w:val="auto"/>
              </w:rPr>
              <w:t>(6,051)</w:t>
            </w: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54"/>
              <w:spacing w:after="0"/>
              <w:rPr>
                <w:sz w:val="20"/>
                <w:szCs w:val="20"/>
                <w:color w:val="auto"/>
              </w:rPr>
            </w:pPr>
            <w:r>
              <w:rPr>
                <w:rFonts w:ascii="Arial" w:cs="Arial" w:eastAsia="Arial" w:hAnsi="Arial"/>
                <w:sz w:val="13"/>
                <w:szCs w:val="13"/>
                <w:color w:val="auto"/>
              </w:rPr>
              <w:t>3,866</w:t>
            </w:r>
          </w:p>
        </w:tc>
        <w:tc>
          <w:tcPr>
            <w:tcW w:w="2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94"/>
              <w:spacing w:after="0"/>
              <w:rPr>
                <w:sz w:val="20"/>
                <w:szCs w:val="20"/>
                <w:color w:val="auto"/>
              </w:rPr>
            </w:pPr>
            <w:r>
              <w:rPr>
                <w:rFonts w:ascii="Arial" w:cs="Arial" w:eastAsia="Arial" w:hAnsi="Arial"/>
                <w:sz w:val="13"/>
                <w:szCs w:val="13"/>
                <w:color w:val="auto"/>
              </w:rPr>
              <w:t>75,340</w:t>
            </w:r>
          </w:p>
        </w:tc>
      </w:tr>
      <w:tr>
        <w:trPr>
          <w:trHeight w:val="178"/>
        </w:trPr>
        <w:tc>
          <w:tcPr>
            <w:tcW w:w="3600" w:type="dxa"/>
            <w:vAlign w:val="bottom"/>
            <w:shd w:val="clear" w:color="auto" w:fill="DBDBDB"/>
          </w:tcPr>
          <w:p>
            <w:pPr>
              <w:ind w:left="20"/>
              <w:spacing w:after="0"/>
              <w:rPr>
                <w:sz w:val="20"/>
                <w:szCs w:val="20"/>
                <w:color w:val="auto"/>
              </w:rPr>
            </w:pPr>
            <w:r>
              <w:rPr>
                <w:rFonts w:ascii="Arial" w:cs="Arial" w:eastAsia="Arial" w:hAnsi="Arial"/>
                <w:sz w:val="13"/>
                <w:szCs w:val="13"/>
                <w:color w:val="auto"/>
              </w:rPr>
              <w:t>Net income (loss) attributable to Willscot Mobile Mini</w:t>
            </w:r>
          </w:p>
        </w:tc>
        <w:tc>
          <w:tcPr>
            <w:tcW w:w="24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91,785</w:t>
            </w:r>
          </w:p>
        </w:tc>
        <w:tc>
          <w:tcPr>
            <w:tcW w:w="28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14"/>
              <w:spacing w:after="0"/>
              <w:rPr>
                <w:sz w:val="20"/>
                <w:szCs w:val="20"/>
                <w:color w:val="auto"/>
              </w:rPr>
            </w:pPr>
            <w:r>
              <w:rPr>
                <w:rFonts w:ascii="Arial" w:cs="Arial" w:eastAsia="Arial" w:hAnsi="Arial"/>
                <w:sz w:val="13"/>
                <w:szCs w:val="13"/>
                <w:color w:val="auto"/>
              </w:rPr>
              <w:t>(15,473)</w:t>
            </w:r>
          </w:p>
        </w:tc>
        <w:tc>
          <w:tcPr>
            <w:tcW w:w="26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14"/>
              <w:spacing w:after="0"/>
              <w:rPr>
                <w:sz w:val="20"/>
                <w:szCs w:val="20"/>
                <w:color w:val="auto"/>
              </w:rPr>
            </w:pPr>
            <w:r>
              <w:rPr>
                <w:rFonts w:ascii="Arial" w:cs="Arial" w:eastAsia="Arial" w:hAnsi="Arial"/>
                <w:sz w:val="13"/>
                <w:szCs w:val="13"/>
                <w:color w:val="auto"/>
              </w:rPr>
              <w:t>(6,051)</w:t>
            </w:r>
          </w:p>
        </w:tc>
        <w:tc>
          <w:tcPr>
            <w:tcW w:w="28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3,866</w:t>
            </w:r>
          </w:p>
        </w:tc>
        <w:tc>
          <w:tcPr>
            <w:tcW w:w="26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74,127</w:t>
            </w:r>
          </w:p>
        </w:tc>
      </w:tr>
      <w:tr>
        <w:trPr>
          <w:trHeight w:val="172"/>
        </w:trPr>
        <w:tc>
          <w:tcPr>
            <w:tcW w:w="3600" w:type="dxa"/>
            <w:vAlign w:val="bottom"/>
          </w:tcPr>
          <w:p>
            <w:pPr>
              <w:ind w:left="20"/>
              <w:spacing w:after="0"/>
              <w:rPr>
                <w:sz w:val="20"/>
                <w:szCs w:val="20"/>
                <w:color w:val="auto"/>
              </w:rPr>
            </w:pPr>
            <w:r>
              <w:rPr>
                <w:rFonts w:ascii="Arial" w:cs="Arial" w:eastAsia="Arial" w:hAnsi="Arial"/>
                <w:sz w:val="13"/>
                <w:szCs w:val="13"/>
                <w:color w:val="auto"/>
              </w:rPr>
              <w:t>Net CAPEX</w:t>
            </w:r>
          </w:p>
        </w:tc>
        <w:tc>
          <w:tcPr>
            <w:tcW w:w="24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54"/>
              <w:spacing w:after="0"/>
              <w:rPr>
                <w:sz w:val="20"/>
                <w:szCs w:val="20"/>
                <w:color w:val="auto"/>
              </w:rPr>
            </w:pPr>
            <w:r>
              <w:rPr>
                <w:rFonts w:ascii="Arial" w:cs="Arial" w:eastAsia="Arial" w:hAnsi="Arial"/>
                <w:sz w:val="13"/>
                <w:szCs w:val="13"/>
                <w:color w:val="auto"/>
              </w:rPr>
              <w:t>30,540</w:t>
            </w: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54"/>
              <w:spacing w:after="0"/>
              <w:rPr>
                <w:sz w:val="20"/>
                <w:szCs w:val="20"/>
                <w:color w:val="auto"/>
              </w:rPr>
            </w:pPr>
            <w:r>
              <w:rPr>
                <w:rFonts w:ascii="Arial" w:cs="Arial" w:eastAsia="Arial" w:hAnsi="Arial"/>
                <w:sz w:val="13"/>
                <w:szCs w:val="13"/>
                <w:color w:val="auto"/>
              </w:rPr>
              <w:t>36,383</w:t>
            </w:r>
          </w:p>
        </w:tc>
        <w:tc>
          <w:tcPr>
            <w:tcW w:w="2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34"/>
              <w:spacing w:after="0"/>
              <w:rPr>
                <w:sz w:val="20"/>
                <w:szCs w:val="20"/>
                <w:color w:val="auto"/>
              </w:rPr>
            </w:pPr>
            <w:r>
              <w:rPr>
                <w:rFonts w:ascii="Arial" w:cs="Arial" w:eastAsia="Arial" w:hAnsi="Arial"/>
                <w:sz w:val="13"/>
                <w:szCs w:val="13"/>
                <w:color w:val="auto"/>
              </w:rPr>
              <w:t>33,323</w:t>
            </w: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54"/>
              <w:spacing w:after="0"/>
              <w:rPr>
                <w:sz w:val="20"/>
                <w:szCs w:val="20"/>
                <w:color w:val="auto"/>
              </w:rPr>
            </w:pPr>
            <w:r>
              <w:rPr>
                <w:rFonts w:ascii="Arial" w:cs="Arial" w:eastAsia="Arial" w:hAnsi="Arial"/>
                <w:sz w:val="13"/>
                <w:szCs w:val="13"/>
                <w:color w:val="auto"/>
              </w:rPr>
              <w:t>42,287</w:t>
            </w:r>
          </w:p>
        </w:tc>
        <w:tc>
          <w:tcPr>
            <w:tcW w:w="2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94"/>
              <w:spacing w:after="0"/>
              <w:rPr>
                <w:sz w:val="20"/>
                <w:szCs w:val="20"/>
                <w:color w:val="auto"/>
              </w:rPr>
            </w:pPr>
            <w:r>
              <w:rPr>
                <w:rFonts w:ascii="Arial" w:cs="Arial" w:eastAsia="Arial" w:hAnsi="Arial"/>
                <w:sz w:val="13"/>
                <w:szCs w:val="13"/>
                <w:color w:val="auto"/>
              </w:rPr>
              <w:t>142,533</w:t>
            </w:r>
          </w:p>
        </w:tc>
      </w:tr>
      <w:tr>
        <w:trPr>
          <w:trHeight w:val="178"/>
        </w:trPr>
        <w:tc>
          <w:tcPr>
            <w:tcW w:w="3600" w:type="dxa"/>
            <w:vAlign w:val="bottom"/>
            <w:shd w:val="clear" w:color="auto" w:fill="DBDBDB"/>
          </w:tcPr>
          <w:p>
            <w:pPr>
              <w:ind w:left="20"/>
              <w:spacing w:after="0"/>
              <w:rPr>
                <w:sz w:val="20"/>
                <w:szCs w:val="20"/>
                <w:color w:val="auto"/>
              </w:rPr>
            </w:pPr>
            <w:r>
              <w:rPr>
                <w:rFonts w:ascii="Arial" w:cs="Arial" w:eastAsia="Arial" w:hAnsi="Arial"/>
                <w:sz w:val="13"/>
                <w:szCs w:val="13"/>
                <w:color w:val="auto"/>
              </w:rPr>
              <w:t>Modular space units on rent (average during the period)</w:t>
            </w:r>
          </w:p>
        </w:tc>
        <w:tc>
          <w:tcPr>
            <w:tcW w:w="240" w:type="dxa"/>
            <w:vAlign w:val="bottom"/>
            <w:shd w:val="clear" w:color="auto" w:fill="DBDBDB"/>
          </w:tcPr>
          <w:p>
            <w:pPr>
              <w:spacing w:after="0"/>
              <w:rPr>
                <w:sz w:val="15"/>
                <w:szCs w:val="15"/>
                <w:color w:val="auto"/>
              </w:rPr>
            </w:pPr>
          </w:p>
        </w:tc>
        <w:tc>
          <w:tcPr>
            <w:tcW w:w="128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87,989</w:t>
            </w:r>
          </w:p>
        </w:tc>
        <w:tc>
          <w:tcPr>
            <w:tcW w:w="280" w:type="dxa"/>
            <w:vAlign w:val="bottom"/>
            <w:shd w:val="clear" w:color="auto" w:fill="DBDBDB"/>
          </w:tcPr>
          <w:p>
            <w:pPr>
              <w:spacing w:after="0"/>
              <w:rPr>
                <w:sz w:val="15"/>
                <w:szCs w:val="15"/>
                <w:color w:val="auto"/>
              </w:rPr>
            </w:pPr>
          </w:p>
        </w:tc>
        <w:tc>
          <w:tcPr>
            <w:tcW w:w="128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87,096</w:t>
            </w:r>
          </w:p>
        </w:tc>
        <w:tc>
          <w:tcPr>
            <w:tcW w:w="260" w:type="dxa"/>
            <w:vAlign w:val="bottom"/>
            <w:shd w:val="clear" w:color="auto" w:fill="DBDBDB"/>
          </w:tcPr>
          <w:p>
            <w:pPr>
              <w:spacing w:after="0"/>
              <w:rPr>
                <w:sz w:val="15"/>
                <w:szCs w:val="15"/>
                <w:color w:val="auto"/>
              </w:rPr>
            </w:pPr>
          </w:p>
        </w:tc>
        <w:tc>
          <w:tcPr>
            <w:tcW w:w="128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111,227</w:t>
            </w:r>
          </w:p>
        </w:tc>
        <w:tc>
          <w:tcPr>
            <w:tcW w:w="280" w:type="dxa"/>
            <w:vAlign w:val="bottom"/>
            <w:shd w:val="clear" w:color="auto" w:fill="DBDBDB"/>
          </w:tcPr>
          <w:p>
            <w:pPr>
              <w:spacing w:after="0"/>
              <w:rPr>
                <w:sz w:val="15"/>
                <w:szCs w:val="15"/>
                <w:color w:val="auto"/>
              </w:rPr>
            </w:pPr>
          </w:p>
        </w:tc>
        <w:tc>
          <w:tcPr>
            <w:tcW w:w="128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111,793</w:t>
            </w:r>
          </w:p>
        </w:tc>
        <w:tc>
          <w:tcPr>
            <w:tcW w:w="260" w:type="dxa"/>
            <w:vAlign w:val="bottom"/>
            <w:shd w:val="clear" w:color="auto" w:fill="DBDBDB"/>
          </w:tcPr>
          <w:p>
            <w:pPr>
              <w:spacing w:after="0"/>
              <w:rPr>
                <w:sz w:val="15"/>
                <w:szCs w:val="15"/>
                <w:color w:val="auto"/>
              </w:rPr>
            </w:pPr>
          </w:p>
        </w:tc>
        <w:tc>
          <w:tcPr>
            <w:tcW w:w="12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99,526</w:t>
            </w:r>
          </w:p>
        </w:tc>
      </w:tr>
      <w:tr>
        <w:trPr>
          <w:trHeight w:val="172"/>
        </w:trPr>
        <w:tc>
          <w:tcPr>
            <w:tcW w:w="3600" w:type="dxa"/>
            <w:vAlign w:val="bottom"/>
          </w:tcPr>
          <w:p>
            <w:pPr>
              <w:ind w:left="20"/>
              <w:spacing w:after="0"/>
              <w:rPr>
                <w:sz w:val="20"/>
                <w:szCs w:val="20"/>
                <w:color w:val="auto"/>
              </w:rPr>
            </w:pPr>
            <w:r>
              <w:rPr>
                <w:rFonts w:ascii="Arial" w:cs="Arial" w:eastAsia="Arial" w:hAnsi="Arial"/>
                <w:sz w:val="13"/>
                <w:szCs w:val="13"/>
                <w:color w:val="auto"/>
              </w:rPr>
              <w:t>Average modular space utilization rate</w:t>
            </w: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69.2 %</w:t>
            </w: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68.5 %</w:t>
            </w:r>
          </w:p>
        </w:tc>
        <w:tc>
          <w:tcPr>
            <w:tcW w:w="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70.6 %</w:t>
            </w: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70.9 %</w:t>
            </w: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70.2 %</w:t>
            </w:r>
          </w:p>
        </w:tc>
      </w:tr>
      <w:tr>
        <w:trPr>
          <w:trHeight w:val="178"/>
        </w:trPr>
        <w:tc>
          <w:tcPr>
            <w:tcW w:w="3600" w:type="dxa"/>
            <w:vAlign w:val="bottom"/>
            <w:shd w:val="clear" w:color="auto" w:fill="DBDBDB"/>
          </w:tcPr>
          <w:p>
            <w:pPr>
              <w:ind w:left="20"/>
              <w:spacing w:after="0"/>
              <w:rPr>
                <w:sz w:val="20"/>
                <w:szCs w:val="20"/>
                <w:color w:val="auto"/>
              </w:rPr>
            </w:pPr>
            <w:r>
              <w:rPr>
                <w:rFonts w:ascii="Arial" w:cs="Arial" w:eastAsia="Arial" w:hAnsi="Arial"/>
                <w:sz w:val="13"/>
                <w:szCs w:val="13"/>
                <w:color w:val="auto"/>
              </w:rPr>
              <w:t>Average modular space monthly rental rate</w:t>
            </w:r>
          </w:p>
        </w:tc>
        <w:tc>
          <w:tcPr>
            <w:tcW w:w="24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653</w:t>
            </w:r>
          </w:p>
        </w:tc>
        <w:tc>
          <w:tcPr>
            <w:tcW w:w="28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669</w:t>
            </w:r>
          </w:p>
        </w:tc>
        <w:tc>
          <w:tcPr>
            <w:tcW w:w="26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640</w:t>
            </w:r>
          </w:p>
        </w:tc>
        <w:tc>
          <w:tcPr>
            <w:tcW w:w="28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670</w:t>
            </w:r>
          </w:p>
        </w:tc>
        <w:tc>
          <w:tcPr>
            <w:tcW w:w="26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658</w:t>
            </w:r>
          </w:p>
        </w:tc>
      </w:tr>
      <w:tr>
        <w:trPr>
          <w:trHeight w:val="172"/>
        </w:trPr>
        <w:tc>
          <w:tcPr>
            <w:tcW w:w="3600" w:type="dxa"/>
            <w:vAlign w:val="bottom"/>
          </w:tcPr>
          <w:p>
            <w:pPr>
              <w:ind w:left="20"/>
              <w:spacing w:after="0"/>
              <w:rPr>
                <w:sz w:val="20"/>
                <w:szCs w:val="20"/>
                <w:color w:val="auto"/>
              </w:rPr>
            </w:pPr>
            <w:r>
              <w:rPr>
                <w:rFonts w:ascii="Arial" w:cs="Arial" w:eastAsia="Arial" w:hAnsi="Arial"/>
                <w:sz w:val="13"/>
                <w:szCs w:val="13"/>
                <w:color w:val="auto"/>
              </w:rPr>
              <w:t>Portable storage units on rent (average during the period)</w:t>
            </w:r>
          </w:p>
        </w:tc>
        <w:tc>
          <w:tcPr>
            <w:tcW w:w="240" w:type="dxa"/>
            <w:vAlign w:val="bottom"/>
          </w:tcPr>
          <w:p>
            <w:pPr>
              <w:spacing w:after="0"/>
              <w:rPr>
                <w:sz w:val="14"/>
                <w:szCs w:val="14"/>
                <w:color w:val="auto"/>
              </w:rPr>
            </w:pPr>
          </w:p>
        </w:tc>
        <w:tc>
          <w:tcPr>
            <w:tcW w:w="1280" w:type="dxa"/>
            <w:vAlign w:val="bottom"/>
          </w:tcPr>
          <w:p>
            <w:pPr>
              <w:jc w:val="right"/>
              <w:ind w:right="154"/>
              <w:spacing w:after="0"/>
              <w:rPr>
                <w:sz w:val="20"/>
                <w:szCs w:val="20"/>
                <w:color w:val="auto"/>
              </w:rPr>
            </w:pPr>
            <w:r>
              <w:rPr>
                <w:rFonts w:ascii="Arial" w:cs="Arial" w:eastAsia="Arial" w:hAnsi="Arial"/>
                <w:sz w:val="13"/>
                <w:szCs w:val="13"/>
                <w:color w:val="auto"/>
              </w:rPr>
              <w:t>16,346</w:t>
            </w:r>
          </w:p>
        </w:tc>
        <w:tc>
          <w:tcPr>
            <w:tcW w:w="280" w:type="dxa"/>
            <w:vAlign w:val="bottom"/>
          </w:tcPr>
          <w:p>
            <w:pPr>
              <w:spacing w:after="0"/>
              <w:rPr>
                <w:sz w:val="14"/>
                <w:szCs w:val="14"/>
                <w:color w:val="auto"/>
              </w:rPr>
            </w:pPr>
          </w:p>
        </w:tc>
        <w:tc>
          <w:tcPr>
            <w:tcW w:w="1280" w:type="dxa"/>
            <w:vAlign w:val="bottom"/>
          </w:tcPr>
          <w:p>
            <w:pPr>
              <w:jc w:val="right"/>
              <w:ind w:right="154"/>
              <w:spacing w:after="0"/>
              <w:rPr>
                <w:sz w:val="20"/>
                <w:szCs w:val="20"/>
                <w:color w:val="auto"/>
              </w:rPr>
            </w:pPr>
            <w:r>
              <w:rPr>
                <w:rFonts w:ascii="Arial" w:cs="Arial" w:eastAsia="Arial" w:hAnsi="Arial"/>
                <w:sz w:val="13"/>
                <w:szCs w:val="13"/>
                <w:color w:val="auto"/>
              </w:rPr>
              <w:t>15,869</w:t>
            </w:r>
          </w:p>
        </w:tc>
        <w:tc>
          <w:tcPr>
            <w:tcW w:w="260" w:type="dxa"/>
            <w:vAlign w:val="bottom"/>
          </w:tcPr>
          <w:p>
            <w:pPr>
              <w:spacing w:after="0"/>
              <w:rPr>
                <w:sz w:val="14"/>
                <w:szCs w:val="14"/>
                <w:color w:val="auto"/>
              </w:rPr>
            </w:pPr>
          </w:p>
        </w:tc>
        <w:tc>
          <w:tcPr>
            <w:tcW w:w="1280" w:type="dxa"/>
            <w:vAlign w:val="bottom"/>
          </w:tcPr>
          <w:p>
            <w:pPr>
              <w:jc w:val="right"/>
              <w:ind w:right="134"/>
              <w:spacing w:after="0"/>
              <w:rPr>
                <w:sz w:val="20"/>
                <w:szCs w:val="20"/>
                <w:color w:val="auto"/>
              </w:rPr>
            </w:pPr>
            <w:r>
              <w:rPr>
                <w:rFonts w:ascii="Arial" w:cs="Arial" w:eastAsia="Arial" w:hAnsi="Arial"/>
                <w:sz w:val="13"/>
                <w:szCs w:val="13"/>
                <w:color w:val="auto"/>
              </w:rPr>
              <w:t>143,840</w:t>
            </w:r>
          </w:p>
        </w:tc>
        <w:tc>
          <w:tcPr>
            <w:tcW w:w="280" w:type="dxa"/>
            <w:vAlign w:val="bottom"/>
          </w:tcPr>
          <w:p>
            <w:pPr>
              <w:spacing w:after="0"/>
              <w:rPr>
                <w:sz w:val="14"/>
                <w:szCs w:val="14"/>
                <w:color w:val="auto"/>
              </w:rPr>
            </w:pPr>
          </w:p>
        </w:tc>
        <w:tc>
          <w:tcPr>
            <w:tcW w:w="1280" w:type="dxa"/>
            <w:vAlign w:val="bottom"/>
          </w:tcPr>
          <w:p>
            <w:pPr>
              <w:jc w:val="right"/>
              <w:ind w:right="154"/>
              <w:spacing w:after="0"/>
              <w:rPr>
                <w:sz w:val="20"/>
                <w:szCs w:val="20"/>
                <w:color w:val="auto"/>
              </w:rPr>
            </w:pPr>
            <w:r>
              <w:rPr>
                <w:rFonts w:ascii="Arial" w:cs="Arial" w:eastAsia="Arial" w:hAnsi="Arial"/>
                <w:sz w:val="13"/>
                <w:szCs w:val="13"/>
                <w:color w:val="auto"/>
              </w:rPr>
              <w:t>160,538</w:t>
            </w:r>
          </w:p>
        </w:tc>
        <w:tc>
          <w:tcPr>
            <w:tcW w:w="260" w:type="dxa"/>
            <w:vAlign w:val="bottom"/>
          </w:tcPr>
          <w:p>
            <w:pPr>
              <w:spacing w:after="0"/>
              <w:rPr>
                <w:sz w:val="14"/>
                <w:szCs w:val="14"/>
                <w:color w:val="auto"/>
              </w:rPr>
            </w:pPr>
          </w:p>
        </w:tc>
        <w:tc>
          <w:tcPr>
            <w:tcW w:w="1240" w:type="dxa"/>
            <w:vAlign w:val="bottom"/>
          </w:tcPr>
          <w:p>
            <w:pPr>
              <w:jc w:val="right"/>
              <w:ind w:right="94"/>
              <w:spacing w:after="0"/>
              <w:rPr>
                <w:sz w:val="20"/>
                <w:szCs w:val="20"/>
                <w:color w:val="auto"/>
              </w:rPr>
            </w:pPr>
            <w:r>
              <w:rPr>
                <w:rFonts w:ascii="Arial" w:cs="Arial" w:eastAsia="Arial" w:hAnsi="Arial"/>
                <w:sz w:val="13"/>
                <w:szCs w:val="13"/>
                <w:color w:val="auto"/>
              </w:rPr>
              <w:t>84,148</w:t>
            </w:r>
          </w:p>
        </w:tc>
      </w:tr>
      <w:tr>
        <w:trPr>
          <w:trHeight w:val="178"/>
        </w:trPr>
        <w:tc>
          <w:tcPr>
            <w:tcW w:w="3600" w:type="dxa"/>
            <w:vAlign w:val="bottom"/>
            <w:shd w:val="clear" w:color="auto" w:fill="DBDBDB"/>
          </w:tcPr>
          <w:p>
            <w:pPr>
              <w:ind w:left="20"/>
              <w:spacing w:after="0"/>
              <w:rPr>
                <w:sz w:val="20"/>
                <w:szCs w:val="20"/>
                <w:color w:val="auto"/>
              </w:rPr>
            </w:pPr>
            <w:r>
              <w:rPr>
                <w:rFonts w:ascii="Arial" w:cs="Arial" w:eastAsia="Arial" w:hAnsi="Arial"/>
                <w:sz w:val="13"/>
                <w:szCs w:val="13"/>
                <w:color w:val="auto"/>
              </w:rPr>
              <w:t>Average portable storage utilization rate</w:t>
            </w:r>
          </w:p>
        </w:tc>
        <w:tc>
          <w:tcPr>
            <w:tcW w:w="240" w:type="dxa"/>
            <w:vAlign w:val="bottom"/>
            <w:shd w:val="clear" w:color="auto" w:fill="DBDBDB"/>
          </w:tcPr>
          <w:p>
            <w:pPr>
              <w:spacing w:after="0"/>
              <w:rPr>
                <w:sz w:val="15"/>
                <w:szCs w:val="15"/>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64.1 %</w:t>
            </w:r>
          </w:p>
        </w:tc>
        <w:tc>
          <w:tcPr>
            <w:tcW w:w="280" w:type="dxa"/>
            <w:vAlign w:val="bottom"/>
            <w:shd w:val="clear" w:color="auto" w:fill="DBDBDB"/>
          </w:tcPr>
          <w:p>
            <w:pPr>
              <w:spacing w:after="0"/>
              <w:rPr>
                <w:sz w:val="15"/>
                <w:szCs w:val="15"/>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62.5 %</w:t>
            </w:r>
          </w:p>
        </w:tc>
        <w:tc>
          <w:tcPr>
            <w:tcW w:w="260" w:type="dxa"/>
            <w:vAlign w:val="bottom"/>
            <w:shd w:val="clear" w:color="auto" w:fill="DBDBDB"/>
          </w:tcPr>
          <w:p>
            <w:pPr>
              <w:spacing w:after="0"/>
              <w:rPr>
                <w:sz w:val="15"/>
                <w:szCs w:val="15"/>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73.2 %</w:t>
            </w:r>
          </w:p>
        </w:tc>
        <w:tc>
          <w:tcPr>
            <w:tcW w:w="280" w:type="dxa"/>
            <w:vAlign w:val="bottom"/>
            <w:shd w:val="clear" w:color="auto" w:fill="DBDBDB"/>
          </w:tcPr>
          <w:p>
            <w:pPr>
              <w:spacing w:after="0"/>
              <w:rPr>
                <w:sz w:val="15"/>
                <w:szCs w:val="15"/>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81.2 %</w:t>
            </w:r>
          </w:p>
        </w:tc>
        <w:tc>
          <w:tcPr>
            <w:tcW w:w="260" w:type="dxa"/>
            <w:vAlign w:val="bottom"/>
            <w:shd w:val="clear" w:color="auto" w:fill="DBDBDB"/>
          </w:tcPr>
          <w:p>
            <w:pPr>
              <w:spacing w:after="0"/>
              <w:rPr>
                <w:sz w:val="15"/>
                <w:szCs w:val="15"/>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75.9 %</w:t>
            </w:r>
          </w:p>
        </w:tc>
      </w:tr>
      <w:tr>
        <w:trPr>
          <w:trHeight w:val="172"/>
        </w:trPr>
        <w:tc>
          <w:tcPr>
            <w:tcW w:w="3600" w:type="dxa"/>
            <w:vAlign w:val="bottom"/>
          </w:tcPr>
          <w:p>
            <w:pPr>
              <w:ind w:left="20"/>
              <w:spacing w:after="0"/>
              <w:rPr>
                <w:sz w:val="20"/>
                <w:szCs w:val="20"/>
                <w:color w:val="auto"/>
              </w:rPr>
            </w:pPr>
            <w:r>
              <w:rPr>
                <w:rFonts w:ascii="Arial" w:cs="Arial" w:eastAsia="Arial" w:hAnsi="Arial"/>
                <w:sz w:val="13"/>
                <w:szCs w:val="13"/>
                <w:color w:val="auto"/>
              </w:rPr>
              <w:t>Average portable storage monthly rental rate</w:t>
            </w:r>
          </w:p>
        </w:tc>
        <w:tc>
          <w:tcPr>
            <w:tcW w:w="24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54"/>
              <w:spacing w:after="0"/>
              <w:rPr>
                <w:sz w:val="20"/>
                <w:szCs w:val="20"/>
                <w:color w:val="auto"/>
              </w:rPr>
            </w:pPr>
            <w:r>
              <w:rPr>
                <w:rFonts w:ascii="Arial" w:cs="Arial" w:eastAsia="Arial" w:hAnsi="Arial"/>
                <w:sz w:val="13"/>
                <w:szCs w:val="13"/>
                <w:color w:val="auto"/>
              </w:rPr>
              <w:t>119</w:t>
            </w: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54"/>
              <w:spacing w:after="0"/>
              <w:rPr>
                <w:sz w:val="20"/>
                <w:szCs w:val="20"/>
                <w:color w:val="auto"/>
              </w:rPr>
            </w:pPr>
            <w:r>
              <w:rPr>
                <w:rFonts w:ascii="Arial" w:cs="Arial" w:eastAsia="Arial" w:hAnsi="Arial"/>
                <w:sz w:val="13"/>
                <w:szCs w:val="13"/>
                <w:color w:val="auto"/>
              </w:rPr>
              <w:t>120</w:t>
            </w:r>
          </w:p>
        </w:tc>
        <w:tc>
          <w:tcPr>
            <w:tcW w:w="2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34"/>
              <w:spacing w:after="0"/>
              <w:rPr>
                <w:sz w:val="20"/>
                <w:szCs w:val="20"/>
                <w:color w:val="auto"/>
              </w:rPr>
            </w:pPr>
            <w:r>
              <w:rPr>
                <w:rFonts w:ascii="Arial" w:cs="Arial" w:eastAsia="Arial" w:hAnsi="Arial"/>
                <w:sz w:val="13"/>
                <w:szCs w:val="13"/>
                <w:color w:val="auto"/>
              </w:rPr>
              <w:t>131</w:t>
            </w: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54"/>
              <w:spacing w:after="0"/>
              <w:rPr>
                <w:sz w:val="20"/>
                <w:szCs w:val="20"/>
                <w:color w:val="auto"/>
              </w:rPr>
            </w:pPr>
            <w:r>
              <w:rPr>
                <w:rFonts w:ascii="Arial" w:cs="Arial" w:eastAsia="Arial" w:hAnsi="Arial"/>
                <w:sz w:val="13"/>
                <w:szCs w:val="13"/>
                <w:color w:val="auto"/>
              </w:rPr>
              <w:t>136</w:t>
            </w:r>
          </w:p>
        </w:tc>
        <w:tc>
          <w:tcPr>
            <w:tcW w:w="2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94"/>
              <w:spacing w:after="0"/>
              <w:rPr>
                <w:sz w:val="20"/>
                <w:szCs w:val="20"/>
                <w:color w:val="auto"/>
              </w:rPr>
            </w:pPr>
            <w:r>
              <w:rPr>
                <w:rFonts w:ascii="Arial" w:cs="Arial" w:eastAsia="Arial" w:hAnsi="Arial"/>
                <w:sz w:val="13"/>
                <w:szCs w:val="13"/>
                <w:color w:val="auto"/>
              </w:rPr>
              <w:t>132</w:t>
            </w:r>
          </w:p>
        </w:tc>
      </w:tr>
      <w:tr>
        <w:trPr>
          <w:trHeight w:val="146"/>
        </w:trPr>
        <w:tc>
          <w:tcPr>
            <w:tcW w:w="3600" w:type="dxa"/>
            <w:vAlign w:val="bottom"/>
            <w:shd w:val="clear" w:color="auto" w:fill="DBDBDB"/>
          </w:tcPr>
          <w:p>
            <w:pPr>
              <w:ind w:left="20"/>
              <w:spacing w:after="0" w:line="147" w:lineRule="exact"/>
              <w:rPr>
                <w:sz w:val="20"/>
                <w:szCs w:val="20"/>
                <w:color w:val="auto"/>
              </w:rPr>
            </w:pPr>
            <w:r>
              <w:rPr>
                <w:rFonts w:ascii="Arial" w:cs="Arial" w:eastAsia="Arial" w:hAnsi="Arial"/>
                <w:sz w:val="13"/>
                <w:szCs w:val="13"/>
                <w:color w:val="auto"/>
              </w:rPr>
              <w:t>Average tank and pump solutions rental fleet utilization based</w:t>
            </w:r>
          </w:p>
        </w:tc>
        <w:tc>
          <w:tcPr>
            <w:tcW w:w="240" w:type="dxa"/>
            <w:vAlign w:val="bottom"/>
            <w:shd w:val="clear" w:color="auto" w:fill="DBDBDB"/>
          </w:tcPr>
          <w:p>
            <w:pPr>
              <w:spacing w:after="0"/>
              <w:rPr>
                <w:sz w:val="12"/>
                <w:szCs w:val="12"/>
                <w:color w:val="auto"/>
              </w:rPr>
            </w:pPr>
          </w:p>
        </w:tc>
        <w:tc>
          <w:tcPr>
            <w:tcW w:w="1280" w:type="dxa"/>
            <w:vAlign w:val="bottom"/>
            <w:shd w:val="clear" w:color="auto" w:fill="DBDBDB"/>
          </w:tcPr>
          <w:p>
            <w:pPr>
              <w:spacing w:after="0"/>
              <w:rPr>
                <w:sz w:val="12"/>
                <w:szCs w:val="12"/>
                <w:color w:val="auto"/>
              </w:rPr>
            </w:pPr>
          </w:p>
        </w:tc>
        <w:tc>
          <w:tcPr>
            <w:tcW w:w="280" w:type="dxa"/>
            <w:vAlign w:val="bottom"/>
            <w:shd w:val="clear" w:color="auto" w:fill="DBDBDB"/>
          </w:tcPr>
          <w:p>
            <w:pPr>
              <w:spacing w:after="0"/>
              <w:rPr>
                <w:sz w:val="12"/>
                <w:szCs w:val="12"/>
                <w:color w:val="auto"/>
              </w:rPr>
            </w:pPr>
          </w:p>
        </w:tc>
        <w:tc>
          <w:tcPr>
            <w:tcW w:w="1280" w:type="dxa"/>
            <w:vAlign w:val="bottom"/>
            <w:shd w:val="clear" w:color="auto" w:fill="DBDBDB"/>
          </w:tcPr>
          <w:p>
            <w:pPr>
              <w:spacing w:after="0"/>
              <w:rPr>
                <w:sz w:val="12"/>
                <w:szCs w:val="12"/>
                <w:color w:val="auto"/>
              </w:rPr>
            </w:pPr>
          </w:p>
        </w:tc>
        <w:tc>
          <w:tcPr>
            <w:tcW w:w="260" w:type="dxa"/>
            <w:vAlign w:val="bottom"/>
            <w:shd w:val="clear" w:color="auto" w:fill="DBDBDB"/>
          </w:tcPr>
          <w:p>
            <w:pPr>
              <w:spacing w:after="0"/>
              <w:rPr>
                <w:sz w:val="12"/>
                <w:szCs w:val="12"/>
                <w:color w:val="auto"/>
              </w:rPr>
            </w:pPr>
          </w:p>
        </w:tc>
        <w:tc>
          <w:tcPr>
            <w:tcW w:w="1280" w:type="dxa"/>
            <w:vAlign w:val="bottom"/>
            <w:shd w:val="clear" w:color="auto" w:fill="DBDBDB"/>
          </w:tcPr>
          <w:p>
            <w:pPr>
              <w:spacing w:after="0"/>
              <w:rPr>
                <w:sz w:val="12"/>
                <w:szCs w:val="12"/>
                <w:color w:val="auto"/>
              </w:rPr>
            </w:pPr>
          </w:p>
        </w:tc>
        <w:tc>
          <w:tcPr>
            <w:tcW w:w="280" w:type="dxa"/>
            <w:vAlign w:val="bottom"/>
            <w:shd w:val="clear" w:color="auto" w:fill="DBDBDB"/>
          </w:tcPr>
          <w:p>
            <w:pPr>
              <w:spacing w:after="0"/>
              <w:rPr>
                <w:sz w:val="12"/>
                <w:szCs w:val="12"/>
                <w:color w:val="auto"/>
              </w:rPr>
            </w:pPr>
          </w:p>
        </w:tc>
        <w:tc>
          <w:tcPr>
            <w:tcW w:w="1280" w:type="dxa"/>
            <w:vAlign w:val="bottom"/>
            <w:shd w:val="clear" w:color="auto" w:fill="DBDBDB"/>
          </w:tcPr>
          <w:p>
            <w:pPr>
              <w:spacing w:after="0"/>
              <w:rPr>
                <w:sz w:val="12"/>
                <w:szCs w:val="12"/>
                <w:color w:val="auto"/>
              </w:rPr>
            </w:pPr>
          </w:p>
        </w:tc>
        <w:tc>
          <w:tcPr>
            <w:tcW w:w="260" w:type="dxa"/>
            <w:vAlign w:val="bottom"/>
            <w:shd w:val="clear" w:color="auto" w:fill="DBDBDB"/>
          </w:tcPr>
          <w:p>
            <w:pPr>
              <w:spacing w:after="0"/>
              <w:rPr>
                <w:sz w:val="12"/>
                <w:szCs w:val="12"/>
                <w:color w:val="auto"/>
              </w:rPr>
            </w:pPr>
          </w:p>
        </w:tc>
        <w:tc>
          <w:tcPr>
            <w:tcW w:w="1240" w:type="dxa"/>
            <w:vAlign w:val="bottom"/>
            <w:shd w:val="clear" w:color="auto" w:fill="DBDBDB"/>
          </w:tcPr>
          <w:p>
            <w:pPr>
              <w:spacing w:after="0"/>
              <w:rPr>
                <w:sz w:val="12"/>
                <w:szCs w:val="12"/>
                <w:color w:val="auto"/>
              </w:rPr>
            </w:pPr>
          </w:p>
        </w:tc>
      </w:tr>
      <w:tr>
        <w:trPr>
          <w:trHeight w:val="162"/>
        </w:trPr>
        <w:tc>
          <w:tcPr>
            <w:tcW w:w="3600" w:type="dxa"/>
            <w:vAlign w:val="bottom"/>
            <w:shd w:val="clear" w:color="auto" w:fill="DBDBDB"/>
          </w:tcPr>
          <w:p>
            <w:pPr>
              <w:ind w:left="20"/>
              <w:spacing w:after="0"/>
              <w:rPr>
                <w:sz w:val="20"/>
                <w:szCs w:val="20"/>
                <w:color w:val="auto"/>
              </w:rPr>
            </w:pPr>
            <w:r>
              <w:rPr>
                <w:rFonts w:ascii="Arial" w:cs="Arial" w:eastAsia="Arial" w:hAnsi="Arial"/>
                <w:sz w:val="13"/>
                <w:szCs w:val="13"/>
                <w:color w:val="auto"/>
              </w:rPr>
              <w:t>on original equipment cost</w:t>
            </w:r>
          </w:p>
        </w:tc>
        <w:tc>
          <w:tcPr>
            <w:tcW w:w="240" w:type="dxa"/>
            <w:vAlign w:val="bottom"/>
            <w:shd w:val="clear" w:color="auto" w:fill="DBDBDB"/>
          </w:tcPr>
          <w:p>
            <w:pPr>
              <w:spacing w:after="0"/>
              <w:rPr>
                <w:sz w:val="14"/>
                <w:szCs w:val="14"/>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N/A</w:t>
            </w:r>
          </w:p>
        </w:tc>
        <w:tc>
          <w:tcPr>
            <w:tcW w:w="280" w:type="dxa"/>
            <w:vAlign w:val="bottom"/>
            <w:shd w:val="clear" w:color="auto" w:fill="DBDBDB"/>
          </w:tcPr>
          <w:p>
            <w:pPr>
              <w:spacing w:after="0"/>
              <w:rPr>
                <w:sz w:val="14"/>
                <w:szCs w:val="14"/>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N/A</w:t>
            </w:r>
          </w:p>
        </w:tc>
        <w:tc>
          <w:tcPr>
            <w:tcW w:w="260" w:type="dxa"/>
            <w:vAlign w:val="bottom"/>
            <w:shd w:val="clear" w:color="auto" w:fill="DBDBDB"/>
          </w:tcPr>
          <w:p>
            <w:pPr>
              <w:spacing w:after="0"/>
              <w:rPr>
                <w:sz w:val="14"/>
                <w:szCs w:val="14"/>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58.2 %</w:t>
            </w:r>
          </w:p>
        </w:tc>
        <w:tc>
          <w:tcPr>
            <w:tcW w:w="280" w:type="dxa"/>
            <w:vAlign w:val="bottom"/>
            <w:shd w:val="clear" w:color="auto" w:fill="DBDBDB"/>
          </w:tcPr>
          <w:p>
            <w:pPr>
              <w:spacing w:after="0"/>
              <w:rPr>
                <w:sz w:val="14"/>
                <w:szCs w:val="14"/>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65.2 %</w:t>
            </w:r>
          </w:p>
        </w:tc>
        <w:tc>
          <w:tcPr>
            <w:tcW w:w="260" w:type="dxa"/>
            <w:vAlign w:val="bottom"/>
            <w:shd w:val="clear" w:color="auto" w:fill="DBDBDB"/>
          </w:tcPr>
          <w:p>
            <w:pPr>
              <w:spacing w:after="0"/>
              <w:rPr>
                <w:sz w:val="14"/>
                <w:szCs w:val="14"/>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61.7 %</w:t>
            </w:r>
          </w:p>
        </w:tc>
      </w:tr>
      <w:tr>
        <w:trPr>
          <w:trHeight w:val="172"/>
        </w:trPr>
        <w:tc>
          <w:tcPr>
            <w:tcW w:w="3600" w:type="dxa"/>
            <w:vAlign w:val="bottom"/>
          </w:tcPr>
          <w:p>
            <w:pPr>
              <w:ind w:left="20"/>
              <w:spacing w:after="0"/>
              <w:rPr>
                <w:sz w:val="20"/>
                <w:szCs w:val="20"/>
                <w:color w:val="auto"/>
              </w:rPr>
            </w:pPr>
            <w:r>
              <w:rPr>
                <w:rFonts w:ascii="Arial" w:cs="Arial" w:eastAsia="Arial" w:hAnsi="Arial"/>
                <w:sz w:val="13"/>
                <w:szCs w:val="13"/>
                <w:color w:val="auto"/>
              </w:rPr>
              <w:t>Earnings (loss) per share - basic</w:t>
            </w:r>
          </w:p>
        </w:tc>
        <w:tc>
          <w:tcPr>
            <w:tcW w:w="24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54"/>
              <w:spacing w:after="0"/>
              <w:rPr>
                <w:sz w:val="20"/>
                <w:szCs w:val="20"/>
                <w:color w:val="auto"/>
              </w:rPr>
            </w:pPr>
            <w:r>
              <w:rPr>
                <w:rFonts w:ascii="Arial" w:cs="Arial" w:eastAsia="Arial" w:hAnsi="Arial"/>
                <w:sz w:val="13"/>
                <w:szCs w:val="13"/>
                <w:color w:val="auto"/>
              </w:rPr>
              <w:t>0.84</w:t>
            </w: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14"/>
              <w:spacing w:after="0"/>
              <w:rPr>
                <w:sz w:val="20"/>
                <w:szCs w:val="20"/>
                <w:color w:val="auto"/>
              </w:rPr>
            </w:pPr>
            <w:r>
              <w:rPr>
                <w:rFonts w:ascii="Arial" w:cs="Arial" w:eastAsia="Arial" w:hAnsi="Arial"/>
                <w:sz w:val="13"/>
                <w:szCs w:val="13"/>
                <w:color w:val="auto"/>
              </w:rPr>
              <w:t>(0.14)</w:t>
            </w:r>
          </w:p>
        </w:tc>
        <w:tc>
          <w:tcPr>
            <w:tcW w:w="2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14"/>
              <w:spacing w:after="0"/>
              <w:rPr>
                <w:sz w:val="20"/>
                <w:szCs w:val="20"/>
                <w:color w:val="auto"/>
              </w:rPr>
            </w:pPr>
            <w:r>
              <w:rPr>
                <w:rFonts w:ascii="Arial" w:cs="Arial" w:eastAsia="Arial" w:hAnsi="Arial"/>
                <w:sz w:val="13"/>
                <w:szCs w:val="13"/>
                <w:color w:val="auto"/>
              </w:rPr>
              <w:t>(0.03)</w:t>
            </w: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54"/>
              <w:spacing w:after="0"/>
              <w:rPr>
                <w:sz w:val="20"/>
                <w:szCs w:val="20"/>
                <w:color w:val="auto"/>
              </w:rPr>
            </w:pPr>
            <w:r>
              <w:rPr>
                <w:rFonts w:ascii="Arial" w:cs="Arial" w:eastAsia="Arial" w:hAnsi="Arial"/>
                <w:sz w:val="13"/>
                <w:szCs w:val="13"/>
                <w:color w:val="auto"/>
              </w:rPr>
              <w:t>0.02</w:t>
            </w:r>
          </w:p>
        </w:tc>
        <w:tc>
          <w:tcPr>
            <w:tcW w:w="2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94"/>
              <w:spacing w:after="0"/>
              <w:rPr>
                <w:sz w:val="20"/>
                <w:szCs w:val="20"/>
                <w:color w:val="auto"/>
              </w:rPr>
            </w:pPr>
            <w:r>
              <w:rPr>
                <w:rFonts w:ascii="Arial" w:cs="Arial" w:eastAsia="Arial" w:hAnsi="Arial"/>
                <w:sz w:val="13"/>
                <w:szCs w:val="13"/>
                <w:color w:val="auto"/>
              </w:rPr>
              <w:t>0.44</w:t>
            </w:r>
          </w:p>
        </w:tc>
      </w:tr>
      <w:tr>
        <w:trPr>
          <w:trHeight w:val="178"/>
        </w:trPr>
        <w:tc>
          <w:tcPr>
            <w:tcW w:w="3600" w:type="dxa"/>
            <w:vAlign w:val="bottom"/>
            <w:shd w:val="clear" w:color="auto" w:fill="DBDBDB"/>
          </w:tcPr>
          <w:p>
            <w:pPr>
              <w:ind w:left="20"/>
              <w:spacing w:after="0"/>
              <w:rPr>
                <w:sz w:val="20"/>
                <w:szCs w:val="20"/>
                <w:color w:val="auto"/>
              </w:rPr>
            </w:pPr>
            <w:r>
              <w:rPr>
                <w:rFonts w:ascii="Arial" w:cs="Arial" w:eastAsia="Arial" w:hAnsi="Arial"/>
                <w:sz w:val="13"/>
                <w:szCs w:val="13"/>
                <w:color w:val="auto"/>
              </w:rPr>
              <w:t>Earnings (loss) per share - diluted</w:t>
            </w:r>
          </w:p>
        </w:tc>
        <w:tc>
          <w:tcPr>
            <w:tcW w:w="24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0.05</w:t>
            </w:r>
          </w:p>
        </w:tc>
        <w:tc>
          <w:tcPr>
            <w:tcW w:w="28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14"/>
              <w:spacing w:after="0"/>
              <w:rPr>
                <w:sz w:val="20"/>
                <w:szCs w:val="20"/>
                <w:color w:val="auto"/>
              </w:rPr>
            </w:pPr>
            <w:r>
              <w:rPr>
                <w:rFonts w:ascii="Arial" w:cs="Arial" w:eastAsia="Arial" w:hAnsi="Arial"/>
                <w:sz w:val="13"/>
                <w:szCs w:val="13"/>
                <w:color w:val="auto"/>
              </w:rPr>
              <w:t>(0.14)</w:t>
            </w:r>
          </w:p>
        </w:tc>
        <w:tc>
          <w:tcPr>
            <w:tcW w:w="26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14"/>
              <w:spacing w:after="0"/>
              <w:rPr>
                <w:sz w:val="20"/>
                <w:szCs w:val="20"/>
                <w:color w:val="auto"/>
              </w:rPr>
            </w:pPr>
            <w:r>
              <w:rPr>
                <w:rFonts w:ascii="Arial" w:cs="Arial" w:eastAsia="Arial" w:hAnsi="Arial"/>
                <w:sz w:val="13"/>
                <w:szCs w:val="13"/>
                <w:color w:val="auto"/>
              </w:rPr>
              <w:t>(0.03)</w:t>
            </w:r>
          </w:p>
        </w:tc>
        <w:tc>
          <w:tcPr>
            <w:tcW w:w="28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0.02</w:t>
            </w:r>
          </w:p>
        </w:tc>
        <w:tc>
          <w:tcPr>
            <w:tcW w:w="26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0.25</w:t>
            </w:r>
          </w:p>
        </w:tc>
      </w:tr>
      <w:tr>
        <w:trPr>
          <w:trHeight w:val="172"/>
        </w:trPr>
        <w:tc>
          <w:tcPr>
            <w:tcW w:w="3600" w:type="dxa"/>
            <w:vAlign w:val="bottom"/>
          </w:tcPr>
          <w:p>
            <w:pPr>
              <w:ind w:left="20"/>
              <w:spacing w:after="0"/>
              <w:rPr>
                <w:sz w:val="20"/>
                <w:szCs w:val="20"/>
                <w:color w:val="auto"/>
              </w:rPr>
            </w:pPr>
            <w:r>
              <w:rPr>
                <w:rFonts w:ascii="Arial" w:cs="Arial" w:eastAsia="Arial" w:hAnsi="Arial"/>
                <w:sz w:val="13"/>
                <w:szCs w:val="13"/>
                <w:color w:val="auto"/>
              </w:rPr>
              <w:t>Weighted average shares - basic</w:t>
            </w:r>
          </w:p>
        </w:tc>
        <w:tc>
          <w:tcPr>
            <w:tcW w:w="240" w:type="dxa"/>
            <w:vAlign w:val="bottom"/>
          </w:tcPr>
          <w:p>
            <w:pPr>
              <w:spacing w:after="0"/>
              <w:rPr>
                <w:sz w:val="14"/>
                <w:szCs w:val="14"/>
                <w:color w:val="auto"/>
              </w:rPr>
            </w:pPr>
          </w:p>
        </w:tc>
        <w:tc>
          <w:tcPr>
            <w:tcW w:w="1280" w:type="dxa"/>
            <w:vAlign w:val="bottom"/>
          </w:tcPr>
          <w:p>
            <w:pPr>
              <w:jc w:val="center"/>
              <w:ind w:right="214"/>
              <w:spacing w:after="0"/>
              <w:rPr>
                <w:sz w:val="20"/>
                <w:szCs w:val="20"/>
                <w:color w:val="auto"/>
              </w:rPr>
            </w:pPr>
            <w:r>
              <w:rPr>
                <w:rFonts w:ascii="Arial" w:cs="Arial" w:eastAsia="Arial" w:hAnsi="Arial"/>
                <w:sz w:val="13"/>
                <w:szCs w:val="13"/>
                <w:color w:val="auto"/>
                <w:w w:val="99"/>
              </w:rPr>
              <w:t>109,656,646</w:t>
            </w:r>
          </w:p>
        </w:tc>
        <w:tc>
          <w:tcPr>
            <w:tcW w:w="280" w:type="dxa"/>
            <w:vAlign w:val="bottom"/>
          </w:tcPr>
          <w:p>
            <w:pPr>
              <w:spacing w:after="0"/>
              <w:rPr>
                <w:sz w:val="14"/>
                <w:szCs w:val="14"/>
                <w:color w:val="auto"/>
              </w:rPr>
            </w:pPr>
          </w:p>
        </w:tc>
        <w:tc>
          <w:tcPr>
            <w:tcW w:w="1280" w:type="dxa"/>
            <w:vAlign w:val="bottom"/>
          </w:tcPr>
          <w:p>
            <w:pPr>
              <w:jc w:val="center"/>
              <w:ind w:right="214"/>
              <w:spacing w:after="0"/>
              <w:rPr>
                <w:sz w:val="20"/>
                <w:szCs w:val="20"/>
                <w:color w:val="auto"/>
              </w:rPr>
            </w:pPr>
            <w:r>
              <w:rPr>
                <w:rFonts w:ascii="Arial" w:cs="Arial" w:eastAsia="Arial" w:hAnsi="Arial"/>
                <w:sz w:val="13"/>
                <w:szCs w:val="13"/>
                <w:color w:val="auto"/>
                <w:w w:val="99"/>
              </w:rPr>
              <w:t>110,692,426</w:t>
            </w:r>
          </w:p>
        </w:tc>
        <w:tc>
          <w:tcPr>
            <w:tcW w:w="260" w:type="dxa"/>
            <w:vAlign w:val="bottom"/>
          </w:tcPr>
          <w:p>
            <w:pPr>
              <w:spacing w:after="0"/>
              <w:rPr>
                <w:sz w:val="14"/>
                <w:szCs w:val="14"/>
                <w:color w:val="auto"/>
              </w:rPr>
            </w:pPr>
          </w:p>
        </w:tc>
        <w:tc>
          <w:tcPr>
            <w:tcW w:w="1280" w:type="dxa"/>
            <w:vAlign w:val="bottom"/>
          </w:tcPr>
          <w:p>
            <w:pPr>
              <w:jc w:val="center"/>
              <w:ind w:right="194"/>
              <w:spacing w:after="0"/>
              <w:rPr>
                <w:sz w:val="20"/>
                <w:szCs w:val="20"/>
                <w:color w:val="auto"/>
              </w:rPr>
            </w:pPr>
            <w:r>
              <w:rPr>
                <w:rFonts w:ascii="Arial" w:cs="Arial" w:eastAsia="Arial" w:hAnsi="Arial"/>
                <w:sz w:val="13"/>
                <w:szCs w:val="13"/>
                <w:color w:val="auto"/>
              </w:rPr>
              <w:t>226,649,993</w:t>
            </w:r>
          </w:p>
        </w:tc>
        <w:tc>
          <w:tcPr>
            <w:tcW w:w="280" w:type="dxa"/>
            <w:vAlign w:val="bottom"/>
          </w:tcPr>
          <w:p>
            <w:pPr>
              <w:spacing w:after="0"/>
              <w:rPr>
                <w:sz w:val="14"/>
                <w:szCs w:val="14"/>
                <w:color w:val="auto"/>
              </w:rPr>
            </w:pPr>
          </w:p>
        </w:tc>
        <w:tc>
          <w:tcPr>
            <w:tcW w:w="1280" w:type="dxa"/>
            <w:vAlign w:val="bottom"/>
          </w:tcPr>
          <w:p>
            <w:pPr>
              <w:jc w:val="center"/>
              <w:ind w:right="214"/>
              <w:spacing w:after="0"/>
              <w:rPr>
                <w:sz w:val="20"/>
                <w:szCs w:val="20"/>
                <w:color w:val="auto"/>
              </w:rPr>
            </w:pPr>
            <w:r>
              <w:rPr>
                <w:rFonts w:ascii="Arial" w:cs="Arial" w:eastAsia="Arial" w:hAnsi="Arial"/>
                <w:sz w:val="13"/>
                <w:szCs w:val="13"/>
                <w:color w:val="auto"/>
                <w:w w:val="99"/>
              </w:rPr>
              <w:t>228,637,826</w:t>
            </w:r>
          </w:p>
        </w:tc>
        <w:tc>
          <w:tcPr>
            <w:tcW w:w="260" w:type="dxa"/>
            <w:vAlign w:val="bottom"/>
          </w:tcPr>
          <w:p>
            <w:pPr>
              <w:spacing w:after="0"/>
              <w:rPr>
                <w:sz w:val="14"/>
                <w:szCs w:val="14"/>
                <w:color w:val="auto"/>
              </w:rPr>
            </w:pPr>
          </w:p>
        </w:tc>
        <w:tc>
          <w:tcPr>
            <w:tcW w:w="1240" w:type="dxa"/>
            <w:vAlign w:val="bottom"/>
          </w:tcPr>
          <w:p>
            <w:pPr>
              <w:jc w:val="right"/>
              <w:ind w:right="294"/>
              <w:spacing w:after="0"/>
              <w:rPr>
                <w:sz w:val="20"/>
                <w:szCs w:val="20"/>
                <w:color w:val="auto"/>
              </w:rPr>
            </w:pPr>
            <w:r>
              <w:rPr>
                <w:rFonts w:ascii="Arial" w:cs="Arial" w:eastAsia="Arial" w:hAnsi="Arial"/>
                <w:sz w:val="13"/>
                <w:szCs w:val="13"/>
                <w:color w:val="auto"/>
              </w:rPr>
              <w:t>169,230,177</w:t>
            </w:r>
          </w:p>
        </w:tc>
      </w:tr>
      <w:tr>
        <w:trPr>
          <w:trHeight w:val="178"/>
        </w:trPr>
        <w:tc>
          <w:tcPr>
            <w:tcW w:w="3600" w:type="dxa"/>
            <w:vAlign w:val="bottom"/>
            <w:shd w:val="clear" w:color="auto" w:fill="DBDBDB"/>
          </w:tcPr>
          <w:p>
            <w:pPr>
              <w:ind w:left="20"/>
              <w:spacing w:after="0"/>
              <w:rPr>
                <w:sz w:val="20"/>
                <w:szCs w:val="20"/>
                <w:color w:val="auto"/>
              </w:rPr>
            </w:pPr>
            <w:r>
              <w:rPr>
                <w:rFonts w:ascii="Arial" w:cs="Arial" w:eastAsia="Arial" w:hAnsi="Arial"/>
                <w:sz w:val="13"/>
                <w:szCs w:val="13"/>
                <w:color w:val="auto"/>
              </w:rPr>
              <w:t>Weighted average shares - diluted</w:t>
            </w:r>
          </w:p>
        </w:tc>
        <w:tc>
          <w:tcPr>
            <w:tcW w:w="240" w:type="dxa"/>
            <w:vAlign w:val="bottom"/>
            <w:shd w:val="clear" w:color="auto" w:fill="DBDBDB"/>
          </w:tcPr>
          <w:p>
            <w:pPr>
              <w:spacing w:after="0"/>
              <w:rPr>
                <w:sz w:val="15"/>
                <w:szCs w:val="15"/>
                <w:color w:val="auto"/>
              </w:rPr>
            </w:pPr>
          </w:p>
        </w:tc>
        <w:tc>
          <w:tcPr>
            <w:tcW w:w="1280" w:type="dxa"/>
            <w:vAlign w:val="bottom"/>
            <w:shd w:val="clear" w:color="auto" w:fill="DBDBDB"/>
          </w:tcPr>
          <w:p>
            <w:pPr>
              <w:jc w:val="center"/>
              <w:ind w:right="214"/>
              <w:spacing w:after="0"/>
              <w:rPr>
                <w:sz w:val="20"/>
                <w:szCs w:val="20"/>
                <w:color w:val="auto"/>
              </w:rPr>
            </w:pPr>
            <w:r>
              <w:rPr>
                <w:rFonts w:ascii="Arial" w:cs="Arial" w:eastAsia="Arial" w:hAnsi="Arial"/>
                <w:sz w:val="13"/>
                <w:szCs w:val="13"/>
                <w:color w:val="auto"/>
                <w:w w:val="99"/>
              </w:rPr>
              <w:t>112,672,997</w:t>
            </w:r>
          </w:p>
        </w:tc>
        <w:tc>
          <w:tcPr>
            <w:tcW w:w="280" w:type="dxa"/>
            <w:vAlign w:val="bottom"/>
            <w:shd w:val="clear" w:color="auto" w:fill="DBDBDB"/>
          </w:tcPr>
          <w:p>
            <w:pPr>
              <w:spacing w:after="0"/>
              <w:rPr>
                <w:sz w:val="15"/>
                <w:szCs w:val="15"/>
                <w:color w:val="auto"/>
              </w:rPr>
            </w:pPr>
          </w:p>
        </w:tc>
        <w:tc>
          <w:tcPr>
            <w:tcW w:w="1280" w:type="dxa"/>
            <w:vAlign w:val="bottom"/>
            <w:shd w:val="clear" w:color="auto" w:fill="DBDBDB"/>
          </w:tcPr>
          <w:p>
            <w:pPr>
              <w:jc w:val="center"/>
              <w:ind w:right="214"/>
              <w:spacing w:after="0"/>
              <w:rPr>
                <w:sz w:val="20"/>
                <w:szCs w:val="20"/>
                <w:color w:val="auto"/>
              </w:rPr>
            </w:pPr>
            <w:r>
              <w:rPr>
                <w:rFonts w:ascii="Arial" w:cs="Arial" w:eastAsia="Arial" w:hAnsi="Arial"/>
                <w:sz w:val="13"/>
                <w:szCs w:val="13"/>
                <w:color w:val="auto"/>
                <w:w w:val="99"/>
              </w:rPr>
              <w:t>110,692,426</w:t>
            </w:r>
          </w:p>
        </w:tc>
        <w:tc>
          <w:tcPr>
            <w:tcW w:w="260" w:type="dxa"/>
            <w:vAlign w:val="bottom"/>
            <w:shd w:val="clear" w:color="auto" w:fill="DBDBDB"/>
          </w:tcPr>
          <w:p>
            <w:pPr>
              <w:spacing w:after="0"/>
              <w:rPr>
                <w:sz w:val="15"/>
                <w:szCs w:val="15"/>
                <w:color w:val="auto"/>
              </w:rPr>
            </w:pPr>
          </w:p>
        </w:tc>
        <w:tc>
          <w:tcPr>
            <w:tcW w:w="1280" w:type="dxa"/>
            <w:vAlign w:val="bottom"/>
            <w:shd w:val="clear" w:color="auto" w:fill="DBDBDB"/>
          </w:tcPr>
          <w:p>
            <w:pPr>
              <w:jc w:val="center"/>
              <w:ind w:right="194"/>
              <w:spacing w:after="0"/>
              <w:rPr>
                <w:sz w:val="20"/>
                <w:szCs w:val="20"/>
                <w:color w:val="auto"/>
              </w:rPr>
            </w:pPr>
            <w:r>
              <w:rPr>
                <w:rFonts w:ascii="Arial" w:cs="Arial" w:eastAsia="Arial" w:hAnsi="Arial"/>
                <w:sz w:val="13"/>
                <w:szCs w:val="13"/>
                <w:color w:val="auto"/>
              </w:rPr>
              <w:t>226,649,993</w:t>
            </w:r>
          </w:p>
        </w:tc>
        <w:tc>
          <w:tcPr>
            <w:tcW w:w="280" w:type="dxa"/>
            <w:vAlign w:val="bottom"/>
            <w:shd w:val="clear" w:color="auto" w:fill="DBDBDB"/>
          </w:tcPr>
          <w:p>
            <w:pPr>
              <w:spacing w:after="0"/>
              <w:rPr>
                <w:sz w:val="15"/>
                <w:szCs w:val="15"/>
                <w:color w:val="auto"/>
              </w:rPr>
            </w:pPr>
          </w:p>
        </w:tc>
        <w:tc>
          <w:tcPr>
            <w:tcW w:w="1280" w:type="dxa"/>
            <w:vAlign w:val="bottom"/>
            <w:shd w:val="clear" w:color="auto" w:fill="DBDBDB"/>
          </w:tcPr>
          <w:p>
            <w:pPr>
              <w:jc w:val="center"/>
              <w:ind w:right="214"/>
              <w:spacing w:after="0"/>
              <w:rPr>
                <w:sz w:val="20"/>
                <w:szCs w:val="20"/>
                <w:color w:val="auto"/>
              </w:rPr>
            </w:pPr>
            <w:r>
              <w:rPr>
                <w:rFonts w:ascii="Arial" w:cs="Arial" w:eastAsia="Arial" w:hAnsi="Arial"/>
                <w:sz w:val="13"/>
                <w:szCs w:val="13"/>
                <w:color w:val="auto"/>
                <w:w w:val="99"/>
              </w:rPr>
              <w:t>233,625,946</w:t>
            </w:r>
          </w:p>
        </w:tc>
        <w:tc>
          <w:tcPr>
            <w:tcW w:w="260" w:type="dxa"/>
            <w:vAlign w:val="bottom"/>
            <w:shd w:val="clear" w:color="auto" w:fill="DBDBDB"/>
          </w:tcPr>
          <w:p>
            <w:pPr>
              <w:spacing w:after="0"/>
              <w:rPr>
                <w:sz w:val="15"/>
                <w:szCs w:val="15"/>
                <w:color w:val="auto"/>
              </w:rPr>
            </w:pPr>
          </w:p>
        </w:tc>
        <w:tc>
          <w:tcPr>
            <w:tcW w:w="1240" w:type="dxa"/>
            <w:vAlign w:val="bottom"/>
            <w:shd w:val="clear" w:color="auto" w:fill="DBDBDB"/>
          </w:tcPr>
          <w:p>
            <w:pPr>
              <w:jc w:val="right"/>
              <w:ind w:right="294"/>
              <w:spacing w:after="0"/>
              <w:rPr>
                <w:sz w:val="20"/>
                <w:szCs w:val="20"/>
                <w:color w:val="auto"/>
              </w:rPr>
            </w:pPr>
            <w:r>
              <w:rPr>
                <w:rFonts w:ascii="Arial" w:cs="Arial" w:eastAsia="Arial" w:hAnsi="Arial"/>
                <w:sz w:val="13"/>
                <w:szCs w:val="13"/>
                <w:color w:val="auto"/>
              </w:rPr>
              <w:t>177,268,383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07" w:right="319" w:bottom="1440" w:gutter="0" w:footer="0" w:header="0"/>
        </w:sectPr>
      </w:pPr>
    </w:p>
    <w:bookmarkStart w:id="45" w:name="page46"/>
    <w:bookmarkEnd w:id="45"/>
    <w:p>
      <w:pPr>
        <w:spacing w:after="0"/>
        <w:rPr>
          <w:sz w:val="20"/>
          <w:szCs w:val="20"/>
          <w:color w:val="auto"/>
        </w:rPr>
      </w:pPr>
      <w:r>
        <w:rPr>
          <w:rFonts w:ascii="Arial" w:cs="Arial" w:eastAsia="Arial" w:hAnsi="Arial"/>
          <w:sz w:val="15"/>
          <w:szCs w:val="15"/>
          <w:b w:val="1"/>
          <w:bCs w:val="1"/>
          <w:color w:val="auto"/>
        </w:rPr>
        <w:t>Quarterly Consolidated Results for the Year Ended December 31, 2019</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60" w:type="dxa"/>
            <w:vAlign w:val="bottom"/>
            <w:shd w:val="clear" w:color="auto" w:fill="1D2758"/>
          </w:tcPr>
          <w:p>
            <w:pPr>
              <w:ind w:left="20"/>
              <w:spacing w:after="0"/>
              <w:rPr>
                <w:sz w:val="20"/>
                <w:szCs w:val="20"/>
                <w:color w:val="auto"/>
              </w:rPr>
            </w:pPr>
            <w:r>
              <w:rPr>
                <w:rFonts w:ascii="Arial" w:cs="Arial" w:eastAsia="Arial" w:hAnsi="Arial"/>
                <w:sz w:val="12"/>
                <w:szCs w:val="12"/>
                <w:b w:val="1"/>
                <w:bCs w:val="1"/>
                <w:i w:val="1"/>
                <w:iCs w:val="1"/>
                <w:color w:val="FFFFFF"/>
                <w:w w:val="98"/>
              </w:rPr>
              <w:t>(in thousands, except for units on rent and monthly rental rate)</w:t>
            </w:r>
          </w:p>
        </w:tc>
        <w:tc>
          <w:tcPr>
            <w:tcW w:w="280" w:type="dxa"/>
            <w:vAlign w:val="bottom"/>
            <w:shd w:val="clear" w:color="auto" w:fill="1D2758"/>
          </w:tcPr>
          <w:p>
            <w:pPr>
              <w:spacing w:after="0"/>
              <w:rPr>
                <w:sz w:val="15"/>
                <w:szCs w:val="15"/>
                <w:color w:val="auto"/>
              </w:rPr>
            </w:pPr>
          </w:p>
        </w:tc>
        <w:tc>
          <w:tcPr>
            <w:tcW w:w="1280" w:type="dxa"/>
            <w:vAlign w:val="bottom"/>
            <w:shd w:val="clear" w:color="auto" w:fill="1D2758"/>
          </w:tcPr>
          <w:p>
            <w:pPr>
              <w:jc w:val="center"/>
              <w:ind w:right="194"/>
              <w:spacing w:after="0"/>
              <w:rPr>
                <w:sz w:val="20"/>
                <w:szCs w:val="20"/>
                <w:color w:val="auto"/>
              </w:rPr>
            </w:pPr>
            <w:r>
              <w:rPr>
                <w:rFonts w:ascii="Arial" w:cs="Arial" w:eastAsia="Arial" w:hAnsi="Arial"/>
                <w:sz w:val="13"/>
                <w:szCs w:val="13"/>
                <w:b w:val="1"/>
                <w:bCs w:val="1"/>
                <w:color w:val="FFFFFF"/>
              </w:rPr>
              <w:t>Q1</w:t>
            </w:r>
          </w:p>
        </w:tc>
        <w:tc>
          <w:tcPr>
            <w:tcW w:w="280" w:type="dxa"/>
            <w:vAlign w:val="bottom"/>
            <w:shd w:val="clear" w:color="auto" w:fill="1D2758"/>
          </w:tcPr>
          <w:p>
            <w:pPr>
              <w:spacing w:after="0"/>
              <w:rPr>
                <w:sz w:val="15"/>
                <w:szCs w:val="15"/>
                <w:color w:val="auto"/>
              </w:rPr>
            </w:pPr>
          </w:p>
        </w:tc>
        <w:tc>
          <w:tcPr>
            <w:tcW w:w="1280" w:type="dxa"/>
            <w:vAlign w:val="bottom"/>
            <w:shd w:val="clear" w:color="auto" w:fill="1D2758"/>
          </w:tcPr>
          <w:p>
            <w:pPr>
              <w:jc w:val="center"/>
              <w:ind w:right="234"/>
              <w:spacing w:after="0"/>
              <w:rPr>
                <w:sz w:val="20"/>
                <w:szCs w:val="20"/>
                <w:color w:val="auto"/>
              </w:rPr>
            </w:pPr>
            <w:r>
              <w:rPr>
                <w:rFonts w:ascii="Arial" w:cs="Arial" w:eastAsia="Arial" w:hAnsi="Arial"/>
                <w:sz w:val="13"/>
                <w:szCs w:val="13"/>
                <w:b w:val="1"/>
                <w:bCs w:val="1"/>
                <w:color w:val="FFFFFF"/>
              </w:rPr>
              <w:t>Q2</w:t>
            </w:r>
          </w:p>
        </w:tc>
        <w:tc>
          <w:tcPr>
            <w:tcW w:w="260" w:type="dxa"/>
            <w:vAlign w:val="bottom"/>
            <w:shd w:val="clear" w:color="auto" w:fill="1D2758"/>
          </w:tcPr>
          <w:p>
            <w:pPr>
              <w:spacing w:after="0"/>
              <w:rPr>
                <w:sz w:val="15"/>
                <w:szCs w:val="15"/>
                <w:color w:val="auto"/>
              </w:rPr>
            </w:pPr>
          </w:p>
        </w:tc>
        <w:tc>
          <w:tcPr>
            <w:tcW w:w="1280" w:type="dxa"/>
            <w:vAlign w:val="bottom"/>
            <w:shd w:val="clear" w:color="auto" w:fill="1D2758"/>
          </w:tcPr>
          <w:p>
            <w:pPr>
              <w:jc w:val="center"/>
              <w:ind w:right="194"/>
              <w:spacing w:after="0"/>
              <w:rPr>
                <w:sz w:val="20"/>
                <w:szCs w:val="20"/>
                <w:color w:val="auto"/>
              </w:rPr>
            </w:pPr>
            <w:r>
              <w:rPr>
                <w:rFonts w:ascii="Arial" w:cs="Arial" w:eastAsia="Arial" w:hAnsi="Arial"/>
                <w:sz w:val="13"/>
                <w:szCs w:val="13"/>
                <w:b w:val="1"/>
                <w:bCs w:val="1"/>
                <w:color w:val="FFFFFF"/>
              </w:rPr>
              <w:t>Q3</w:t>
            </w:r>
          </w:p>
        </w:tc>
        <w:tc>
          <w:tcPr>
            <w:tcW w:w="280" w:type="dxa"/>
            <w:vAlign w:val="bottom"/>
            <w:shd w:val="clear" w:color="auto" w:fill="1D2758"/>
          </w:tcPr>
          <w:p>
            <w:pPr>
              <w:spacing w:after="0"/>
              <w:rPr>
                <w:sz w:val="15"/>
                <w:szCs w:val="15"/>
                <w:color w:val="auto"/>
              </w:rPr>
            </w:pPr>
          </w:p>
        </w:tc>
        <w:tc>
          <w:tcPr>
            <w:tcW w:w="1280" w:type="dxa"/>
            <w:vAlign w:val="bottom"/>
            <w:shd w:val="clear" w:color="auto" w:fill="1D2758"/>
          </w:tcPr>
          <w:p>
            <w:pPr>
              <w:jc w:val="center"/>
              <w:ind w:right="214"/>
              <w:spacing w:after="0"/>
              <w:rPr>
                <w:sz w:val="20"/>
                <w:szCs w:val="20"/>
                <w:color w:val="auto"/>
              </w:rPr>
            </w:pPr>
            <w:r>
              <w:rPr>
                <w:rFonts w:ascii="Arial" w:cs="Arial" w:eastAsia="Arial" w:hAnsi="Arial"/>
                <w:sz w:val="13"/>
                <w:szCs w:val="13"/>
                <w:b w:val="1"/>
                <w:bCs w:val="1"/>
                <w:color w:val="FFFFFF"/>
                <w:w w:val="91"/>
              </w:rPr>
              <w:t>Q4</w:t>
            </w:r>
          </w:p>
        </w:tc>
        <w:tc>
          <w:tcPr>
            <w:tcW w:w="260" w:type="dxa"/>
            <w:vAlign w:val="bottom"/>
            <w:shd w:val="clear" w:color="auto" w:fill="1D2758"/>
          </w:tcPr>
          <w:p>
            <w:pPr>
              <w:spacing w:after="0"/>
              <w:rPr>
                <w:sz w:val="15"/>
                <w:szCs w:val="15"/>
                <w:color w:val="auto"/>
              </w:rPr>
            </w:pPr>
          </w:p>
        </w:tc>
        <w:tc>
          <w:tcPr>
            <w:tcW w:w="1240" w:type="dxa"/>
            <w:vAlign w:val="bottom"/>
            <w:shd w:val="clear" w:color="auto" w:fill="1D2758"/>
          </w:tcPr>
          <w:p>
            <w:pPr>
              <w:jc w:val="right"/>
              <w:ind w:right="394"/>
              <w:spacing w:after="0"/>
              <w:rPr>
                <w:sz w:val="20"/>
                <w:szCs w:val="20"/>
                <w:color w:val="auto"/>
              </w:rPr>
            </w:pPr>
            <w:r>
              <w:rPr>
                <w:rFonts w:ascii="Arial" w:cs="Arial" w:eastAsia="Arial" w:hAnsi="Arial"/>
                <w:sz w:val="13"/>
                <w:szCs w:val="13"/>
                <w:b w:val="1"/>
                <w:bCs w:val="1"/>
                <w:color w:val="FFFFFF"/>
              </w:rPr>
              <w:t>Full Year</w:t>
            </w:r>
          </w:p>
        </w:tc>
      </w:tr>
      <w:tr>
        <w:trPr>
          <w:trHeight w:val="175"/>
        </w:trPr>
        <w:tc>
          <w:tcPr>
            <w:tcW w:w="3560" w:type="dxa"/>
            <w:vAlign w:val="bottom"/>
            <w:shd w:val="clear" w:color="auto" w:fill="DBDBDB"/>
          </w:tcPr>
          <w:p>
            <w:pPr>
              <w:ind w:left="20"/>
              <w:spacing w:after="0"/>
              <w:rPr>
                <w:sz w:val="20"/>
                <w:szCs w:val="20"/>
                <w:color w:val="auto"/>
              </w:rPr>
            </w:pPr>
            <w:r>
              <w:rPr>
                <w:rFonts w:ascii="Arial" w:cs="Arial" w:eastAsia="Arial" w:hAnsi="Arial"/>
                <w:sz w:val="13"/>
                <w:szCs w:val="13"/>
                <w:color w:val="auto"/>
              </w:rPr>
              <w:t>Revenue</w:t>
            </w:r>
          </w:p>
        </w:tc>
        <w:tc>
          <w:tcPr>
            <w:tcW w:w="28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253,685</w:t>
            </w:r>
          </w:p>
        </w:tc>
        <w:tc>
          <w:tcPr>
            <w:tcW w:w="28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263,713</w:t>
            </w:r>
          </w:p>
        </w:tc>
        <w:tc>
          <w:tcPr>
            <w:tcW w:w="26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268,222</w:t>
            </w:r>
          </w:p>
        </w:tc>
        <w:tc>
          <w:tcPr>
            <w:tcW w:w="28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278,045</w:t>
            </w:r>
          </w:p>
        </w:tc>
        <w:tc>
          <w:tcPr>
            <w:tcW w:w="26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1,063,655</w:t>
            </w:r>
          </w:p>
        </w:tc>
      </w:tr>
      <w:tr>
        <w:trPr>
          <w:trHeight w:val="172"/>
        </w:trPr>
        <w:tc>
          <w:tcPr>
            <w:tcW w:w="3560" w:type="dxa"/>
            <w:vAlign w:val="bottom"/>
          </w:tcPr>
          <w:p>
            <w:pPr>
              <w:ind w:left="20"/>
              <w:spacing w:after="0"/>
              <w:rPr>
                <w:sz w:val="20"/>
                <w:szCs w:val="20"/>
                <w:color w:val="auto"/>
              </w:rPr>
            </w:pPr>
            <w:r>
              <w:rPr>
                <w:rFonts w:ascii="Arial" w:cs="Arial" w:eastAsia="Arial" w:hAnsi="Arial"/>
                <w:sz w:val="13"/>
                <w:szCs w:val="13"/>
                <w:color w:val="auto"/>
              </w:rPr>
              <w:t>Gross profit</w:t>
            </w: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54"/>
              <w:spacing w:after="0"/>
              <w:rPr>
                <w:sz w:val="20"/>
                <w:szCs w:val="20"/>
                <w:color w:val="auto"/>
              </w:rPr>
            </w:pPr>
            <w:r>
              <w:rPr>
                <w:rFonts w:ascii="Arial" w:cs="Arial" w:eastAsia="Arial" w:hAnsi="Arial"/>
                <w:sz w:val="13"/>
                <w:szCs w:val="13"/>
                <w:color w:val="auto"/>
              </w:rPr>
              <w:t>103,331</w:t>
            </w: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54"/>
              <w:spacing w:after="0"/>
              <w:rPr>
                <w:sz w:val="20"/>
                <w:szCs w:val="20"/>
                <w:color w:val="auto"/>
              </w:rPr>
            </w:pPr>
            <w:r>
              <w:rPr>
                <w:rFonts w:ascii="Arial" w:cs="Arial" w:eastAsia="Arial" w:hAnsi="Arial"/>
                <w:sz w:val="13"/>
                <w:szCs w:val="13"/>
                <w:color w:val="auto"/>
              </w:rPr>
              <w:t>101,484</w:t>
            </w:r>
          </w:p>
        </w:tc>
        <w:tc>
          <w:tcPr>
            <w:tcW w:w="2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34"/>
              <w:spacing w:after="0"/>
              <w:rPr>
                <w:sz w:val="20"/>
                <w:szCs w:val="20"/>
                <w:color w:val="auto"/>
              </w:rPr>
            </w:pPr>
            <w:r>
              <w:rPr>
                <w:rFonts w:ascii="Arial" w:cs="Arial" w:eastAsia="Arial" w:hAnsi="Arial"/>
                <w:sz w:val="13"/>
                <w:szCs w:val="13"/>
                <w:color w:val="auto"/>
              </w:rPr>
              <w:t>99,308</w:t>
            </w: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54"/>
              <w:spacing w:after="0"/>
              <w:rPr>
                <w:sz w:val="20"/>
                <w:szCs w:val="20"/>
                <w:color w:val="auto"/>
              </w:rPr>
            </w:pPr>
            <w:r>
              <w:rPr>
                <w:rFonts w:ascii="Arial" w:cs="Arial" w:eastAsia="Arial" w:hAnsi="Arial"/>
                <w:sz w:val="13"/>
                <w:szCs w:val="13"/>
                <w:color w:val="auto"/>
              </w:rPr>
              <w:t>109,190</w:t>
            </w:r>
          </w:p>
        </w:tc>
        <w:tc>
          <w:tcPr>
            <w:tcW w:w="2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94"/>
              <w:spacing w:after="0"/>
              <w:rPr>
                <w:sz w:val="20"/>
                <w:szCs w:val="20"/>
                <w:color w:val="auto"/>
              </w:rPr>
            </w:pPr>
            <w:r>
              <w:rPr>
                <w:rFonts w:ascii="Arial" w:cs="Arial" w:eastAsia="Arial" w:hAnsi="Arial"/>
                <w:sz w:val="13"/>
                <w:szCs w:val="13"/>
                <w:color w:val="auto"/>
              </w:rPr>
              <w:t>413,313</w:t>
            </w:r>
          </w:p>
        </w:tc>
      </w:tr>
      <w:tr>
        <w:trPr>
          <w:trHeight w:val="178"/>
        </w:trPr>
        <w:tc>
          <w:tcPr>
            <w:tcW w:w="3560" w:type="dxa"/>
            <w:vAlign w:val="bottom"/>
            <w:shd w:val="clear" w:color="auto" w:fill="DBDBDB"/>
          </w:tcPr>
          <w:p>
            <w:pPr>
              <w:ind w:left="20"/>
              <w:spacing w:after="0"/>
              <w:rPr>
                <w:sz w:val="20"/>
                <w:szCs w:val="20"/>
                <w:color w:val="auto"/>
              </w:rPr>
            </w:pPr>
            <w:r>
              <w:rPr>
                <w:rFonts w:ascii="Arial" w:cs="Arial" w:eastAsia="Arial" w:hAnsi="Arial"/>
                <w:sz w:val="13"/>
                <w:szCs w:val="13"/>
                <w:color w:val="auto"/>
              </w:rPr>
              <w:t>Adjusted EBITDA</w:t>
            </w:r>
          </w:p>
        </w:tc>
        <w:tc>
          <w:tcPr>
            <w:tcW w:w="28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83,354</w:t>
            </w:r>
          </w:p>
        </w:tc>
        <w:tc>
          <w:tcPr>
            <w:tcW w:w="28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87,554</w:t>
            </w:r>
          </w:p>
        </w:tc>
        <w:tc>
          <w:tcPr>
            <w:tcW w:w="26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87,424</w:t>
            </w:r>
          </w:p>
        </w:tc>
        <w:tc>
          <w:tcPr>
            <w:tcW w:w="28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98,216</w:t>
            </w:r>
          </w:p>
        </w:tc>
        <w:tc>
          <w:tcPr>
            <w:tcW w:w="26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356,548</w:t>
            </w:r>
          </w:p>
        </w:tc>
      </w:tr>
      <w:tr>
        <w:trPr>
          <w:trHeight w:val="172"/>
        </w:trPr>
        <w:tc>
          <w:tcPr>
            <w:tcW w:w="3560" w:type="dxa"/>
            <w:vAlign w:val="bottom"/>
          </w:tcPr>
          <w:p>
            <w:pPr>
              <w:ind w:left="20"/>
              <w:spacing w:after="0"/>
              <w:rPr>
                <w:sz w:val="20"/>
                <w:szCs w:val="20"/>
                <w:color w:val="auto"/>
              </w:rPr>
            </w:pPr>
            <w:r>
              <w:rPr>
                <w:rFonts w:ascii="Arial" w:cs="Arial" w:eastAsia="Arial" w:hAnsi="Arial"/>
                <w:sz w:val="13"/>
                <w:szCs w:val="13"/>
                <w:color w:val="auto"/>
              </w:rPr>
              <w:t>Net loss</w:t>
            </w: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14"/>
              <w:spacing w:after="0"/>
              <w:rPr>
                <w:sz w:val="20"/>
                <w:szCs w:val="20"/>
                <w:color w:val="auto"/>
              </w:rPr>
            </w:pPr>
            <w:r>
              <w:rPr>
                <w:rFonts w:ascii="Arial" w:cs="Arial" w:eastAsia="Arial" w:hAnsi="Arial"/>
                <w:sz w:val="13"/>
                <w:szCs w:val="13"/>
                <w:color w:val="auto"/>
              </w:rPr>
              <w:t>(27,574)</w:t>
            </w: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14"/>
              <w:spacing w:after="0"/>
              <w:rPr>
                <w:sz w:val="20"/>
                <w:szCs w:val="20"/>
                <w:color w:val="auto"/>
              </w:rPr>
            </w:pPr>
            <w:r>
              <w:rPr>
                <w:rFonts w:ascii="Arial" w:cs="Arial" w:eastAsia="Arial" w:hAnsi="Arial"/>
                <w:sz w:val="13"/>
                <w:szCs w:val="13"/>
                <w:color w:val="auto"/>
              </w:rPr>
              <w:t>(56,836)</w:t>
            </w:r>
          </w:p>
        </w:tc>
        <w:tc>
          <w:tcPr>
            <w:tcW w:w="2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14"/>
              <w:spacing w:after="0"/>
              <w:rPr>
                <w:sz w:val="20"/>
                <w:szCs w:val="20"/>
                <w:color w:val="auto"/>
              </w:rPr>
            </w:pPr>
            <w:r>
              <w:rPr>
                <w:rFonts w:ascii="Arial" w:cs="Arial" w:eastAsia="Arial" w:hAnsi="Arial"/>
                <w:sz w:val="13"/>
                <w:szCs w:val="13"/>
                <w:color w:val="auto"/>
              </w:rPr>
              <w:t>(1,197)</w:t>
            </w: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14"/>
              <w:spacing w:after="0"/>
              <w:rPr>
                <w:sz w:val="20"/>
                <w:szCs w:val="20"/>
                <w:color w:val="auto"/>
              </w:rPr>
            </w:pPr>
            <w:r>
              <w:rPr>
                <w:rFonts w:ascii="Arial" w:cs="Arial" w:eastAsia="Arial" w:hAnsi="Arial"/>
                <w:sz w:val="13"/>
                <w:szCs w:val="13"/>
                <w:color w:val="auto"/>
              </w:rPr>
              <w:t>(35,558)</w:t>
            </w:r>
          </w:p>
        </w:tc>
        <w:tc>
          <w:tcPr>
            <w:tcW w:w="2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74"/>
              <w:spacing w:after="0"/>
              <w:rPr>
                <w:sz w:val="20"/>
                <w:szCs w:val="20"/>
                <w:color w:val="auto"/>
              </w:rPr>
            </w:pPr>
            <w:r>
              <w:rPr>
                <w:rFonts w:ascii="Arial" w:cs="Arial" w:eastAsia="Arial" w:hAnsi="Arial"/>
                <w:sz w:val="13"/>
                <w:szCs w:val="13"/>
                <w:color w:val="auto"/>
              </w:rPr>
              <w:t>(121,165)</w:t>
            </w:r>
          </w:p>
        </w:tc>
      </w:tr>
      <w:tr>
        <w:trPr>
          <w:trHeight w:val="178"/>
        </w:trPr>
        <w:tc>
          <w:tcPr>
            <w:tcW w:w="3560" w:type="dxa"/>
            <w:vAlign w:val="bottom"/>
            <w:shd w:val="clear" w:color="auto" w:fill="DBDBDB"/>
          </w:tcPr>
          <w:p>
            <w:pPr>
              <w:ind w:left="20"/>
              <w:spacing w:after="0"/>
              <w:rPr>
                <w:sz w:val="20"/>
                <w:szCs w:val="20"/>
                <w:color w:val="auto"/>
              </w:rPr>
            </w:pPr>
            <w:r>
              <w:rPr>
                <w:rFonts w:ascii="Arial" w:cs="Arial" w:eastAsia="Arial" w:hAnsi="Arial"/>
                <w:sz w:val="13"/>
                <w:szCs w:val="13"/>
                <w:color w:val="auto"/>
              </w:rPr>
              <w:t>Net loss attributable to Willscot Mobile Mini</w:t>
            </w:r>
          </w:p>
        </w:tc>
        <w:tc>
          <w:tcPr>
            <w:tcW w:w="28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14"/>
              <w:spacing w:after="0"/>
              <w:rPr>
                <w:sz w:val="20"/>
                <w:szCs w:val="20"/>
                <w:color w:val="auto"/>
              </w:rPr>
            </w:pPr>
            <w:r>
              <w:rPr>
                <w:rFonts w:ascii="Arial" w:cs="Arial" w:eastAsia="Arial" w:hAnsi="Arial"/>
                <w:sz w:val="13"/>
                <w:szCs w:val="13"/>
                <w:color w:val="auto"/>
              </w:rPr>
              <w:t>(26,816)</w:t>
            </w:r>
          </w:p>
        </w:tc>
        <w:tc>
          <w:tcPr>
            <w:tcW w:w="28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14"/>
              <w:spacing w:after="0"/>
              <w:rPr>
                <w:sz w:val="20"/>
                <w:szCs w:val="20"/>
                <w:color w:val="auto"/>
              </w:rPr>
            </w:pPr>
            <w:r>
              <w:rPr>
                <w:rFonts w:ascii="Arial" w:cs="Arial" w:eastAsia="Arial" w:hAnsi="Arial"/>
                <w:sz w:val="13"/>
                <w:szCs w:val="13"/>
                <w:color w:val="auto"/>
              </w:rPr>
              <w:t>(56,004)</w:t>
            </w:r>
          </w:p>
        </w:tc>
        <w:tc>
          <w:tcPr>
            <w:tcW w:w="26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14"/>
              <w:spacing w:after="0"/>
              <w:rPr>
                <w:sz w:val="20"/>
                <w:szCs w:val="20"/>
                <w:color w:val="auto"/>
              </w:rPr>
            </w:pPr>
            <w:r>
              <w:rPr>
                <w:rFonts w:ascii="Arial" w:cs="Arial" w:eastAsia="Arial" w:hAnsi="Arial"/>
                <w:sz w:val="13"/>
                <w:szCs w:val="13"/>
                <w:color w:val="auto"/>
              </w:rPr>
              <w:t>(1,492)</w:t>
            </w:r>
          </w:p>
        </w:tc>
        <w:tc>
          <w:tcPr>
            <w:tcW w:w="28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14"/>
              <w:spacing w:after="0"/>
              <w:rPr>
                <w:sz w:val="20"/>
                <w:szCs w:val="20"/>
                <w:color w:val="auto"/>
              </w:rPr>
            </w:pPr>
            <w:r>
              <w:rPr>
                <w:rFonts w:ascii="Arial" w:cs="Arial" w:eastAsia="Arial" w:hAnsi="Arial"/>
                <w:sz w:val="13"/>
                <w:szCs w:val="13"/>
                <w:color w:val="auto"/>
              </w:rPr>
              <w:t>(36,432)</w:t>
            </w:r>
          </w:p>
        </w:tc>
        <w:tc>
          <w:tcPr>
            <w:tcW w:w="26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4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(120,744)</w:t>
            </w:r>
          </w:p>
        </w:tc>
      </w:tr>
      <w:tr>
        <w:trPr>
          <w:trHeight w:val="172"/>
        </w:trPr>
        <w:tc>
          <w:tcPr>
            <w:tcW w:w="3560" w:type="dxa"/>
            <w:vAlign w:val="bottom"/>
          </w:tcPr>
          <w:p>
            <w:pPr>
              <w:ind w:left="20"/>
              <w:spacing w:after="0"/>
              <w:rPr>
                <w:sz w:val="20"/>
                <w:szCs w:val="20"/>
                <w:color w:val="auto"/>
              </w:rPr>
            </w:pPr>
            <w:r>
              <w:rPr>
                <w:rFonts w:ascii="Arial" w:cs="Arial" w:eastAsia="Arial" w:hAnsi="Arial"/>
                <w:sz w:val="13"/>
                <w:szCs w:val="13"/>
                <w:color w:val="auto"/>
              </w:rPr>
              <w:t>Net CAPEX</w:t>
            </w: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54"/>
              <w:spacing w:after="0"/>
              <w:rPr>
                <w:sz w:val="20"/>
                <w:szCs w:val="20"/>
                <w:color w:val="auto"/>
              </w:rPr>
            </w:pPr>
            <w:r>
              <w:rPr>
                <w:rFonts w:ascii="Arial" w:cs="Arial" w:eastAsia="Arial" w:hAnsi="Arial"/>
                <w:sz w:val="13"/>
                <w:szCs w:val="13"/>
                <w:color w:val="auto"/>
              </w:rPr>
              <w:t>41,814</w:t>
            </w: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54"/>
              <w:spacing w:after="0"/>
              <w:rPr>
                <w:sz w:val="20"/>
                <w:szCs w:val="20"/>
                <w:color w:val="auto"/>
              </w:rPr>
            </w:pPr>
            <w:r>
              <w:rPr>
                <w:rFonts w:ascii="Arial" w:cs="Arial" w:eastAsia="Arial" w:hAnsi="Arial"/>
                <w:sz w:val="13"/>
                <w:szCs w:val="13"/>
                <w:color w:val="auto"/>
              </w:rPr>
              <w:t>43,199</w:t>
            </w:r>
          </w:p>
        </w:tc>
        <w:tc>
          <w:tcPr>
            <w:tcW w:w="2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34"/>
              <w:spacing w:after="0"/>
              <w:rPr>
                <w:sz w:val="20"/>
                <w:szCs w:val="20"/>
                <w:color w:val="auto"/>
              </w:rPr>
            </w:pPr>
            <w:r>
              <w:rPr>
                <w:rFonts w:ascii="Arial" w:cs="Arial" w:eastAsia="Arial" w:hAnsi="Arial"/>
                <w:sz w:val="13"/>
                <w:szCs w:val="13"/>
                <w:color w:val="auto"/>
              </w:rPr>
              <w:t>37,761</w:t>
            </w: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54"/>
              <w:spacing w:after="0"/>
              <w:rPr>
                <w:sz w:val="20"/>
                <w:szCs w:val="20"/>
                <w:color w:val="auto"/>
              </w:rPr>
            </w:pPr>
            <w:r>
              <w:rPr>
                <w:rFonts w:ascii="Arial" w:cs="Arial" w:eastAsia="Arial" w:hAnsi="Arial"/>
                <w:sz w:val="13"/>
                <w:szCs w:val="13"/>
                <w:color w:val="auto"/>
              </w:rPr>
              <w:t>29,808</w:t>
            </w:r>
          </w:p>
        </w:tc>
        <w:tc>
          <w:tcPr>
            <w:tcW w:w="2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94"/>
              <w:spacing w:after="0"/>
              <w:rPr>
                <w:sz w:val="20"/>
                <w:szCs w:val="20"/>
                <w:color w:val="auto"/>
              </w:rPr>
            </w:pPr>
            <w:r>
              <w:rPr>
                <w:rFonts w:ascii="Arial" w:cs="Arial" w:eastAsia="Arial" w:hAnsi="Arial"/>
                <w:sz w:val="13"/>
                <w:szCs w:val="13"/>
                <w:color w:val="auto"/>
              </w:rPr>
              <w:t>152,582</w:t>
            </w:r>
          </w:p>
        </w:tc>
      </w:tr>
      <w:tr>
        <w:trPr>
          <w:trHeight w:val="178"/>
        </w:trPr>
        <w:tc>
          <w:tcPr>
            <w:tcW w:w="3560" w:type="dxa"/>
            <w:vAlign w:val="bottom"/>
            <w:shd w:val="clear" w:color="auto" w:fill="DBDBDB"/>
          </w:tcPr>
          <w:p>
            <w:pPr>
              <w:ind w:left="20"/>
              <w:spacing w:after="0"/>
              <w:rPr>
                <w:sz w:val="20"/>
                <w:szCs w:val="20"/>
                <w:color w:val="auto"/>
              </w:rPr>
            </w:pPr>
            <w:r>
              <w:rPr>
                <w:rFonts w:ascii="Arial" w:cs="Arial" w:eastAsia="Arial" w:hAnsi="Arial"/>
                <w:sz w:val="13"/>
                <w:szCs w:val="13"/>
                <w:color w:val="auto"/>
              </w:rPr>
              <w:t>Modular space units on rent (average during the period)</w:t>
            </w:r>
          </w:p>
        </w:tc>
        <w:tc>
          <w:tcPr>
            <w:tcW w:w="280" w:type="dxa"/>
            <w:vAlign w:val="bottom"/>
            <w:shd w:val="clear" w:color="auto" w:fill="DBDBDB"/>
          </w:tcPr>
          <w:p>
            <w:pPr>
              <w:spacing w:after="0"/>
              <w:rPr>
                <w:sz w:val="15"/>
                <w:szCs w:val="15"/>
                <w:color w:val="auto"/>
              </w:rPr>
            </w:pPr>
          </w:p>
        </w:tc>
        <w:tc>
          <w:tcPr>
            <w:tcW w:w="128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93,309</w:t>
            </w:r>
          </w:p>
        </w:tc>
        <w:tc>
          <w:tcPr>
            <w:tcW w:w="280" w:type="dxa"/>
            <w:vAlign w:val="bottom"/>
            <w:shd w:val="clear" w:color="auto" w:fill="DBDBDB"/>
          </w:tcPr>
          <w:p>
            <w:pPr>
              <w:spacing w:after="0"/>
              <w:rPr>
                <w:sz w:val="15"/>
                <w:szCs w:val="15"/>
                <w:color w:val="auto"/>
              </w:rPr>
            </w:pPr>
          </w:p>
        </w:tc>
        <w:tc>
          <w:tcPr>
            <w:tcW w:w="128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92,300</w:t>
            </w:r>
          </w:p>
        </w:tc>
        <w:tc>
          <w:tcPr>
            <w:tcW w:w="260" w:type="dxa"/>
            <w:vAlign w:val="bottom"/>
            <w:shd w:val="clear" w:color="auto" w:fill="DBDBDB"/>
          </w:tcPr>
          <w:p>
            <w:pPr>
              <w:spacing w:after="0"/>
              <w:rPr>
                <w:sz w:val="15"/>
                <w:szCs w:val="15"/>
                <w:color w:val="auto"/>
              </w:rPr>
            </w:pPr>
          </w:p>
        </w:tc>
        <w:tc>
          <w:tcPr>
            <w:tcW w:w="128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91,233</w:t>
            </w:r>
          </w:p>
        </w:tc>
        <w:tc>
          <w:tcPr>
            <w:tcW w:w="280" w:type="dxa"/>
            <w:vAlign w:val="bottom"/>
            <w:shd w:val="clear" w:color="auto" w:fill="DBDBDB"/>
          </w:tcPr>
          <w:p>
            <w:pPr>
              <w:spacing w:after="0"/>
              <w:rPr>
                <w:sz w:val="15"/>
                <w:szCs w:val="15"/>
                <w:color w:val="auto"/>
              </w:rPr>
            </w:pPr>
          </w:p>
        </w:tc>
        <w:tc>
          <w:tcPr>
            <w:tcW w:w="128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90,013</w:t>
            </w:r>
          </w:p>
        </w:tc>
        <w:tc>
          <w:tcPr>
            <w:tcW w:w="260" w:type="dxa"/>
            <w:vAlign w:val="bottom"/>
            <w:shd w:val="clear" w:color="auto" w:fill="DBDBDB"/>
          </w:tcPr>
          <w:p>
            <w:pPr>
              <w:spacing w:after="0"/>
              <w:rPr>
                <w:sz w:val="15"/>
                <w:szCs w:val="15"/>
                <w:color w:val="auto"/>
              </w:rPr>
            </w:pPr>
          </w:p>
        </w:tc>
        <w:tc>
          <w:tcPr>
            <w:tcW w:w="12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91,682</w:t>
            </w:r>
          </w:p>
        </w:tc>
      </w:tr>
      <w:tr>
        <w:trPr>
          <w:trHeight w:val="172"/>
        </w:trPr>
        <w:tc>
          <w:tcPr>
            <w:tcW w:w="3560" w:type="dxa"/>
            <w:vAlign w:val="bottom"/>
          </w:tcPr>
          <w:p>
            <w:pPr>
              <w:ind w:left="20"/>
              <w:spacing w:after="0"/>
              <w:rPr>
                <w:sz w:val="20"/>
                <w:szCs w:val="20"/>
                <w:color w:val="auto"/>
              </w:rPr>
            </w:pPr>
            <w:r>
              <w:rPr>
                <w:rFonts w:ascii="Arial" w:cs="Arial" w:eastAsia="Arial" w:hAnsi="Arial"/>
                <w:sz w:val="13"/>
                <w:szCs w:val="13"/>
                <w:color w:val="auto"/>
              </w:rPr>
              <w:t>Average modular space utilization rate</w:t>
            </w: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72.4 %</w:t>
            </w: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71.9 %</w:t>
            </w:r>
          </w:p>
        </w:tc>
        <w:tc>
          <w:tcPr>
            <w:tcW w:w="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71.2 %</w:t>
            </w: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70.7 %</w:t>
            </w: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72.0 %</w:t>
            </w:r>
          </w:p>
        </w:tc>
      </w:tr>
      <w:tr>
        <w:trPr>
          <w:trHeight w:val="178"/>
        </w:trPr>
        <w:tc>
          <w:tcPr>
            <w:tcW w:w="3560" w:type="dxa"/>
            <w:vAlign w:val="bottom"/>
            <w:shd w:val="clear" w:color="auto" w:fill="DBDBDB"/>
          </w:tcPr>
          <w:p>
            <w:pPr>
              <w:ind w:left="20"/>
              <w:spacing w:after="0"/>
              <w:rPr>
                <w:sz w:val="20"/>
                <w:szCs w:val="20"/>
                <w:color w:val="auto"/>
              </w:rPr>
            </w:pPr>
            <w:r>
              <w:rPr>
                <w:rFonts w:ascii="Arial" w:cs="Arial" w:eastAsia="Arial" w:hAnsi="Arial"/>
                <w:sz w:val="13"/>
                <w:szCs w:val="13"/>
                <w:color w:val="auto"/>
              </w:rPr>
              <w:t>Average modular space monthly rental rate</w:t>
            </w:r>
          </w:p>
        </w:tc>
        <w:tc>
          <w:tcPr>
            <w:tcW w:w="28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575</w:t>
            </w:r>
          </w:p>
        </w:tc>
        <w:tc>
          <w:tcPr>
            <w:tcW w:w="28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611</w:t>
            </w:r>
          </w:p>
        </w:tc>
        <w:tc>
          <w:tcPr>
            <w:tcW w:w="26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630</w:t>
            </w:r>
          </w:p>
        </w:tc>
        <w:tc>
          <w:tcPr>
            <w:tcW w:w="28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641</w:t>
            </w:r>
          </w:p>
        </w:tc>
        <w:tc>
          <w:tcPr>
            <w:tcW w:w="26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614</w:t>
            </w:r>
          </w:p>
        </w:tc>
      </w:tr>
      <w:tr>
        <w:trPr>
          <w:trHeight w:val="172"/>
        </w:trPr>
        <w:tc>
          <w:tcPr>
            <w:tcW w:w="3560" w:type="dxa"/>
            <w:vAlign w:val="bottom"/>
          </w:tcPr>
          <w:p>
            <w:pPr>
              <w:ind w:left="20"/>
              <w:spacing w:after="0"/>
              <w:rPr>
                <w:sz w:val="20"/>
                <w:szCs w:val="20"/>
                <w:color w:val="auto"/>
              </w:rPr>
            </w:pPr>
            <w:r>
              <w:rPr>
                <w:rFonts w:ascii="Arial" w:cs="Arial" w:eastAsia="Arial" w:hAnsi="Arial"/>
                <w:sz w:val="13"/>
                <w:szCs w:val="13"/>
                <w:color w:val="auto"/>
              </w:rPr>
              <w:t>Portable storage units on rent (average during the period)</w:t>
            </w:r>
          </w:p>
        </w:tc>
        <w:tc>
          <w:tcPr>
            <w:tcW w:w="280" w:type="dxa"/>
            <w:vAlign w:val="bottom"/>
          </w:tcPr>
          <w:p>
            <w:pPr>
              <w:spacing w:after="0"/>
              <w:rPr>
                <w:sz w:val="14"/>
                <w:szCs w:val="14"/>
                <w:color w:val="auto"/>
              </w:rPr>
            </w:pPr>
          </w:p>
        </w:tc>
        <w:tc>
          <w:tcPr>
            <w:tcW w:w="1280" w:type="dxa"/>
            <w:vAlign w:val="bottom"/>
          </w:tcPr>
          <w:p>
            <w:pPr>
              <w:jc w:val="right"/>
              <w:ind w:right="154"/>
              <w:spacing w:after="0"/>
              <w:rPr>
                <w:sz w:val="20"/>
                <w:szCs w:val="20"/>
                <w:color w:val="auto"/>
              </w:rPr>
            </w:pPr>
            <w:r>
              <w:rPr>
                <w:rFonts w:ascii="Arial" w:cs="Arial" w:eastAsia="Arial" w:hAnsi="Arial"/>
                <w:sz w:val="13"/>
                <w:szCs w:val="13"/>
                <w:color w:val="auto"/>
              </w:rPr>
              <w:t>17,419</w:t>
            </w:r>
          </w:p>
        </w:tc>
        <w:tc>
          <w:tcPr>
            <w:tcW w:w="280" w:type="dxa"/>
            <w:vAlign w:val="bottom"/>
          </w:tcPr>
          <w:p>
            <w:pPr>
              <w:spacing w:after="0"/>
              <w:rPr>
                <w:sz w:val="14"/>
                <w:szCs w:val="14"/>
                <w:color w:val="auto"/>
              </w:rPr>
            </w:pPr>
          </w:p>
        </w:tc>
        <w:tc>
          <w:tcPr>
            <w:tcW w:w="1280" w:type="dxa"/>
            <w:vAlign w:val="bottom"/>
          </w:tcPr>
          <w:p>
            <w:pPr>
              <w:jc w:val="right"/>
              <w:ind w:right="154"/>
              <w:spacing w:after="0"/>
              <w:rPr>
                <w:sz w:val="20"/>
                <w:szCs w:val="20"/>
                <w:color w:val="auto"/>
              </w:rPr>
            </w:pPr>
            <w:r>
              <w:rPr>
                <w:rFonts w:ascii="Arial" w:cs="Arial" w:eastAsia="Arial" w:hAnsi="Arial"/>
                <w:sz w:val="13"/>
                <w:szCs w:val="13"/>
                <w:color w:val="auto"/>
              </w:rPr>
              <w:t>16,544</w:t>
            </w:r>
          </w:p>
        </w:tc>
        <w:tc>
          <w:tcPr>
            <w:tcW w:w="260" w:type="dxa"/>
            <w:vAlign w:val="bottom"/>
          </w:tcPr>
          <w:p>
            <w:pPr>
              <w:spacing w:after="0"/>
              <w:rPr>
                <w:sz w:val="14"/>
                <w:szCs w:val="14"/>
                <w:color w:val="auto"/>
              </w:rPr>
            </w:pPr>
          </w:p>
        </w:tc>
        <w:tc>
          <w:tcPr>
            <w:tcW w:w="1280" w:type="dxa"/>
            <w:vAlign w:val="bottom"/>
          </w:tcPr>
          <w:p>
            <w:pPr>
              <w:jc w:val="right"/>
              <w:ind w:right="134"/>
              <w:spacing w:after="0"/>
              <w:rPr>
                <w:sz w:val="20"/>
                <w:szCs w:val="20"/>
                <w:color w:val="auto"/>
              </w:rPr>
            </w:pPr>
            <w:r>
              <w:rPr>
                <w:rFonts w:ascii="Arial" w:cs="Arial" w:eastAsia="Arial" w:hAnsi="Arial"/>
                <w:sz w:val="13"/>
                <w:szCs w:val="13"/>
                <w:color w:val="auto"/>
              </w:rPr>
              <w:t>16,416</w:t>
            </w:r>
          </w:p>
        </w:tc>
        <w:tc>
          <w:tcPr>
            <w:tcW w:w="280" w:type="dxa"/>
            <w:vAlign w:val="bottom"/>
          </w:tcPr>
          <w:p>
            <w:pPr>
              <w:spacing w:after="0"/>
              <w:rPr>
                <w:sz w:val="14"/>
                <w:szCs w:val="14"/>
                <w:color w:val="auto"/>
              </w:rPr>
            </w:pPr>
          </w:p>
        </w:tc>
        <w:tc>
          <w:tcPr>
            <w:tcW w:w="1280" w:type="dxa"/>
            <w:vAlign w:val="bottom"/>
          </w:tcPr>
          <w:p>
            <w:pPr>
              <w:jc w:val="right"/>
              <w:ind w:right="154"/>
              <w:spacing w:after="0"/>
              <w:rPr>
                <w:sz w:val="20"/>
                <w:szCs w:val="20"/>
                <w:color w:val="auto"/>
              </w:rPr>
            </w:pPr>
            <w:r>
              <w:rPr>
                <w:rFonts w:ascii="Arial" w:cs="Arial" w:eastAsia="Arial" w:hAnsi="Arial"/>
                <w:sz w:val="13"/>
                <w:szCs w:val="13"/>
                <w:color w:val="auto"/>
              </w:rPr>
              <w:t>16,944</w:t>
            </w:r>
          </w:p>
        </w:tc>
        <w:tc>
          <w:tcPr>
            <w:tcW w:w="260" w:type="dxa"/>
            <w:vAlign w:val="bottom"/>
          </w:tcPr>
          <w:p>
            <w:pPr>
              <w:spacing w:after="0"/>
              <w:rPr>
                <w:sz w:val="14"/>
                <w:szCs w:val="14"/>
                <w:color w:val="auto"/>
              </w:rPr>
            </w:pPr>
          </w:p>
        </w:tc>
        <w:tc>
          <w:tcPr>
            <w:tcW w:w="1240" w:type="dxa"/>
            <w:vAlign w:val="bottom"/>
          </w:tcPr>
          <w:p>
            <w:pPr>
              <w:jc w:val="right"/>
              <w:ind w:right="94"/>
              <w:spacing w:after="0"/>
              <w:rPr>
                <w:sz w:val="20"/>
                <w:szCs w:val="20"/>
                <w:color w:val="auto"/>
              </w:rPr>
            </w:pPr>
            <w:r>
              <w:rPr>
                <w:rFonts w:ascii="Arial" w:cs="Arial" w:eastAsia="Arial" w:hAnsi="Arial"/>
                <w:sz w:val="13"/>
                <w:szCs w:val="13"/>
                <w:color w:val="auto"/>
              </w:rPr>
              <w:t>16,878</w:t>
            </w:r>
          </w:p>
        </w:tc>
      </w:tr>
      <w:tr>
        <w:trPr>
          <w:trHeight w:val="178"/>
        </w:trPr>
        <w:tc>
          <w:tcPr>
            <w:tcW w:w="3560" w:type="dxa"/>
            <w:vAlign w:val="bottom"/>
            <w:shd w:val="clear" w:color="auto" w:fill="DBDBDB"/>
          </w:tcPr>
          <w:p>
            <w:pPr>
              <w:ind w:left="20"/>
              <w:spacing w:after="0"/>
              <w:rPr>
                <w:sz w:val="20"/>
                <w:szCs w:val="20"/>
                <w:color w:val="auto"/>
              </w:rPr>
            </w:pPr>
            <w:r>
              <w:rPr>
                <w:rFonts w:ascii="Arial" w:cs="Arial" w:eastAsia="Arial" w:hAnsi="Arial"/>
                <w:sz w:val="13"/>
                <w:szCs w:val="13"/>
                <w:color w:val="auto"/>
              </w:rPr>
              <w:t>Average portable storage utilization rate</w:t>
            </w:r>
          </w:p>
        </w:tc>
        <w:tc>
          <w:tcPr>
            <w:tcW w:w="280" w:type="dxa"/>
            <w:vAlign w:val="bottom"/>
            <w:shd w:val="clear" w:color="auto" w:fill="DBDBDB"/>
          </w:tcPr>
          <w:p>
            <w:pPr>
              <w:spacing w:after="0"/>
              <w:rPr>
                <w:sz w:val="15"/>
                <w:szCs w:val="15"/>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66.1 %</w:t>
            </w:r>
          </w:p>
        </w:tc>
        <w:tc>
          <w:tcPr>
            <w:tcW w:w="280" w:type="dxa"/>
            <w:vAlign w:val="bottom"/>
            <w:shd w:val="clear" w:color="auto" w:fill="DBDBDB"/>
          </w:tcPr>
          <w:p>
            <w:pPr>
              <w:spacing w:after="0"/>
              <w:rPr>
                <w:sz w:val="15"/>
                <w:szCs w:val="15"/>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63.3 %</w:t>
            </w:r>
          </w:p>
        </w:tc>
        <w:tc>
          <w:tcPr>
            <w:tcW w:w="260" w:type="dxa"/>
            <w:vAlign w:val="bottom"/>
            <w:shd w:val="clear" w:color="auto" w:fill="DBDBDB"/>
          </w:tcPr>
          <w:p>
            <w:pPr>
              <w:spacing w:after="0"/>
              <w:rPr>
                <w:sz w:val="15"/>
                <w:szCs w:val="15"/>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63.0 %</w:t>
            </w:r>
          </w:p>
        </w:tc>
        <w:tc>
          <w:tcPr>
            <w:tcW w:w="280" w:type="dxa"/>
            <w:vAlign w:val="bottom"/>
            <w:shd w:val="clear" w:color="auto" w:fill="DBDBDB"/>
          </w:tcPr>
          <w:p>
            <w:pPr>
              <w:spacing w:after="0"/>
              <w:rPr>
                <w:sz w:val="15"/>
                <w:szCs w:val="15"/>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66.1 %</w:t>
            </w:r>
          </w:p>
        </w:tc>
        <w:tc>
          <w:tcPr>
            <w:tcW w:w="260" w:type="dxa"/>
            <w:vAlign w:val="bottom"/>
            <w:shd w:val="clear" w:color="auto" w:fill="DBDBDB"/>
          </w:tcPr>
          <w:p>
            <w:pPr>
              <w:spacing w:after="0"/>
              <w:rPr>
                <w:sz w:val="15"/>
                <w:szCs w:val="15"/>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65.8 %</w:t>
            </w:r>
          </w:p>
        </w:tc>
      </w:tr>
      <w:tr>
        <w:trPr>
          <w:trHeight w:val="172"/>
        </w:trPr>
        <w:tc>
          <w:tcPr>
            <w:tcW w:w="3560" w:type="dxa"/>
            <w:vAlign w:val="bottom"/>
          </w:tcPr>
          <w:p>
            <w:pPr>
              <w:ind w:left="20"/>
              <w:spacing w:after="0"/>
              <w:rPr>
                <w:sz w:val="20"/>
                <w:szCs w:val="20"/>
                <w:color w:val="auto"/>
              </w:rPr>
            </w:pPr>
            <w:r>
              <w:rPr>
                <w:rFonts w:ascii="Arial" w:cs="Arial" w:eastAsia="Arial" w:hAnsi="Arial"/>
                <w:sz w:val="13"/>
                <w:szCs w:val="13"/>
                <w:color w:val="auto"/>
              </w:rPr>
              <w:t>Average portable storage monthly rental rate</w:t>
            </w: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54"/>
              <w:spacing w:after="0"/>
              <w:rPr>
                <w:sz w:val="20"/>
                <w:szCs w:val="20"/>
                <w:color w:val="auto"/>
              </w:rPr>
            </w:pPr>
            <w:r>
              <w:rPr>
                <w:rFonts w:ascii="Arial" w:cs="Arial" w:eastAsia="Arial" w:hAnsi="Arial"/>
                <w:sz w:val="13"/>
                <w:szCs w:val="13"/>
                <w:color w:val="auto"/>
              </w:rPr>
              <w:t>119</w:t>
            </w: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54"/>
              <w:spacing w:after="0"/>
              <w:rPr>
                <w:sz w:val="20"/>
                <w:szCs w:val="20"/>
                <w:color w:val="auto"/>
              </w:rPr>
            </w:pPr>
            <w:r>
              <w:rPr>
                <w:rFonts w:ascii="Arial" w:cs="Arial" w:eastAsia="Arial" w:hAnsi="Arial"/>
                <w:sz w:val="13"/>
                <w:szCs w:val="13"/>
                <w:color w:val="auto"/>
              </w:rPr>
              <w:t>121</w:t>
            </w:r>
          </w:p>
        </w:tc>
        <w:tc>
          <w:tcPr>
            <w:tcW w:w="2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34"/>
              <w:spacing w:after="0"/>
              <w:rPr>
                <w:sz w:val="20"/>
                <w:szCs w:val="20"/>
                <w:color w:val="auto"/>
              </w:rPr>
            </w:pPr>
            <w:r>
              <w:rPr>
                <w:rFonts w:ascii="Arial" w:cs="Arial" w:eastAsia="Arial" w:hAnsi="Arial"/>
                <w:sz w:val="13"/>
                <w:szCs w:val="13"/>
                <w:color w:val="auto"/>
              </w:rPr>
              <w:t>123</w:t>
            </w: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54"/>
              <w:spacing w:after="0"/>
              <w:rPr>
                <w:sz w:val="20"/>
                <w:szCs w:val="20"/>
                <w:color w:val="auto"/>
              </w:rPr>
            </w:pPr>
            <w:r>
              <w:rPr>
                <w:rFonts w:ascii="Arial" w:cs="Arial" w:eastAsia="Arial" w:hAnsi="Arial"/>
                <w:sz w:val="13"/>
                <w:szCs w:val="13"/>
                <w:color w:val="auto"/>
              </w:rPr>
              <w:t>118</w:t>
            </w:r>
          </w:p>
        </w:tc>
        <w:tc>
          <w:tcPr>
            <w:tcW w:w="2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94"/>
              <w:spacing w:after="0"/>
              <w:rPr>
                <w:sz w:val="20"/>
                <w:szCs w:val="20"/>
                <w:color w:val="auto"/>
              </w:rPr>
            </w:pPr>
            <w:r>
              <w:rPr>
                <w:rFonts w:ascii="Arial" w:cs="Arial" w:eastAsia="Arial" w:hAnsi="Arial"/>
                <w:sz w:val="13"/>
                <w:szCs w:val="13"/>
                <w:color w:val="auto"/>
              </w:rPr>
              <w:t>120</w:t>
            </w:r>
          </w:p>
        </w:tc>
      </w:tr>
      <w:tr>
        <w:trPr>
          <w:trHeight w:val="178"/>
        </w:trPr>
        <w:tc>
          <w:tcPr>
            <w:tcW w:w="3560" w:type="dxa"/>
            <w:vAlign w:val="bottom"/>
            <w:shd w:val="clear" w:color="auto" w:fill="DBDBDB"/>
          </w:tcPr>
          <w:p>
            <w:pPr>
              <w:ind w:left="20"/>
              <w:spacing w:after="0"/>
              <w:rPr>
                <w:sz w:val="20"/>
                <w:szCs w:val="20"/>
                <w:color w:val="auto"/>
              </w:rPr>
            </w:pPr>
            <w:r>
              <w:rPr>
                <w:rFonts w:ascii="Arial" w:cs="Arial" w:eastAsia="Arial" w:hAnsi="Arial"/>
                <w:sz w:val="13"/>
                <w:szCs w:val="13"/>
                <w:color w:val="auto"/>
              </w:rPr>
              <w:t>Loss per share - basic</w:t>
            </w:r>
          </w:p>
        </w:tc>
        <w:tc>
          <w:tcPr>
            <w:tcW w:w="28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14"/>
              <w:spacing w:after="0"/>
              <w:rPr>
                <w:sz w:val="20"/>
                <w:szCs w:val="20"/>
                <w:color w:val="auto"/>
              </w:rPr>
            </w:pPr>
            <w:r>
              <w:rPr>
                <w:rFonts w:ascii="Arial" w:cs="Arial" w:eastAsia="Arial" w:hAnsi="Arial"/>
                <w:sz w:val="13"/>
                <w:szCs w:val="13"/>
                <w:color w:val="auto"/>
              </w:rPr>
              <w:t>(0.25)</w:t>
            </w:r>
          </w:p>
        </w:tc>
        <w:tc>
          <w:tcPr>
            <w:tcW w:w="28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14"/>
              <w:spacing w:after="0"/>
              <w:rPr>
                <w:sz w:val="20"/>
                <w:szCs w:val="20"/>
                <w:color w:val="auto"/>
              </w:rPr>
            </w:pPr>
            <w:r>
              <w:rPr>
                <w:rFonts w:ascii="Arial" w:cs="Arial" w:eastAsia="Arial" w:hAnsi="Arial"/>
                <w:sz w:val="13"/>
                <w:szCs w:val="13"/>
                <w:color w:val="auto"/>
              </w:rPr>
              <w:t>(0.52)</w:t>
            </w:r>
          </w:p>
        </w:tc>
        <w:tc>
          <w:tcPr>
            <w:tcW w:w="26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14"/>
              <w:spacing w:after="0"/>
              <w:rPr>
                <w:sz w:val="20"/>
                <w:szCs w:val="20"/>
                <w:color w:val="auto"/>
              </w:rPr>
            </w:pPr>
            <w:r>
              <w:rPr>
                <w:rFonts w:ascii="Arial" w:cs="Arial" w:eastAsia="Arial" w:hAnsi="Arial"/>
                <w:sz w:val="13"/>
                <w:szCs w:val="13"/>
                <w:color w:val="auto"/>
              </w:rPr>
              <w:t>(0.01)</w:t>
            </w:r>
          </w:p>
        </w:tc>
        <w:tc>
          <w:tcPr>
            <w:tcW w:w="28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shd w:val="clear" w:color="auto" w:fill="DBDBDB"/>
          </w:tcPr>
          <w:p>
            <w:pPr>
              <w:jc w:val="right"/>
              <w:ind w:right="114"/>
              <w:spacing w:after="0"/>
              <w:rPr>
                <w:sz w:val="20"/>
                <w:szCs w:val="20"/>
                <w:color w:val="auto"/>
              </w:rPr>
            </w:pPr>
            <w:r>
              <w:rPr>
                <w:rFonts w:ascii="Arial" w:cs="Arial" w:eastAsia="Arial" w:hAnsi="Arial"/>
                <w:sz w:val="13"/>
                <w:szCs w:val="13"/>
                <w:color w:val="auto"/>
              </w:rPr>
              <w:t>(0.33)</w:t>
            </w:r>
          </w:p>
        </w:tc>
        <w:tc>
          <w:tcPr>
            <w:tcW w:w="26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24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(1.11)</w:t>
            </w:r>
          </w:p>
        </w:tc>
      </w:tr>
      <w:tr>
        <w:trPr>
          <w:trHeight w:val="172"/>
        </w:trPr>
        <w:tc>
          <w:tcPr>
            <w:tcW w:w="3560" w:type="dxa"/>
            <w:vAlign w:val="bottom"/>
          </w:tcPr>
          <w:p>
            <w:pPr>
              <w:ind w:left="20"/>
              <w:spacing w:after="0"/>
              <w:rPr>
                <w:sz w:val="20"/>
                <w:szCs w:val="20"/>
                <w:color w:val="auto"/>
              </w:rPr>
            </w:pPr>
            <w:r>
              <w:rPr>
                <w:rFonts w:ascii="Arial" w:cs="Arial" w:eastAsia="Arial" w:hAnsi="Arial"/>
                <w:sz w:val="13"/>
                <w:szCs w:val="13"/>
                <w:color w:val="auto"/>
              </w:rPr>
              <w:t>Loss per share - diluted</w:t>
            </w: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14"/>
              <w:spacing w:after="0"/>
              <w:rPr>
                <w:sz w:val="20"/>
                <w:szCs w:val="20"/>
                <w:color w:val="auto"/>
              </w:rPr>
            </w:pPr>
            <w:r>
              <w:rPr>
                <w:rFonts w:ascii="Arial" w:cs="Arial" w:eastAsia="Arial" w:hAnsi="Arial"/>
                <w:sz w:val="13"/>
                <w:szCs w:val="13"/>
                <w:color w:val="auto"/>
              </w:rPr>
              <w:t>(0.25)</w:t>
            </w: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14"/>
              <w:spacing w:after="0"/>
              <w:rPr>
                <w:sz w:val="20"/>
                <w:szCs w:val="20"/>
                <w:color w:val="auto"/>
              </w:rPr>
            </w:pPr>
            <w:r>
              <w:rPr>
                <w:rFonts w:ascii="Arial" w:cs="Arial" w:eastAsia="Arial" w:hAnsi="Arial"/>
                <w:sz w:val="13"/>
                <w:szCs w:val="13"/>
                <w:color w:val="auto"/>
              </w:rPr>
              <w:t>(0.52)</w:t>
            </w:r>
          </w:p>
        </w:tc>
        <w:tc>
          <w:tcPr>
            <w:tcW w:w="2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14"/>
              <w:spacing w:after="0"/>
              <w:rPr>
                <w:sz w:val="20"/>
                <w:szCs w:val="20"/>
                <w:color w:val="auto"/>
              </w:rPr>
            </w:pPr>
            <w:r>
              <w:rPr>
                <w:rFonts w:ascii="Arial" w:cs="Arial" w:eastAsia="Arial" w:hAnsi="Arial"/>
                <w:sz w:val="13"/>
                <w:szCs w:val="13"/>
                <w:color w:val="auto"/>
              </w:rPr>
              <w:t>(0.02)</w:t>
            </w: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14"/>
              <w:spacing w:after="0"/>
              <w:rPr>
                <w:sz w:val="20"/>
                <w:szCs w:val="20"/>
                <w:color w:val="auto"/>
              </w:rPr>
            </w:pPr>
            <w:r>
              <w:rPr>
                <w:rFonts w:ascii="Arial" w:cs="Arial" w:eastAsia="Arial" w:hAnsi="Arial"/>
                <w:sz w:val="13"/>
                <w:szCs w:val="13"/>
                <w:color w:val="auto"/>
              </w:rPr>
              <w:t>(0.33)</w:t>
            </w:r>
          </w:p>
        </w:tc>
        <w:tc>
          <w:tcPr>
            <w:tcW w:w="2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74"/>
              <w:spacing w:after="0"/>
              <w:rPr>
                <w:sz w:val="20"/>
                <w:szCs w:val="20"/>
                <w:color w:val="auto"/>
              </w:rPr>
            </w:pPr>
            <w:r>
              <w:rPr>
                <w:rFonts w:ascii="Arial" w:cs="Arial" w:eastAsia="Arial" w:hAnsi="Arial"/>
                <w:sz w:val="13"/>
                <w:szCs w:val="13"/>
                <w:color w:val="auto"/>
              </w:rPr>
              <w:t>(1.11)</w:t>
            </w:r>
          </w:p>
        </w:tc>
      </w:tr>
      <w:tr>
        <w:trPr>
          <w:trHeight w:val="178"/>
        </w:trPr>
        <w:tc>
          <w:tcPr>
            <w:tcW w:w="3560" w:type="dxa"/>
            <w:vAlign w:val="bottom"/>
            <w:shd w:val="clear" w:color="auto" w:fill="DBDBDB"/>
          </w:tcPr>
          <w:p>
            <w:pPr>
              <w:ind w:left="20"/>
              <w:spacing w:after="0"/>
              <w:rPr>
                <w:sz w:val="20"/>
                <w:szCs w:val="20"/>
                <w:color w:val="auto"/>
              </w:rPr>
            </w:pPr>
            <w:r>
              <w:rPr>
                <w:rFonts w:ascii="Arial" w:cs="Arial" w:eastAsia="Arial" w:hAnsi="Arial"/>
                <w:sz w:val="13"/>
                <w:szCs w:val="13"/>
                <w:color w:val="auto"/>
              </w:rPr>
              <w:t>Weighted average shares - basic</w:t>
            </w:r>
          </w:p>
        </w:tc>
        <w:tc>
          <w:tcPr>
            <w:tcW w:w="280" w:type="dxa"/>
            <w:vAlign w:val="bottom"/>
            <w:shd w:val="clear" w:color="auto" w:fill="DBDBDB"/>
          </w:tcPr>
          <w:p>
            <w:pPr>
              <w:spacing w:after="0"/>
              <w:rPr>
                <w:sz w:val="15"/>
                <w:szCs w:val="15"/>
                <w:color w:val="auto"/>
              </w:rPr>
            </w:pPr>
          </w:p>
        </w:tc>
        <w:tc>
          <w:tcPr>
            <w:tcW w:w="1280" w:type="dxa"/>
            <w:vAlign w:val="bottom"/>
            <w:shd w:val="clear" w:color="auto" w:fill="DBDBDB"/>
          </w:tcPr>
          <w:p>
            <w:pPr>
              <w:jc w:val="center"/>
              <w:ind w:right="214"/>
              <w:spacing w:after="0"/>
              <w:rPr>
                <w:sz w:val="20"/>
                <w:szCs w:val="20"/>
                <w:color w:val="auto"/>
              </w:rPr>
            </w:pPr>
            <w:r>
              <w:rPr>
                <w:rFonts w:ascii="Arial" w:cs="Arial" w:eastAsia="Arial" w:hAnsi="Arial"/>
                <w:sz w:val="13"/>
                <w:szCs w:val="13"/>
                <w:color w:val="auto"/>
                <w:w w:val="99"/>
              </w:rPr>
              <w:t>108,523,269</w:t>
            </w:r>
          </w:p>
        </w:tc>
        <w:tc>
          <w:tcPr>
            <w:tcW w:w="280" w:type="dxa"/>
            <w:vAlign w:val="bottom"/>
            <w:shd w:val="clear" w:color="auto" w:fill="DBDBDB"/>
          </w:tcPr>
          <w:p>
            <w:pPr>
              <w:spacing w:after="0"/>
              <w:rPr>
                <w:sz w:val="15"/>
                <w:szCs w:val="15"/>
                <w:color w:val="auto"/>
              </w:rPr>
            </w:pPr>
          </w:p>
        </w:tc>
        <w:tc>
          <w:tcPr>
            <w:tcW w:w="1280" w:type="dxa"/>
            <w:vAlign w:val="bottom"/>
            <w:shd w:val="clear" w:color="auto" w:fill="DBDBDB"/>
          </w:tcPr>
          <w:p>
            <w:pPr>
              <w:jc w:val="center"/>
              <w:ind w:right="214"/>
              <w:spacing w:after="0"/>
              <w:rPr>
                <w:sz w:val="20"/>
                <w:szCs w:val="20"/>
                <w:color w:val="auto"/>
              </w:rPr>
            </w:pPr>
            <w:r>
              <w:rPr>
                <w:rFonts w:ascii="Arial" w:cs="Arial" w:eastAsia="Arial" w:hAnsi="Arial"/>
                <w:sz w:val="13"/>
                <w:szCs w:val="13"/>
                <w:color w:val="auto"/>
                <w:w w:val="99"/>
              </w:rPr>
              <w:t>108,693,924</w:t>
            </w:r>
          </w:p>
        </w:tc>
        <w:tc>
          <w:tcPr>
            <w:tcW w:w="260" w:type="dxa"/>
            <w:vAlign w:val="bottom"/>
            <w:shd w:val="clear" w:color="auto" w:fill="DBDBDB"/>
          </w:tcPr>
          <w:p>
            <w:pPr>
              <w:spacing w:after="0"/>
              <w:rPr>
                <w:sz w:val="15"/>
                <w:szCs w:val="15"/>
                <w:color w:val="auto"/>
              </w:rPr>
            </w:pPr>
          </w:p>
        </w:tc>
        <w:tc>
          <w:tcPr>
            <w:tcW w:w="1280" w:type="dxa"/>
            <w:vAlign w:val="bottom"/>
            <w:shd w:val="clear" w:color="auto" w:fill="DBDBDB"/>
          </w:tcPr>
          <w:p>
            <w:pPr>
              <w:jc w:val="center"/>
              <w:ind w:right="194"/>
              <w:spacing w:after="0"/>
              <w:rPr>
                <w:sz w:val="20"/>
                <w:szCs w:val="20"/>
                <w:color w:val="auto"/>
              </w:rPr>
            </w:pPr>
            <w:r>
              <w:rPr>
                <w:rFonts w:ascii="Arial" w:cs="Arial" w:eastAsia="Arial" w:hAnsi="Arial"/>
                <w:sz w:val="13"/>
                <w:szCs w:val="13"/>
                <w:color w:val="auto"/>
              </w:rPr>
              <w:t>108,720,857</w:t>
            </w:r>
          </w:p>
        </w:tc>
        <w:tc>
          <w:tcPr>
            <w:tcW w:w="280" w:type="dxa"/>
            <w:vAlign w:val="bottom"/>
            <w:shd w:val="clear" w:color="auto" w:fill="DBDBDB"/>
          </w:tcPr>
          <w:p>
            <w:pPr>
              <w:spacing w:after="0"/>
              <w:rPr>
                <w:sz w:val="15"/>
                <w:szCs w:val="15"/>
                <w:color w:val="auto"/>
              </w:rPr>
            </w:pPr>
          </w:p>
        </w:tc>
        <w:tc>
          <w:tcPr>
            <w:tcW w:w="1280" w:type="dxa"/>
            <w:vAlign w:val="bottom"/>
            <w:shd w:val="clear" w:color="auto" w:fill="DBDBDB"/>
          </w:tcPr>
          <w:p>
            <w:pPr>
              <w:jc w:val="center"/>
              <w:ind w:right="214"/>
              <w:spacing w:after="0"/>
              <w:rPr>
                <w:sz w:val="20"/>
                <w:szCs w:val="20"/>
                <w:color w:val="auto"/>
              </w:rPr>
            </w:pPr>
            <w:r>
              <w:rPr>
                <w:rFonts w:ascii="Arial" w:cs="Arial" w:eastAsia="Arial" w:hAnsi="Arial"/>
                <w:sz w:val="13"/>
                <w:szCs w:val="13"/>
                <w:color w:val="auto"/>
                <w:w w:val="99"/>
              </w:rPr>
              <w:t>108,793,847</w:t>
            </w:r>
          </w:p>
        </w:tc>
        <w:tc>
          <w:tcPr>
            <w:tcW w:w="260" w:type="dxa"/>
            <w:vAlign w:val="bottom"/>
            <w:shd w:val="clear" w:color="auto" w:fill="DBDBDB"/>
          </w:tcPr>
          <w:p>
            <w:pPr>
              <w:spacing w:after="0"/>
              <w:rPr>
                <w:sz w:val="15"/>
                <w:szCs w:val="15"/>
                <w:color w:val="auto"/>
              </w:rPr>
            </w:pPr>
          </w:p>
        </w:tc>
        <w:tc>
          <w:tcPr>
            <w:tcW w:w="1240" w:type="dxa"/>
            <w:vAlign w:val="bottom"/>
            <w:shd w:val="clear" w:color="auto" w:fill="DBDBDB"/>
          </w:tcPr>
          <w:p>
            <w:pPr>
              <w:jc w:val="right"/>
              <w:ind w:right="294"/>
              <w:spacing w:after="0"/>
              <w:rPr>
                <w:sz w:val="20"/>
                <w:szCs w:val="20"/>
                <w:color w:val="auto"/>
              </w:rPr>
            </w:pPr>
            <w:r>
              <w:rPr>
                <w:rFonts w:ascii="Arial" w:cs="Arial" w:eastAsia="Arial" w:hAnsi="Arial"/>
                <w:sz w:val="13"/>
                <w:szCs w:val="13"/>
                <w:color w:val="auto"/>
              </w:rPr>
              <w:t>108,683,820</w:t>
            </w:r>
          </w:p>
        </w:tc>
      </w:tr>
      <w:tr>
        <w:trPr>
          <w:trHeight w:val="169"/>
        </w:trPr>
        <w:tc>
          <w:tcPr>
            <w:tcW w:w="3560" w:type="dxa"/>
            <w:vAlign w:val="bottom"/>
          </w:tcPr>
          <w:p>
            <w:pPr>
              <w:ind w:left="20"/>
              <w:spacing w:after="0"/>
              <w:rPr>
                <w:sz w:val="20"/>
                <w:szCs w:val="20"/>
                <w:color w:val="auto"/>
              </w:rPr>
            </w:pPr>
            <w:r>
              <w:rPr>
                <w:rFonts w:ascii="Arial" w:cs="Arial" w:eastAsia="Arial" w:hAnsi="Arial"/>
                <w:sz w:val="13"/>
                <w:szCs w:val="13"/>
                <w:color w:val="auto"/>
              </w:rPr>
              <w:t>Weighted average shares - diluted</w:t>
            </w:r>
          </w:p>
        </w:tc>
        <w:tc>
          <w:tcPr>
            <w:tcW w:w="280" w:type="dxa"/>
            <w:vAlign w:val="bottom"/>
          </w:tcPr>
          <w:p>
            <w:pPr>
              <w:spacing w:after="0"/>
              <w:rPr>
                <w:sz w:val="14"/>
                <w:szCs w:val="14"/>
                <w:color w:val="auto"/>
              </w:rPr>
            </w:pPr>
          </w:p>
        </w:tc>
        <w:tc>
          <w:tcPr>
            <w:tcW w:w="1280" w:type="dxa"/>
            <w:vAlign w:val="bottom"/>
          </w:tcPr>
          <w:p>
            <w:pPr>
              <w:jc w:val="center"/>
              <w:ind w:right="214"/>
              <w:spacing w:after="0"/>
              <w:rPr>
                <w:sz w:val="20"/>
                <w:szCs w:val="20"/>
                <w:color w:val="auto"/>
              </w:rPr>
            </w:pPr>
            <w:r>
              <w:rPr>
                <w:rFonts w:ascii="Arial" w:cs="Arial" w:eastAsia="Arial" w:hAnsi="Arial"/>
                <w:sz w:val="13"/>
                <w:szCs w:val="13"/>
                <w:color w:val="auto"/>
                <w:w w:val="99"/>
              </w:rPr>
              <w:t>108,523,269</w:t>
            </w:r>
          </w:p>
        </w:tc>
        <w:tc>
          <w:tcPr>
            <w:tcW w:w="280" w:type="dxa"/>
            <w:vAlign w:val="bottom"/>
          </w:tcPr>
          <w:p>
            <w:pPr>
              <w:spacing w:after="0"/>
              <w:rPr>
                <w:sz w:val="14"/>
                <w:szCs w:val="14"/>
                <w:color w:val="auto"/>
              </w:rPr>
            </w:pPr>
          </w:p>
        </w:tc>
        <w:tc>
          <w:tcPr>
            <w:tcW w:w="1280" w:type="dxa"/>
            <w:vAlign w:val="bottom"/>
          </w:tcPr>
          <w:p>
            <w:pPr>
              <w:jc w:val="center"/>
              <w:ind w:right="214"/>
              <w:spacing w:after="0"/>
              <w:rPr>
                <w:sz w:val="20"/>
                <w:szCs w:val="20"/>
                <w:color w:val="auto"/>
              </w:rPr>
            </w:pPr>
            <w:r>
              <w:rPr>
                <w:rFonts w:ascii="Arial" w:cs="Arial" w:eastAsia="Arial" w:hAnsi="Arial"/>
                <w:sz w:val="13"/>
                <w:szCs w:val="13"/>
                <w:color w:val="auto"/>
                <w:w w:val="99"/>
              </w:rPr>
              <w:t>108,693,924</w:t>
            </w:r>
          </w:p>
        </w:tc>
        <w:tc>
          <w:tcPr>
            <w:tcW w:w="260" w:type="dxa"/>
            <w:vAlign w:val="bottom"/>
          </w:tcPr>
          <w:p>
            <w:pPr>
              <w:spacing w:after="0"/>
              <w:rPr>
                <w:sz w:val="14"/>
                <w:szCs w:val="14"/>
                <w:color w:val="auto"/>
              </w:rPr>
            </w:pPr>
          </w:p>
        </w:tc>
        <w:tc>
          <w:tcPr>
            <w:tcW w:w="1280" w:type="dxa"/>
            <w:vAlign w:val="bottom"/>
          </w:tcPr>
          <w:p>
            <w:pPr>
              <w:jc w:val="center"/>
              <w:ind w:right="194"/>
              <w:spacing w:after="0"/>
              <w:rPr>
                <w:sz w:val="20"/>
                <w:szCs w:val="20"/>
                <w:color w:val="auto"/>
              </w:rPr>
            </w:pPr>
            <w:r>
              <w:rPr>
                <w:rFonts w:ascii="Arial" w:cs="Arial" w:eastAsia="Arial" w:hAnsi="Arial"/>
                <w:sz w:val="13"/>
                <w:szCs w:val="13"/>
                <w:color w:val="auto"/>
              </w:rPr>
              <w:t>109,508,360</w:t>
            </w:r>
          </w:p>
        </w:tc>
        <w:tc>
          <w:tcPr>
            <w:tcW w:w="280" w:type="dxa"/>
            <w:vAlign w:val="bottom"/>
          </w:tcPr>
          <w:p>
            <w:pPr>
              <w:spacing w:after="0"/>
              <w:rPr>
                <w:sz w:val="14"/>
                <w:szCs w:val="14"/>
                <w:color w:val="auto"/>
              </w:rPr>
            </w:pPr>
          </w:p>
        </w:tc>
        <w:tc>
          <w:tcPr>
            <w:tcW w:w="1280" w:type="dxa"/>
            <w:vAlign w:val="bottom"/>
          </w:tcPr>
          <w:p>
            <w:pPr>
              <w:jc w:val="center"/>
              <w:ind w:right="214"/>
              <w:spacing w:after="0"/>
              <w:rPr>
                <w:sz w:val="20"/>
                <w:szCs w:val="20"/>
                <w:color w:val="auto"/>
              </w:rPr>
            </w:pPr>
            <w:r>
              <w:rPr>
                <w:rFonts w:ascii="Arial" w:cs="Arial" w:eastAsia="Arial" w:hAnsi="Arial"/>
                <w:sz w:val="13"/>
                <w:szCs w:val="13"/>
                <w:color w:val="auto"/>
                <w:w w:val="99"/>
              </w:rPr>
              <w:t>108,793,847</w:t>
            </w:r>
          </w:p>
        </w:tc>
        <w:tc>
          <w:tcPr>
            <w:tcW w:w="260" w:type="dxa"/>
            <w:vAlign w:val="bottom"/>
          </w:tcPr>
          <w:p>
            <w:pPr>
              <w:spacing w:after="0"/>
              <w:rPr>
                <w:sz w:val="14"/>
                <w:szCs w:val="14"/>
                <w:color w:val="auto"/>
              </w:rPr>
            </w:pPr>
          </w:p>
        </w:tc>
        <w:tc>
          <w:tcPr>
            <w:tcW w:w="1240" w:type="dxa"/>
            <w:vAlign w:val="bottom"/>
          </w:tcPr>
          <w:p>
            <w:pPr>
              <w:jc w:val="right"/>
              <w:ind w:right="294"/>
              <w:spacing w:after="0"/>
              <w:rPr>
                <w:sz w:val="20"/>
                <w:szCs w:val="20"/>
                <w:color w:val="auto"/>
              </w:rPr>
            </w:pPr>
            <w:r>
              <w:rPr>
                <w:rFonts w:ascii="Arial" w:cs="Arial" w:eastAsia="Arial" w:hAnsi="Arial"/>
                <w:sz w:val="13"/>
                <w:szCs w:val="13"/>
                <w:color w:val="auto"/>
              </w:rPr>
              <w:t>108,683,820</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Comparison of Years Ended December 31, 2021 and 2020</w:t>
      </w:r>
    </w:p>
    <w:p>
      <w:pPr>
        <w:spacing w:after="0" w:line="50" w:lineRule="exact"/>
        <w:rPr>
          <w:sz w:val="20"/>
          <w:szCs w:val="20"/>
          <w:color w:val="auto"/>
        </w:rPr>
      </w:pPr>
    </w:p>
    <w:p>
      <w:pPr>
        <w:jc w:val="both"/>
        <w:ind w:firstLine="524"/>
        <w:spacing w:after="0" w:line="257" w:lineRule="auto"/>
        <w:rPr>
          <w:sz w:val="20"/>
          <w:szCs w:val="20"/>
          <w:color w:val="auto"/>
        </w:rPr>
      </w:pPr>
      <w:r>
        <w:rPr>
          <w:rFonts w:ascii="Arial" w:cs="Arial" w:eastAsia="Arial" w:hAnsi="Arial"/>
          <w:sz w:val="13"/>
          <w:szCs w:val="13"/>
          <w:b w:val="1"/>
          <w:bCs w:val="1"/>
          <w:i w:val="1"/>
          <w:iCs w:val="1"/>
          <w:color w:val="auto"/>
        </w:rPr>
        <w:t xml:space="preserve">Revenue: </w:t>
      </w:r>
      <w:r>
        <w:rPr>
          <w:rFonts w:ascii="Arial" w:cs="Arial" w:eastAsia="Arial" w:hAnsi="Arial"/>
          <w:sz w:val="13"/>
          <w:szCs w:val="13"/>
          <w:color w:val="auto"/>
        </w:rPr>
        <w:t>Total revenue increased $527.3 million, or 38.6%, to $1,894.9 million for the year ended December 31, 2021 from $1,367.6 million for the year ended December 31, 2020.</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Leasing revenue increased $410.7 million, or 41.0%, as compared to the same period in 2020 driven by an increase of 88,194, or 48.0%, total average modular space and portable storage units on rent and improved pricing and value-added products in our NA Modular segment. Delivery and installation revenues increased $100.5 million, or 36.7%, due to increased overall activity. New unit sales decreased $0.2 million, or 0.4%, and rental unit sales increased $16.3 million, or 41.9%.</w:t>
      </w:r>
    </w:p>
    <w:p>
      <w:pPr>
        <w:spacing w:after="0" w:line="31" w:lineRule="exact"/>
        <w:rPr>
          <w:sz w:val="20"/>
          <w:szCs w:val="20"/>
          <w:color w:val="auto"/>
        </w:rPr>
      </w:pPr>
    </w:p>
    <w:p>
      <w:pPr>
        <w:jc w:val="both"/>
        <w:ind w:firstLine="524"/>
        <w:spacing w:after="0" w:line="246" w:lineRule="auto"/>
        <w:rPr>
          <w:sz w:val="20"/>
          <w:szCs w:val="20"/>
          <w:color w:val="auto"/>
        </w:rPr>
      </w:pPr>
      <w:r>
        <w:rPr>
          <w:rFonts w:ascii="Arial" w:cs="Arial" w:eastAsia="Arial" w:hAnsi="Arial"/>
          <w:sz w:val="13"/>
          <w:szCs w:val="13"/>
          <w:color w:val="auto"/>
        </w:rPr>
        <w:t>Total average modular space and portable storage units on rent for the years ended December 31, 2021 and 2020 were 271,868 and 183,674, respectively. The increase was due primarily to the units acquired as part of the Merger with Mobile Mini, which closed on July 1, 2020. In total, modular space average units on rent increased 10,876 units, or 10.9%, for the year ended December 31, 2021 as compared to the year ended December 31, 2020. Modular space average monthly rental rates increased 13.1% to $744 for the year ended December 31, 2021. Improved pricing was driven by a continuation of the long-term price optimization and VAPS penetration opportunities across our portfolio, partially offset by the dilutive impact of lower rates on the Mobile Mini modular space units due to product mix. Portable storage average units on rent increased by 77,318 units, or 91.9%, for the year ended December 31, 2021. Average portable storage monthly rental rates of $144 represented an increase of $12, or 9.1%, compared to the year ended December 31, 2020. This increase was driven by the accretive impact of higher rates from the Mobile Mini portable storage fleet. The average modular space unit utilization rate during the year ended December 31, 2021 was 70.1%, as compared to 70.2% during the same period in 2020. The average portable storage unit utilization rate during the year ended December 31, 2021 was 81.5%, as compared to 75.9% during the same period in 2020. The increase in average portable storage utilization rate was driven by higher utilization on the acquired Mobile Mini units.</w:t>
      </w:r>
    </w:p>
    <w:p>
      <w:pPr>
        <w:spacing w:after="0" w:line="69" w:lineRule="exact"/>
        <w:rPr>
          <w:sz w:val="20"/>
          <w:szCs w:val="20"/>
          <w:color w:val="auto"/>
        </w:rPr>
      </w:pPr>
    </w:p>
    <w:p>
      <w:pPr>
        <w:jc w:val="both"/>
        <w:ind w:firstLine="524"/>
        <w:spacing w:after="0" w:line="282" w:lineRule="auto"/>
        <w:rPr>
          <w:sz w:val="20"/>
          <w:szCs w:val="20"/>
          <w:color w:val="auto"/>
        </w:rPr>
      </w:pPr>
      <w:r>
        <w:rPr>
          <w:rFonts w:ascii="Arial" w:cs="Arial" w:eastAsia="Arial" w:hAnsi="Arial"/>
          <w:sz w:val="13"/>
          <w:szCs w:val="13"/>
          <w:b w:val="1"/>
          <w:bCs w:val="1"/>
          <w:i w:val="1"/>
          <w:iCs w:val="1"/>
          <w:color w:val="auto"/>
        </w:rPr>
        <w:t xml:space="preserve">Gross Profit: </w:t>
      </w:r>
      <w:r>
        <w:rPr>
          <w:rFonts w:ascii="Arial" w:cs="Arial" w:eastAsia="Arial" w:hAnsi="Arial"/>
          <w:sz w:val="13"/>
          <w:szCs w:val="13"/>
          <w:color w:val="auto"/>
        </w:rPr>
        <w:t>Our gross profit percentage was 51.1% and 48.3% for the years ended December 31, 2021 and 2020, respectively. Our gross profit percentage, excluding the effects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depreciation ("adjusted gross profit percentage"), was 63.6% and 62.9% for the years ended December 31, 2021 and 2020, respectively.</w:t>
      </w:r>
    </w:p>
    <w:p>
      <w:pPr>
        <w:spacing w:after="0" w:line="14"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Gross profit increased $308.2 million, or 46.7%, to $968.2 million for the year ended December 31, 2021 from $660.0 million for the year ended December 31, 2020. The increase in gross profit is a result of a $321.0 million increase in leasing gross profit, increased delivery and installation gross profit of $13.7 million, and increased new and rental unit sale margins of $10.4 million. These increases were primarily a result of increased average monthly rental rates in the NA Modular segment on modular space units as well as recent acquisitions. These increases were offset partially by increased depreciation of $36.9 million as a result of acquired fleet and capital investments made over the past twelve months in our existing rental equipment.</w:t>
      </w:r>
    </w:p>
    <w:p>
      <w:pPr>
        <w:spacing w:after="0" w:line="52" w:lineRule="exact"/>
        <w:rPr>
          <w:sz w:val="20"/>
          <w:szCs w:val="20"/>
          <w:color w:val="auto"/>
        </w:rPr>
      </w:pPr>
    </w:p>
    <w:p>
      <w:pPr>
        <w:jc w:val="both"/>
        <w:ind w:firstLine="524"/>
        <w:spacing w:after="0" w:line="265" w:lineRule="auto"/>
        <w:rPr>
          <w:sz w:val="20"/>
          <w:szCs w:val="20"/>
          <w:color w:val="auto"/>
        </w:rPr>
      </w:pPr>
      <w:r>
        <w:rPr>
          <w:rFonts w:ascii="Arial" w:cs="Arial" w:eastAsia="Arial" w:hAnsi="Arial"/>
          <w:sz w:val="13"/>
          <w:szCs w:val="13"/>
          <w:b w:val="1"/>
          <w:bCs w:val="1"/>
          <w:i w:val="1"/>
          <w:iCs w:val="1"/>
          <w:color w:val="auto"/>
        </w:rPr>
        <w:t xml:space="preserve">SG&amp;A Expense: </w:t>
      </w:r>
      <w:r>
        <w:rPr>
          <w:rFonts w:ascii="Arial" w:cs="Arial" w:eastAsia="Arial" w:hAnsi="Arial"/>
          <w:sz w:val="13"/>
          <w:szCs w:val="13"/>
          <w:color w:val="auto"/>
        </w:rPr>
        <w:t>SG&amp;A expense increased $150.8 million, or 41.8%, to $511.4 million for the year ended December 31, 2021, compared to $360.6 million for the year ended December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31, 2020. The primary driver of the increase is related to</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95" w:right="319" w:bottom="1440" w:gutter="0" w:footer="0" w:header="0"/>
        </w:sectPr>
      </w:pPr>
    </w:p>
    <w:bookmarkStart w:id="46" w:name="page47"/>
    <w:bookmarkEnd w:id="46"/>
    <w:p>
      <w:pPr>
        <w:jc w:val="both"/>
        <w:spacing w:after="0" w:line="239" w:lineRule="auto"/>
        <w:rPr>
          <w:sz w:val="20"/>
          <w:szCs w:val="20"/>
          <w:color w:val="auto"/>
        </w:rPr>
      </w:pPr>
      <w:r>
        <w:rPr>
          <w:rFonts w:ascii="Arial" w:cs="Arial" w:eastAsia="Arial" w:hAnsi="Arial"/>
          <w:sz w:val="13"/>
          <w:szCs w:val="13"/>
          <w:color w:val="auto"/>
        </w:rPr>
        <w:t>additional SG&amp;A expense as a result of operating a larger business due to the Merger. SG&amp;A expense for the NA Storage, UK Storage, and Tank and Pump segments totaled $197.4 million for the year ended December 31, 2021.</w:t>
      </w:r>
    </w:p>
    <w:p>
      <w:pPr>
        <w:spacing w:after="0" w:line="58" w:lineRule="exact"/>
        <w:rPr>
          <w:sz w:val="20"/>
          <w:szCs w:val="20"/>
          <w:color w:val="auto"/>
        </w:rPr>
      </w:pPr>
    </w:p>
    <w:p>
      <w:pPr>
        <w:ind w:left="540"/>
        <w:spacing w:after="0"/>
        <w:rPr>
          <w:sz w:val="20"/>
          <w:szCs w:val="20"/>
          <w:color w:val="auto"/>
        </w:rPr>
      </w:pPr>
      <w:r>
        <w:rPr>
          <w:rFonts w:ascii="Arial" w:cs="Arial" w:eastAsia="Arial" w:hAnsi="Arial"/>
          <w:sz w:val="13"/>
          <w:szCs w:val="13"/>
          <w:b w:val="1"/>
          <w:bCs w:val="1"/>
          <w:i w:val="1"/>
          <w:iCs w:val="1"/>
          <w:color w:val="auto"/>
        </w:rPr>
        <w:t xml:space="preserve">Transaction Costs: </w:t>
      </w:r>
      <w:r>
        <w:rPr>
          <w:rFonts w:ascii="Arial" w:cs="Arial" w:eastAsia="Arial" w:hAnsi="Arial"/>
          <w:sz w:val="13"/>
          <w:szCs w:val="13"/>
          <w:color w:val="auto"/>
        </w:rPr>
        <w:t>Transaction costs decreased $62.7 million to $1.4 million for the year ended December 31, 2021. Transaction costs were primarily related to the Merger.</w:t>
      </w:r>
    </w:p>
    <w:p>
      <w:pPr>
        <w:spacing w:after="0" w:line="80" w:lineRule="exact"/>
        <w:rPr>
          <w:sz w:val="20"/>
          <w:szCs w:val="20"/>
          <w:color w:val="auto"/>
        </w:rPr>
      </w:pPr>
    </w:p>
    <w:p>
      <w:pPr>
        <w:jc w:val="both"/>
        <w:ind w:firstLine="524"/>
        <w:spacing w:after="0" w:line="246" w:lineRule="auto"/>
        <w:rPr>
          <w:sz w:val="20"/>
          <w:szCs w:val="20"/>
          <w:color w:val="auto"/>
        </w:rPr>
      </w:pPr>
      <w:r>
        <w:rPr>
          <w:rFonts w:ascii="Arial" w:cs="Arial" w:eastAsia="Arial" w:hAnsi="Arial"/>
          <w:sz w:val="13"/>
          <w:szCs w:val="13"/>
          <w:b w:val="1"/>
          <w:bCs w:val="1"/>
          <w:i w:val="1"/>
          <w:iCs w:val="1"/>
          <w:color w:val="auto"/>
        </w:rPr>
        <w:t xml:space="preserve">Other Depreciation and Amortization: </w:t>
      </w:r>
      <w:r>
        <w:rPr>
          <w:rFonts w:ascii="Arial" w:cs="Arial" w:eastAsia="Arial" w:hAnsi="Arial"/>
          <w:sz w:val="13"/>
          <w:szCs w:val="13"/>
          <w:color w:val="auto"/>
        </w:rPr>
        <w:t>Other depreciation and amortization increased $34.8 million, or 80.6%, to $78.0 million for the year ended December 31, 2021, compared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$43.2 million for the year ended December 31, 2020. The increase was driven by a $21.9 million increase in other depreciation and an $12.9 million increase in amortization of intangible assets primarily as a result of Mobile Mini being included in the 2021 results for a full year as compared to two quarters in 2020.</w:t>
      </w:r>
    </w:p>
    <w:p>
      <w:pPr>
        <w:spacing w:after="0" w:line="54" w:lineRule="exact"/>
        <w:rPr>
          <w:sz w:val="20"/>
          <w:szCs w:val="20"/>
          <w:color w:val="auto"/>
        </w:rPr>
      </w:pPr>
    </w:p>
    <w:p>
      <w:pPr>
        <w:jc w:val="both"/>
        <w:ind w:firstLine="524"/>
        <w:spacing w:after="0" w:line="246" w:lineRule="auto"/>
        <w:rPr>
          <w:sz w:val="20"/>
          <w:szCs w:val="20"/>
          <w:color w:val="auto"/>
        </w:rPr>
      </w:pPr>
      <w:r>
        <w:rPr>
          <w:rFonts w:ascii="Arial" w:cs="Arial" w:eastAsia="Arial" w:hAnsi="Arial"/>
          <w:sz w:val="13"/>
          <w:szCs w:val="13"/>
          <w:b w:val="1"/>
          <w:bCs w:val="1"/>
          <w:i w:val="1"/>
          <w:iCs w:val="1"/>
          <w:color w:val="auto"/>
        </w:rPr>
        <w:t xml:space="preserve">Lease Impairment Expense and Other Related Charges: </w:t>
      </w:r>
      <w:r>
        <w:rPr>
          <w:rFonts w:ascii="Arial" w:cs="Arial" w:eastAsia="Arial" w:hAnsi="Arial"/>
          <w:sz w:val="13"/>
          <w:szCs w:val="13"/>
          <w:color w:val="auto"/>
        </w:rPr>
        <w:t>Lease impairment expense and other related charges were $2.9 million for the year ended December 31, 2021 as compared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to $4.9 million for the year ended December 31, 2020. The decrease in lease impairment expense and other related charges of $2.0 million is a result of fewer closed locations in 2021 as compared to 2020.</w:t>
      </w:r>
    </w:p>
    <w:p>
      <w:pPr>
        <w:spacing w:after="0" w:line="54" w:lineRule="exact"/>
        <w:rPr>
          <w:sz w:val="20"/>
          <w:szCs w:val="20"/>
          <w:color w:val="auto"/>
        </w:rPr>
      </w:pPr>
    </w:p>
    <w:p>
      <w:pPr>
        <w:jc w:val="both"/>
        <w:ind w:firstLine="524"/>
        <w:spacing w:after="0"/>
        <w:rPr>
          <w:sz w:val="20"/>
          <w:szCs w:val="20"/>
          <w:color w:val="auto"/>
        </w:rPr>
      </w:pPr>
      <w:r>
        <w:rPr>
          <w:rFonts w:ascii="Arial" w:cs="Arial" w:eastAsia="Arial" w:hAnsi="Arial"/>
          <w:sz w:val="13"/>
          <w:szCs w:val="13"/>
          <w:b w:val="1"/>
          <w:bCs w:val="1"/>
          <w:i w:val="1"/>
          <w:iCs w:val="1"/>
          <w:color w:val="auto"/>
        </w:rPr>
        <w:t xml:space="preserve">Restructuring Costs: </w:t>
      </w:r>
      <w:r>
        <w:rPr>
          <w:rFonts w:ascii="Arial" w:cs="Arial" w:eastAsia="Arial" w:hAnsi="Arial"/>
          <w:sz w:val="13"/>
          <w:szCs w:val="13"/>
          <w:color w:val="auto"/>
        </w:rPr>
        <w:t>Restructuring costs were $11.9 million for the year ended December 31, 2021 as compared to $6.5 million for the year ended December 31, 2020.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restructuring charges in the year ended December 31, 2021 were primarily due to employee terminations costs as a result of the elimination of positions due to the Merger. The restructuring charges in the year ended December 31, 2020 were primarily due to employee terminations costs as a result of the Merger and, to a lesser extent, reductions in force across our branch network in response to COVID-19 economic conditions.</w:t>
      </w:r>
    </w:p>
    <w:p>
      <w:pPr>
        <w:spacing w:after="0" w:line="57" w:lineRule="exact"/>
        <w:rPr>
          <w:sz w:val="20"/>
          <w:szCs w:val="20"/>
          <w:color w:val="auto"/>
        </w:rPr>
      </w:pPr>
    </w:p>
    <w:p>
      <w:pPr>
        <w:jc w:val="both"/>
        <w:ind w:firstLine="524"/>
        <w:spacing w:after="0" w:line="246" w:lineRule="auto"/>
        <w:rPr>
          <w:sz w:val="20"/>
          <w:szCs w:val="20"/>
          <w:color w:val="auto"/>
        </w:rPr>
      </w:pPr>
      <w:r>
        <w:rPr>
          <w:rFonts w:ascii="Arial" w:cs="Arial" w:eastAsia="Arial" w:hAnsi="Arial"/>
          <w:sz w:val="13"/>
          <w:szCs w:val="13"/>
          <w:b w:val="1"/>
          <w:bCs w:val="1"/>
          <w:i w:val="1"/>
          <w:iCs w:val="1"/>
          <w:color w:val="auto"/>
        </w:rPr>
        <w:t xml:space="preserve">Currency (Gains) Losses, net: </w:t>
      </w:r>
      <w:r>
        <w:rPr>
          <w:rFonts w:ascii="Arial" w:cs="Arial" w:eastAsia="Arial" w:hAnsi="Arial"/>
          <w:sz w:val="13"/>
          <w:szCs w:val="13"/>
          <w:color w:val="auto"/>
        </w:rPr>
        <w:t>Currency (gains) losses, net decreased by $0.9 million to a $0.5 million loss for the year ended December 31, 2021 compared to a $0.4 million gain for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year ended December 31, 2020. The decrease in currency (gains) losses, net, are primarily attributable to the impact of foreign currency exchange rate changes on loans and borrowings and intercompany receivables and payables denominated in a currency other than the subsidiaries’ functional currency.</w:t>
      </w:r>
    </w:p>
    <w:p>
      <w:pPr>
        <w:spacing w:after="0" w:line="54" w:lineRule="exact"/>
        <w:rPr>
          <w:sz w:val="20"/>
          <w:szCs w:val="20"/>
          <w:color w:val="auto"/>
        </w:rPr>
      </w:pPr>
    </w:p>
    <w:p>
      <w:pPr>
        <w:jc w:val="both"/>
        <w:ind w:firstLine="524"/>
        <w:spacing w:after="0" w:line="265" w:lineRule="auto"/>
        <w:rPr>
          <w:sz w:val="20"/>
          <w:szCs w:val="20"/>
          <w:color w:val="auto"/>
        </w:rPr>
      </w:pPr>
      <w:r>
        <w:rPr>
          <w:rFonts w:ascii="Arial" w:cs="Arial" w:eastAsia="Arial" w:hAnsi="Arial"/>
          <w:sz w:val="13"/>
          <w:szCs w:val="13"/>
          <w:b w:val="1"/>
          <w:bCs w:val="1"/>
          <w:i w:val="1"/>
          <w:iCs w:val="1"/>
          <w:color w:val="auto"/>
        </w:rPr>
        <w:t xml:space="preserve">Other (Income) Expense, Net: </w:t>
      </w:r>
      <w:r>
        <w:rPr>
          <w:rFonts w:ascii="Arial" w:cs="Arial" w:eastAsia="Arial" w:hAnsi="Arial"/>
          <w:sz w:val="13"/>
          <w:szCs w:val="13"/>
          <w:color w:val="auto"/>
        </w:rPr>
        <w:t>Other (income) expense, net was $1.8 million of expense for the year ended December 31, 2021 and $1.7 million of income for the year ended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December 31, 2020, primarily related to the reversal of non-operating liabilities of $2.5 million for the year ended December 31, 2020.</w:t>
      </w:r>
    </w:p>
    <w:p>
      <w:pPr>
        <w:spacing w:after="0" w:line="41" w:lineRule="exact"/>
        <w:rPr>
          <w:sz w:val="20"/>
          <w:szCs w:val="20"/>
          <w:color w:val="auto"/>
        </w:rPr>
      </w:pPr>
    </w:p>
    <w:p>
      <w:pPr>
        <w:jc w:val="both"/>
        <w:ind w:firstLine="524"/>
        <w:spacing w:after="0" w:line="246" w:lineRule="auto"/>
        <w:rPr>
          <w:sz w:val="20"/>
          <w:szCs w:val="20"/>
          <w:color w:val="auto"/>
        </w:rPr>
      </w:pPr>
      <w:r>
        <w:rPr>
          <w:rFonts w:ascii="Arial" w:cs="Arial" w:eastAsia="Arial" w:hAnsi="Arial"/>
          <w:sz w:val="13"/>
          <w:szCs w:val="13"/>
          <w:b w:val="1"/>
          <w:bCs w:val="1"/>
          <w:i w:val="1"/>
          <w:iCs w:val="1"/>
          <w:color w:val="auto"/>
        </w:rPr>
        <w:t xml:space="preserve">Interest Expense: </w:t>
      </w:r>
      <w:r>
        <w:rPr>
          <w:rFonts w:ascii="Arial" w:cs="Arial" w:eastAsia="Arial" w:hAnsi="Arial"/>
          <w:sz w:val="13"/>
          <w:szCs w:val="13"/>
          <w:color w:val="auto"/>
        </w:rPr>
        <w:t>Interest expense decreased $1.9 million, or 1.6%, to $118.0 million for the year ended December 31, 2021 from $119.9 million for the year ended December 31,</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2020. The decrease was driven by the redemption of the 2022 Secured Notes and the 2023 Secured Notes in the third quarter of 2020 and the redemption of $123.5 million of our 2025 Secured Notes during 2021.</w:t>
      </w:r>
    </w:p>
    <w:p>
      <w:pPr>
        <w:spacing w:after="0" w:line="65" w:lineRule="exact"/>
        <w:rPr>
          <w:sz w:val="20"/>
          <w:szCs w:val="20"/>
          <w:color w:val="auto"/>
        </w:rPr>
      </w:pPr>
    </w:p>
    <w:p>
      <w:pPr>
        <w:jc w:val="both"/>
        <w:ind w:firstLine="524"/>
        <w:spacing w:after="0" w:line="280" w:lineRule="auto"/>
        <w:rPr>
          <w:sz w:val="20"/>
          <w:szCs w:val="20"/>
          <w:color w:val="auto"/>
        </w:rPr>
      </w:pPr>
      <w:r>
        <w:rPr>
          <w:rFonts w:ascii="Arial" w:cs="Arial" w:eastAsia="Arial" w:hAnsi="Arial"/>
          <w:sz w:val="13"/>
          <w:szCs w:val="13"/>
          <w:b w:val="1"/>
          <w:bCs w:val="1"/>
          <w:i w:val="1"/>
          <w:iCs w:val="1"/>
          <w:color w:val="auto"/>
        </w:rPr>
        <w:t xml:space="preserve">Fair Value (Gain) Loss on Common Stock Warrant Liabilities: </w:t>
      </w:r>
      <w:r>
        <w:rPr>
          <w:rFonts w:ascii="Arial" w:cs="Arial" w:eastAsia="Arial" w:hAnsi="Arial"/>
          <w:sz w:val="13"/>
          <w:szCs w:val="13"/>
          <w:color w:val="auto"/>
        </w:rPr>
        <w:t>The fair value of common stock warrant liabilities decreased $30.1 million to a loss of $26.6 million for the year ended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December 31, 2021. The decrease was primarily attributable to the change in estimated fair value of common stock warrant liabilities.</w:t>
      </w:r>
    </w:p>
    <w:p>
      <w:pPr>
        <w:spacing w:after="0" w:line="1" w:lineRule="exact"/>
        <w:rPr>
          <w:sz w:val="20"/>
          <w:szCs w:val="20"/>
          <w:color w:val="auto"/>
        </w:rPr>
      </w:pPr>
    </w:p>
    <w:p>
      <w:pPr>
        <w:jc w:val="both"/>
        <w:ind w:firstLine="524"/>
        <w:spacing w:after="0" w:line="282" w:lineRule="auto"/>
        <w:rPr>
          <w:sz w:val="20"/>
          <w:szCs w:val="20"/>
          <w:color w:val="auto"/>
        </w:rPr>
      </w:pPr>
      <w:r>
        <w:rPr>
          <w:rFonts w:ascii="Arial" w:cs="Arial" w:eastAsia="Arial" w:hAnsi="Arial"/>
          <w:sz w:val="13"/>
          <w:szCs w:val="13"/>
          <w:b w:val="1"/>
          <w:bCs w:val="1"/>
          <w:i w:val="1"/>
          <w:iCs w:val="1"/>
          <w:color w:val="auto"/>
        </w:rPr>
        <w:t xml:space="preserve">Loss on Extinguishment of Debt: </w:t>
      </w:r>
      <w:r>
        <w:rPr>
          <w:rFonts w:ascii="Arial" w:cs="Arial" w:eastAsia="Arial" w:hAnsi="Arial"/>
          <w:sz w:val="13"/>
          <w:szCs w:val="13"/>
          <w:color w:val="auto"/>
        </w:rPr>
        <w:t>We recorded a loss on extinguishment of debt of $6.0 million for the year ended December 31, 2021 related to the redemption premium and write off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 unamortized deferred financing costs associated with the redemption of $123.5 million of our 2025 Secured Notes.</w:t>
      </w:r>
    </w:p>
    <w:p>
      <w:pPr>
        <w:spacing w:after="0" w:line="14"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For the year ended December 31, 2020, as a result of the Merger and the related financing transactions, we recorded a loss on extinguishment of debt of $42.4 million. This loss on extinguishment of debt was comprised of the redemption premium and write off of unamortized deferred financing costs associated with the following: (i) $15.2 million due to the redemption of the 2022 Secured Notes, (ii) $22.7 million due to the redemption of the 2023 Secured Notes, and (iii) $4.4 million associated with the 2017 ABL Facility.</w:t>
      </w:r>
    </w:p>
    <w:p>
      <w:pPr>
        <w:spacing w:after="0" w:line="17" w:lineRule="exact"/>
        <w:rPr>
          <w:sz w:val="20"/>
          <w:szCs w:val="20"/>
          <w:color w:val="auto"/>
        </w:rPr>
      </w:pPr>
    </w:p>
    <w:p>
      <w:pPr>
        <w:jc w:val="both"/>
        <w:ind w:firstLine="524"/>
        <w:spacing w:after="0" w:line="254" w:lineRule="auto"/>
        <w:rPr>
          <w:sz w:val="20"/>
          <w:szCs w:val="20"/>
          <w:color w:val="auto"/>
        </w:rPr>
      </w:pPr>
      <w:r>
        <w:rPr>
          <w:rFonts w:ascii="Arial" w:cs="Arial" w:eastAsia="Arial" w:hAnsi="Arial"/>
          <w:sz w:val="13"/>
          <w:szCs w:val="13"/>
          <w:b w:val="1"/>
          <w:bCs w:val="1"/>
          <w:i w:val="1"/>
          <w:iCs w:val="1"/>
          <w:color w:val="auto"/>
        </w:rPr>
        <w:t xml:space="preserve">Income Tax Expense: </w:t>
      </w:r>
      <w:r>
        <w:rPr>
          <w:rFonts w:ascii="Arial" w:cs="Arial" w:eastAsia="Arial" w:hAnsi="Arial"/>
          <w:sz w:val="13"/>
          <w:szCs w:val="13"/>
          <w:color w:val="auto"/>
        </w:rPr>
        <w:t>Income tax expense increased $101.0 million to a $49.5 million expense for the year ended December 31, 2021 compared to a $51.5 million benefit for the year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ended December 31, 2020. The increase in income tax expense was a result of higher pre-tax income partially offset by a reduction of reserves for uncertain tax positions of $11.7 million and increased by nondeductible permanent adjustments and a remeasurement of deferred tax liabilities in the UK resulting from the tax rate change in the UK enacted during the year ended December 31, 2021. The income tax benefit recognized in December 31, 2020 was primarily a result of the reversal of our valuation allowance of $56.5 million based on our assessment of deferred tax assets.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17" w:right="319" w:bottom="1440" w:gutter="0" w:footer="0" w:header="0"/>
        </w:sectPr>
      </w:pPr>
    </w:p>
    <w:bookmarkStart w:id="47" w:name="page48"/>
    <w:bookmarkEnd w:id="47"/>
    <w:p>
      <w:pPr>
        <w:spacing w:after="0"/>
        <w:rPr>
          <w:sz w:val="20"/>
          <w:szCs w:val="20"/>
          <w:color w:val="auto"/>
        </w:rPr>
      </w:pPr>
      <w:r>
        <w:rPr>
          <w:rFonts w:ascii="Arial" w:cs="Arial" w:eastAsia="Arial" w:hAnsi="Arial"/>
          <w:sz w:val="15"/>
          <w:szCs w:val="15"/>
          <w:b w:val="1"/>
          <w:bCs w:val="1"/>
          <w:color w:val="auto"/>
        </w:rPr>
        <w:t>Comparison of Years Ended December 31, 2020 and 2019</w:t>
      </w:r>
    </w:p>
    <w:p>
      <w:pPr>
        <w:spacing w:after="0" w:line="50" w:lineRule="exact"/>
        <w:rPr>
          <w:sz w:val="20"/>
          <w:szCs w:val="20"/>
          <w:color w:val="auto"/>
        </w:rPr>
      </w:pPr>
    </w:p>
    <w:p>
      <w:pPr>
        <w:jc w:val="both"/>
        <w:ind w:firstLine="524"/>
        <w:spacing w:after="0" w:line="252" w:lineRule="auto"/>
        <w:rPr>
          <w:sz w:val="20"/>
          <w:szCs w:val="20"/>
          <w:color w:val="auto"/>
        </w:rPr>
      </w:pPr>
      <w:r>
        <w:rPr>
          <w:rFonts w:ascii="Arial" w:cs="Arial" w:eastAsia="Arial" w:hAnsi="Arial"/>
          <w:sz w:val="13"/>
          <w:szCs w:val="13"/>
          <w:b w:val="1"/>
          <w:bCs w:val="1"/>
          <w:i w:val="1"/>
          <w:iCs w:val="1"/>
          <w:color w:val="auto"/>
        </w:rPr>
        <w:t xml:space="preserve">Revenue: </w:t>
      </w:r>
      <w:r>
        <w:rPr>
          <w:rFonts w:ascii="Arial" w:cs="Arial" w:eastAsia="Arial" w:hAnsi="Arial"/>
          <w:sz w:val="13"/>
          <w:szCs w:val="13"/>
          <w:color w:val="auto"/>
        </w:rPr>
        <w:t>Total revenue increased $303.9 million, or 28.6%, to $1,367.6 million for the year ended December 31, 2020 from $1,063.7 million for the year ended December 31, 2019.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increase was primarily driven by the addition of Mobile Mini's revenues to our consolidated results. The Merger closed on July 1, 2020 and drove $316.5 million of the year over year increase. Leasing revenue increased $257.2 million, or 34.6%, as compared to the same period in 2019 driven by an increase of 75,114 average modular space and portable storage units on rent as a result of the Merger, and improved pricing and value-added products in our NA Modular segment. Delivery and installation revenues increased $54.1 million, or 24.6%, due to increased overall activity as a result of the Merger, but was partially offset by lower delivery volumes due to the impact of new project cancellations and delays in the second and third quarter of 2020 as a result of the COVID-19 pandemic. reduced new unit sales which decreased $6.0 million, or 10.2%, and rental unit sales which decreased $1.4 million, or 3.5%, as a result of lower demand in 2020.</w:t>
      </w:r>
    </w:p>
    <w:p>
      <w:pPr>
        <w:spacing w:after="0" w:line="35" w:lineRule="exact"/>
        <w:rPr>
          <w:sz w:val="20"/>
          <w:szCs w:val="20"/>
          <w:color w:val="auto"/>
        </w:rPr>
      </w:pPr>
    </w:p>
    <w:p>
      <w:pPr>
        <w:jc w:val="both"/>
        <w:ind w:firstLine="524"/>
        <w:spacing w:after="0" w:line="246" w:lineRule="auto"/>
        <w:rPr>
          <w:sz w:val="20"/>
          <w:szCs w:val="20"/>
          <w:color w:val="auto"/>
        </w:rPr>
      </w:pPr>
      <w:r>
        <w:rPr>
          <w:rFonts w:ascii="Arial" w:cs="Arial" w:eastAsia="Arial" w:hAnsi="Arial"/>
          <w:sz w:val="13"/>
          <w:szCs w:val="13"/>
          <w:color w:val="auto"/>
        </w:rPr>
        <w:t>Total average modular space and portable storage units on rent for the years ended December 31, 2020 and 2019 were 183,674 and 108,560, respectively. The increase was due primarily to the units acquired as part of the Merger, partially offset by lower delivery volumes in the NA Modular segment, including reduced demand for new projects as a result of the COVID-19 global pandemic disruption on social and business activities. In total, modular space average units on rent increased 7,844 units, or 8.6%, for the year ended December 31, 2020 as compared to the year ended December 31, 2019. Modular space average monthly rental rates increased 7.2% to $658 for the year ended December 31, 2020. Improved pricing was driven by a continuation of the long-term price optimization and VAPS penetration opportunities across our portfolio, partially offset by the dilutive impact of lower rates on the Mobile Mini modular space units due to product mix. Portable storage average units on rent increased by 67,270 units, or 398.6%, for the year ended December 31, 2020. Average portable storage monthly rental rates of $132 represented an increase of $12, or 10.0%, compared to the year ended December 31, 2019. This increase was driven by the accretive impact of higher rates from the Mobile Mini portable storage fleet. The average modular space unit utilization rate during the year ended December 31, 2020 was 70.2%, as compared to 72.0% during the same period in 2019. This decrease was driven by lower demand as a result of the COVID-19 pandemic, partially offset by higher utilization on units acquired as part of the Merger. The average portable storage unit utilization rate during the year ended December 31, 2020 was 75.9%, as compared to 65.8% during the same period in 2019. The increase in average portable storage utilization rate was driven by higher utilization on the acquired Mobile Mini units.</w:t>
      </w:r>
    </w:p>
    <w:p>
      <w:pPr>
        <w:spacing w:after="0" w:line="68" w:lineRule="exact"/>
        <w:rPr>
          <w:sz w:val="20"/>
          <w:szCs w:val="20"/>
          <w:color w:val="auto"/>
        </w:rPr>
      </w:pPr>
    </w:p>
    <w:p>
      <w:pPr>
        <w:jc w:val="both"/>
        <w:ind w:firstLine="524"/>
        <w:spacing w:after="0" w:line="282" w:lineRule="auto"/>
        <w:rPr>
          <w:sz w:val="20"/>
          <w:szCs w:val="20"/>
          <w:color w:val="auto"/>
        </w:rPr>
      </w:pPr>
      <w:r>
        <w:rPr>
          <w:rFonts w:ascii="Arial" w:cs="Arial" w:eastAsia="Arial" w:hAnsi="Arial"/>
          <w:sz w:val="13"/>
          <w:szCs w:val="13"/>
          <w:b w:val="1"/>
          <w:bCs w:val="1"/>
          <w:i w:val="1"/>
          <w:iCs w:val="1"/>
          <w:color w:val="auto"/>
        </w:rPr>
        <w:t xml:space="preserve">Gross Profit: </w:t>
      </w:r>
      <w:r>
        <w:rPr>
          <w:rFonts w:ascii="Arial" w:cs="Arial" w:eastAsia="Arial" w:hAnsi="Arial"/>
          <w:sz w:val="13"/>
          <w:szCs w:val="13"/>
          <w:color w:val="auto"/>
        </w:rPr>
        <w:t>Our gross profit percentage was 48.3% and 38.9% for the years ended December 31, 2020 and 2019, respectively. Our gross profit percentage, excluding the effects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depreciation ("adjusted gross profit percentage"), was 62.9% and 55.3% for the years ended December 31, 2020 and 2019, respectively.</w:t>
      </w:r>
    </w:p>
    <w:p>
      <w:pPr>
        <w:spacing w:after="0" w:line="58"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Gross profit increased $246.7 million, or 59.7%, to $660.0 million for the year ended December 31, 2020 from $413.3 million for the year ended December 31, 2019. The increase in gross profit is a result of a $243.0 million increase in leasing gross profit, increased delivery and installation gross profit of $28.1 million, and increased new and rental unit sale margins of $1.5 million. These increases were primarily a result of increased revenues due to the Merger and to favorable average monthly rental rates in the NA Modular segment on modular space units, as well as modular leasing cost savings due to lower delivery volumes that were achieved as a result of actions we took to scale back variable labor and material costs in response to lower demand for new project deliveries. These increases were offset partially by lower delivery and installation activity volumes in the NA Modular segment in the second and third quarters of 2020 due to reduced delivery demand and by increased depreciation of $25.9 million as a result of fleet acquired in the Merger and capital investments made over the past twelve months in our existing rental equipment.</w:t>
      </w:r>
    </w:p>
    <w:p>
      <w:pPr>
        <w:spacing w:after="0" w:line="54" w:lineRule="exact"/>
        <w:rPr>
          <w:sz w:val="20"/>
          <w:szCs w:val="20"/>
          <w:color w:val="auto"/>
        </w:rPr>
      </w:pPr>
    </w:p>
    <w:p>
      <w:pPr>
        <w:jc w:val="both"/>
        <w:ind w:firstLine="524"/>
        <w:spacing w:after="0" w:line="246" w:lineRule="auto"/>
        <w:rPr>
          <w:sz w:val="20"/>
          <w:szCs w:val="20"/>
          <w:color w:val="auto"/>
        </w:rPr>
      </w:pPr>
      <w:r>
        <w:rPr>
          <w:rFonts w:ascii="Arial" w:cs="Arial" w:eastAsia="Arial" w:hAnsi="Arial"/>
          <w:sz w:val="13"/>
          <w:szCs w:val="13"/>
          <w:b w:val="1"/>
          <w:bCs w:val="1"/>
          <w:i w:val="1"/>
          <w:iCs w:val="1"/>
          <w:color w:val="auto"/>
        </w:rPr>
        <w:t xml:space="preserve">SG&amp;A Expense: </w:t>
      </w:r>
      <w:r>
        <w:rPr>
          <w:rFonts w:ascii="Arial" w:cs="Arial" w:eastAsia="Arial" w:hAnsi="Arial"/>
          <w:sz w:val="13"/>
          <w:szCs w:val="13"/>
          <w:color w:val="auto"/>
        </w:rPr>
        <w:t>SG&amp;A expense increased $89.6 million, or 33.1%, to $360.6 million for the year ended December 31, 2020, compared to $271.0 million for the year ended December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31, 2019. The primary driver of the increase is related to additional SG&amp;A expense as a result of operating a larger business due to the Merger. SG&amp;A expense for the NA Storage, UK Storage, and Tank and Pump segments totaled $90.8 million for the year ended December 31, 2020.</w:t>
      </w:r>
    </w:p>
    <w:p>
      <w:pPr>
        <w:spacing w:after="0" w:line="54" w:lineRule="exact"/>
        <w:rPr>
          <w:sz w:val="20"/>
          <w:szCs w:val="20"/>
          <w:color w:val="auto"/>
        </w:rPr>
      </w:pPr>
    </w:p>
    <w:p>
      <w:pPr>
        <w:ind w:left="540"/>
        <w:spacing w:after="0"/>
        <w:rPr>
          <w:sz w:val="20"/>
          <w:szCs w:val="20"/>
          <w:color w:val="auto"/>
        </w:rPr>
      </w:pPr>
      <w:r>
        <w:rPr>
          <w:rFonts w:ascii="Arial" w:cs="Arial" w:eastAsia="Arial" w:hAnsi="Arial"/>
          <w:sz w:val="13"/>
          <w:szCs w:val="13"/>
          <w:b w:val="1"/>
          <w:bCs w:val="1"/>
          <w:i w:val="1"/>
          <w:iCs w:val="1"/>
          <w:color w:val="auto"/>
        </w:rPr>
        <w:t xml:space="preserve">Transaction Costs: </w:t>
      </w:r>
      <w:r>
        <w:rPr>
          <w:rFonts w:ascii="Arial" w:cs="Arial" w:eastAsia="Arial" w:hAnsi="Arial"/>
          <w:sz w:val="13"/>
          <w:szCs w:val="13"/>
          <w:color w:val="auto"/>
        </w:rPr>
        <w:t>Transaction costs increased $64.1 million for the year ended December 31, 2020. Transaction costs were related to the Merger.</w:t>
      </w:r>
    </w:p>
    <w:p>
      <w:pPr>
        <w:spacing w:after="0" w:line="80" w:lineRule="exact"/>
        <w:rPr>
          <w:sz w:val="20"/>
          <w:szCs w:val="20"/>
          <w:color w:val="auto"/>
        </w:rPr>
      </w:pPr>
    </w:p>
    <w:p>
      <w:pPr>
        <w:jc w:val="both"/>
        <w:ind w:firstLine="524"/>
        <w:spacing w:after="0" w:line="246" w:lineRule="auto"/>
        <w:rPr>
          <w:sz w:val="20"/>
          <w:szCs w:val="20"/>
          <w:color w:val="auto"/>
        </w:rPr>
      </w:pPr>
      <w:r>
        <w:rPr>
          <w:rFonts w:ascii="Arial" w:cs="Arial" w:eastAsia="Arial" w:hAnsi="Arial"/>
          <w:sz w:val="13"/>
          <w:szCs w:val="13"/>
          <w:b w:val="1"/>
          <w:bCs w:val="1"/>
          <w:i w:val="1"/>
          <w:iCs w:val="1"/>
          <w:color w:val="auto"/>
        </w:rPr>
        <w:t xml:space="preserve">Other Depreciation and Amortization: </w:t>
      </w:r>
      <w:r>
        <w:rPr>
          <w:rFonts w:ascii="Arial" w:cs="Arial" w:eastAsia="Arial" w:hAnsi="Arial"/>
          <w:sz w:val="13"/>
          <w:szCs w:val="13"/>
          <w:color w:val="auto"/>
        </w:rPr>
        <w:t>Other depreciation and amortization increased $ 30.8 million, or 248.4%, to $43.2 million for the year ended December 31, 2020, compared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$12.4 million for the year ended December 31, 2019. $18.2 million of the increase was driven by increased Other depreciation as a result of the inclusion of Mobile Mini beginning in the third quarter of 2020 and $13.4 million was driven by the amortization of the customer relationship intangible asset acquired in the Merger.</w:t>
      </w:r>
    </w:p>
    <w:p>
      <w:pPr>
        <w:spacing w:after="0" w:line="54" w:lineRule="exact"/>
        <w:rPr>
          <w:sz w:val="20"/>
          <w:szCs w:val="20"/>
          <w:color w:val="auto"/>
        </w:rPr>
      </w:pPr>
    </w:p>
    <w:p>
      <w:pPr>
        <w:jc w:val="both"/>
        <w:ind w:firstLine="524"/>
        <w:spacing w:after="0" w:line="265" w:lineRule="auto"/>
        <w:rPr>
          <w:sz w:val="20"/>
          <w:szCs w:val="20"/>
          <w:color w:val="auto"/>
        </w:rPr>
      </w:pPr>
      <w:r>
        <w:rPr>
          <w:rFonts w:ascii="Arial" w:cs="Arial" w:eastAsia="Arial" w:hAnsi="Arial"/>
          <w:sz w:val="13"/>
          <w:szCs w:val="13"/>
          <w:b w:val="1"/>
          <w:bCs w:val="1"/>
          <w:i w:val="1"/>
          <w:iCs w:val="1"/>
          <w:color w:val="auto"/>
        </w:rPr>
        <w:t xml:space="preserve">Impairment losses on Long-Lived Assets: </w:t>
      </w:r>
      <w:r>
        <w:rPr>
          <w:rFonts w:ascii="Arial" w:cs="Arial" w:eastAsia="Arial" w:hAnsi="Arial"/>
          <w:sz w:val="13"/>
          <w:szCs w:val="13"/>
          <w:color w:val="auto"/>
        </w:rPr>
        <w:t>Impairment losses on long-lived assets were $2.8 million for the year ended December 31, 2019 related to the valuation of properties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classified as assets held for sale as a result of the ModSpace acquisition. No similar impairments occurred during the year ended December 31, 2020.</w:t>
      </w:r>
    </w:p>
    <w:p>
      <w:pPr>
        <w:spacing w:after="0" w:line="41" w:lineRule="exact"/>
        <w:rPr>
          <w:sz w:val="20"/>
          <w:szCs w:val="20"/>
          <w:color w:val="auto"/>
        </w:rPr>
      </w:pPr>
    </w:p>
    <w:p>
      <w:pPr>
        <w:jc w:val="both"/>
        <w:ind w:firstLine="524"/>
        <w:spacing w:after="0" w:line="246" w:lineRule="auto"/>
        <w:rPr>
          <w:sz w:val="20"/>
          <w:szCs w:val="20"/>
          <w:color w:val="auto"/>
        </w:rPr>
      </w:pPr>
      <w:r>
        <w:rPr>
          <w:rFonts w:ascii="Arial" w:cs="Arial" w:eastAsia="Arial" w:hAnsi="Arial"/>
          <w:sz w:val="13"/>
          <w:szCs w:val="13"/>
          <w:b w:val="1"/>
          <w:bCs w:val="1"/>
          <w:i w:val="1"/>
          <w:iCs w:val="1"/>
          <w:color w:val="auto"/>
        </w:rPr>
        <w:t xml:space="preserve">Lease Impairment Expense and Other Related Charges: </w:t>
      </w:r>
      <w:r>
        <w:rPr>
          <w:rFonts w:ascii="Arial" w:cs="Arial" w:eastAsia="Arial" w:hAnsi="Arial"/>
          <w:sz w:val="13"/>
          <w:szCs w:val="13"/>
          <w:color w:val="auto"/>
        </w:rPr>
        <w:t>Lease impairment expense and other related charges were $4.9 million for the year ended December 31, 2020 as compared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to $8.7 million for the year ended December 31, 2019. The decrease in Lease impairment expense and other related charges of $3.8 million in 2020 is a result of fewer remaining closed locations in 2020 due to successful lease exits related to the ModSpace acquisition.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07" w:right="319" w:bottom="1440" w:gutter="0" w:footer="0" w:header="0"/>
        </w:sectPr>
      </w:pPr>
    </w:p>
    <w:bookmarkStart w:id="48" w:name="page49"/>
    <w:bookmarkEnd w:id="48"/>
    <w:p>
      <w:pPr>
        <w:jc w:val="both"/>
        <w:ind w:firstLine="524"/>
        <w:spacing w:after="0"/>
        <w:rPr>
          <w:sz w:val="20"/>
          <w:szCs w:val="20"/>
          <w:color w:val="auto"/>
        </w:rPr>
      </w:pPr>
      <w:r>
        <w:rPr>
          <w:rFonts w:ascii="Arial" w:cs="Arial" w:eastAsia="Arial" w:hAnsi="Arial"/>
          <w:sz w:val="13"/>
          <w:szCs w:val="13"/>
          <w:b w:val="1"/>
          <w:bCs w:val="1"/>
          <w:i w:val="1"/>
          <w:iCs w:val="1"/>
          <w:color w:val="auto"/>
        </w:rPr>
        <w:t xml:space="preserve">Restructuring Costs: </w:t>
      </w:r>
      <w:r>
        <w:rPr>
          <w:rFonts w:ascii="Arial" w:cs="Arial" w:eastAsia="Arial" w:hAnsi="Arial"/>
          <w:sz w:val="13"/>
          <w:szCs w:val="13"/>
          <w:color w:val="auto"/>
        </w:rPr>
        <w:t>Restructuring costs were $6.5 million for the year ended December 31, 2020 as compared to $3.8 million for the year ended December 31, 2019.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restructuring charges in the year ended December 31, 2020 were primarily due to employee terminations costs as a result of the Merger and, to a lesser extent, reductions in force across our branch network in response to COVID-19 economic conditions. The restructuring charges in the year ended December 31, 2019 related primarily to employee termination costs related to the ModSpace and Acton acquisitions and integrations.</w:t>
      </w:r>
    </w:p>
    <w:p>
      <w:pPr>
        <w:spacing w:after="0" w:line="57" w:lineRule="exact"/>
        <w:rPr>
          <w:sz w:val="20"/>
          <w:szCs w:val="20"/>
          <w:color w:val="auto"/>
        </w:rPr>
      </w:pPr>
    </w:p>
    <w:p>
      <w:pPr>
        <w:jc w:val="both"/>
        <w:ind w:firstLine="524"/>
        <w:spacing w:after="0" w:line="246" w:lineRule="auto"/>
        <w:rPr>
          <w:sz w:val="20"/>
          <w:szCs w:val="20"/>
          <w:color w:val="auto"/>
        </w:rPr>
      </w:pPr>
      <w:r>
        <w:rPr>
          <w:rFonts w:ascii="Arial" w:cs="Arial" w:eastAsia="Arial" w:hAnsi="Arial"/>
          <w:sz w:val="13"/>
          <w:szCs w:val="13"/>
          <w:b w:val="1"/>
          <w:bCs w:val="1"/>
          <w:i w:val="1"/>
          <w:iCs w:val="1"/>
          <w:color w:val="auto"/>
        </w:rPr>
        <w:t xml:space="preserve">Currency (Gains) Losses, net: </w:t>
      </w:r>
      <w:r>
        <w:rPr>
          <w:rFonts w:ascii="Arial" w:cs="Arial" w:eastAsia="Arial" w:hAnsi="Arial"/>
          <w:sz w:val="13"/>
          <w:szCs w:val="13"/>
          <w:color w:val="auto"/>
        </w:rPr>
        <w:t>Currency (gains) losses, net decreased by $0.3 million to a $0.4 million gain for the year ended December 31, 2020 compared to a $0.7 million gain for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year ended December 31, 2019. The decrease in currency (gains) losses, net, are primarily attributable to the impact of foreign currency exchange rate changes on loans and borrowings and intercompany receivables and payables denominated in a currency other than the subsidiaries’ functional currency.</w:t>
      </w:r>
    </w:p>
    <w:p>
      <w:pPr>
        <w:spacing w:after="0" w:line="54" w:lineRule="exact"/>
        <w:rPr>
          <w:sz w:val="20"/>
          <w:szCs w:val="20"/>
          <w:color w:val="auto"/>
        </w:rPr>
      </w:pPr>
    </w:p>
    <w:p>
      <w:pPr>
        <w:jc w:val="both"/>
        <w:ind w:firstLine="524"/>
        <w:spacing w:after="0" w:line="246" w:lineRule="auto"/>
        <w:rPr>
          <w:sz w:val="20"/>
          <w:szCs w:val="20"/>
          <w:color w:val="auto"/>
        </w:rPr>
      </w:pPr>
      <w:r>
        <w:rPr>
          <w:rFonts w:ascii="Arial" w:cs="Arial" w:eastAsia="Arial" w:hAnsi="Arial"/>
          <w:sz w:val="13"/>
          <w:szCs w:val="13"/>
          <w:b w:val="1"/>
          <w:bCs w:val="1"/>
          <w:i w:val="1"/>
          <w:iCs w:val="1"/>
          <w:color w:val="auto"/>
        </w:rPr>
        <w:t xml:space="preserve">Other Income, Net: </w:t>
      </w:r>
      <w:r>
        <w:rPr>
          <w:rFonts w:ascii="Arial" w:cs="Arial" w:eastAsia="Arial" w:hAnsi="Arial"/>
          <w:sz w:val="13"/>
          <w:szCs w:val="13"/>
          <w:color w:val="auto"/>
        </w:rPr>
        <w:t>Other income, net was $1.7 million and $2.2 million for the year ended December 31, 2020 and 2019, respectively. Other income, net of $1.7 million for the year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ended December 31, 2020 was primarily related to the reversal of non-operating liabilities of $2.5 million. Other income, net of $2.2 million for the year ended December 31, 2019 was driven primarily by the receipt of $3.2 million of insurance proceeds related to assets damaged during Hurricane Harvey.</w:t>
      </w:r>
    </w:p>
    <w:p>
      <w:pPr>
        <w:spacing w:after="0" w:line="54" w:lineRule="exact"/>
        <w:rPr>
          <w:sz w:val="20"/>
          <w:szCs w:val="20"/>
          <w:color w:val="auto"/>
        </w:rPr>
      </w:pPr>
    </w:p>
    <w:p>
      <w:pPr>
        <w:jc w:val="both"/>
        <w:ind w:firstLine="524"/>
        <w:spacing w:after="0" w:line="246" w:lineRule="auto"/>
        <w:rPr>
          <w:sz w:val="20"/>
          <w:szCs w:val="20"/>
          <w:color w:val="auto"/>
        </w:rPr>
      </w:pPr>
      <w:r>
        <w:rPr>
          <w:rFonts w:ascii="Arial" w:cs="Arial" w:eastAsia="Arial" w:hAnsi="Arial"/>
          <w:sz w:val="13"/>
          <w:szCs w:val="13"/>
          <w:b w:val="1"/>
          <w:bCs w:val="1"/>
          <w:i w:val="1"/>
          <w:iCs w:val="1"/>
          <w:color w:val="auto"/>
        </w:rPr>
        <w:t xml:space="preserve">Interest Expense: </w:t>
      </w:r>
      <w:r>
        <w:rPr>
          <w:rFonts w:ascii="Arial" w:cs="Arial" w:eastAsia="Arial" w:hAnsi="Arial"/>
          <w:sz w:val="13"/>
          <w:szCs w:val="13"/>
          <w:color w:val="auto"/>
        </w:rPr>
        <w:t>Interest expense decreased $2.6 million, or 2.1%, to $119.9 million for the year ended December 31, 2020 from $122.5 million for the year ended December 31,</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2019. The decrease was driven by lower interest rates on our ABL facilities, the repayment of our 10% Unsecured Notes in 2019 and the lower interest rates on our 2025 Secured Notes and 2028 Secured Notes, partially offset by an $800 million increase in debt outstanding as a result of the Merger.</w:t>
      </w:r>
    </w:p>
    <w:p>
      <w:pPr>
        <w:spacing w:after="0" w:line="54" w:lineRule="exact"/>
        <w:rPr>
          <w:sz w:val="20"/>
          <w:szCs w:val="20"/>
          <w:color w:val="auto"/>
        </w:rPr>
      </w:pPr>
    </w:p>
    <w:p>
      <w:pPr>
        <w:jc w:val="both"/>
        <w:ind w:firstLine="524"/>
        <w:spacing w:after="0" w:line="246" w:lineRule="auto"/>
        <w:rPr>
          <w:sz w:val="20"/>
          <w:szCs w:val="20"/>
          <w:color w:val="auto"/>
        </w:rPr>
      </w:pPr>
      <w:r>
        <w:rPr>
          <w:rFonts w:ascii="Arial" w:cs="Arial" w:eastAsia="Arial" w:hAnsi="Arial"/>
          <w:sz w:val="13"/>
          <w:szCs w:val="13"/>
          <w:b w:val="1"/>
          <w:bCs w:val="1"/>
          <w:i w:val="1"/>
          <w:iCs w:val="1"/>
          <w:color w:val="auto"/>
        </w:rPr>
        <w:t xml:space="preserve">Fair Value (Gain) Loss on Common Stock Warrant Liabilities: </w:t>
      </w:r>
      <w:r>
        <w:rPr>
          <w:rFonts w:ascii="Arial" w:cs="Arial" w:eastAsia="Arial" w:hAnsi="Arial"/>
          <w:sz w:val="13"/>
          <w:szCs w:val="13"/>
          <w:color w:val="auto"/>
        </w:rPr>
        <w:t>The fair value of common stock warrant liabilities increased $113.1 million, to a $3.5 million gain for the year ended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December 31, 2020 from a $109.6 million loss for the year ended December 31, 2019. The increase was primarily attributable to the change in estimated fair value of common stock warrant liabilities.</w:t>
      </w:r>
    </w:p>
    <w:p>
      <w:pPr>
        <w:spacing w:after="0" w:line="54" w:lineRule="exact"/>
        <w:rPr>
          <w:sz w:val="20"/>
          <w:szCs w:val="20"/>
          <w:color w:val="auto"/>
        </w:rPr>
      </w:pPr>
    </w:p>
    <w:p>
      <w:pPr>
        <w:jc w:val="both"/>
        <w:ind w:firstLine="524"/>
        <w:spacing w:after="0"/>
        <w:rPr>
          <w:sz w:val="20"/>
          <w:szCs w:val="20"/>
          <w:color w:val="auto"/>
        </w:rPr>
      </w:pPr>
      <w:r>
        <w:rPr>
          <w:rFonts w:ascii="Arial" w:cs="Arial" w:eastAsia="Arial" w:hAnsi="Arial"/>
          <w:sz w:val="13"/>
          <w:szCs w:val="13"/>
          <w:b w:val="1"/>
          <w:bCs w:val="1"/>
          <w:i w:val="1"/>
          <w:iCs w:val="1"/>
          <w:color w:val="auto"/>
        </w:rPr>
        <w:t xml:space="preserve">Loss on Extinguishment of Debt: </w:t>
      </w:r>
      <w:r>
        <w:rPr>
          <w:rFonts w:ascii="Arial" w:cs="Arial" w:eastAsia="Arial" w:hAnsi="Arial"/>
          <w:sz w:val="13"/>
          <w:szCs w:val="13"/>
          <w:color w:val="auto"/>
        </w:rPr>
        <w:t>As a result of the Merger and the related financing transactions, we recorded a loss on extinguishment of debt of $42.4 million in the year ended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December 31, 2020. This loss on extinguishment of debt was comprised of the redemption premium and write off of unamortized deferred financing costs associated with the following: (i) $15.2 million due to the redemption of the 2022 Secured Notes, (ii) $22.7 million due to the redemption of the 2023 Secured Notes, and (iii) $4.4 million associated with the 2017 ABL Facility. For the year ended December 31, 2019, we recorded $8.8 million of losses on extinguishment of debt consisting of $1.5 million related to the $30 million redemption of the 2022 Secured Notes at a redemption price of 103% and $7.2 million related to the redemption of the 2023 senior unsecured notes at a redemption price of 102.0%, plus a make-whole premium of 1.1%, for total premiums of 3.1%.</w:t>
      </w:r>
    </w:p>
    <w:p>
      <w:pPr>
        <w:spacing w:after="0" w:line="203" w:lineRule="exact"/>
        <w:rPr>
          <w:sz w:val="20"/>
          <w:szCs w:val="20"/>
          <w:color w:val="auto"/>
        </w:rPr>
      </w:pPr>
    </w:p>
    <w:p>
      <w:pPr>
        <w:jc w:val="both"/>
        <w:ind w:firstLine="524"/>
        <w:spacing w:after="0" w:line="257" w:lineRule="auto"/>
        <w:rPr>
          <w:sz w:val="20"/>
          <w:szCs w:val="20"/>
          <w:color w:val="auto"/>
        </w:rPr>
      </w:pPr>
      <w:r>
        <w:rPr>
          <w:rFonts w:ascii="Arial" w:cs="Arial" w:eastAsia="Arial" w:hAnsi="Arial"/>
          <w:sz w:val="13"/>
          <w:szCs w:val="13"/>
          <w:b w:val="1"/>
          <w:bCs w:val="1"/>
          <w:i w:val="1"/>
          <w:iCs w:val="1"/>
          <w:color w:val="auto"/>
        </w:rPr>
        <w:t xml:space="preserve">Income Tax Benefit: </w:t>
      </w:r>
      <w:r>
        <w:rPr>
          <w:rFonts w:ascii="Arial" w:cs="Arial" w:eastAsia="Arial" w:hAnsi="Arial"/>
          <w:sz w:val="13"/>
          <w:szCs w:val="13"/>
          <w:color w:val="auto"/>
        </w:rPr>
        <w:t>Income tax benefit increased $49.3 million to a $51.5 million benefit for the year ended December 31, 2020 compared to a $2.2 million benefit for the year ended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December 31, 2019. The increase in income tax benefit was driven by a reversal of our valuation allowance of $56.5 million based on our assessment of deferred tax assets, a reduction of reserves for uncertain tax positions of $11.2 million, partially offset by tax expense from pre-tax income and non-deductible expense in the year ended December 31, 2020 as compared to discrete benefits recorded in the year ended December 31, 2019.</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Business Segments</w:t>
      </w:r>
    </w:p>
    <w:p>
      <w:pPr>
        <w:spacing w:after="0" w:line="42"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The Company operates in four reportable segments as follows: NA Modular, NA Storage, UK Storage and Tank and Pump. The NA Modular segment represents the activities of the North America modular business. NA Storage represents the activities of the North America portable storage business. The UK Storage business represents the results of all modular and portable storage operations in the UK. The Tank and Pump segment represents the results of all operations for Tank and Pump services. Prior to the third quarter of 2021, the NA Modular segment represented the activities of WillScot historical segments prior to the Merger and the NA Storage, UK Storage and Tank and Pump segments represented the segments reported by Mobile Mini prior to the Merger. During the third quarter of 2021, the majority of the portable storage product business within the NA Modular segment was transitioned to the NA Storage segment, and associated revenues, expenses, and operating metrics beginning in the third quarter of 2021 were transferred to the NA Storage segment, representing a shift of approximately $5.0 million of revenue and gross margin per quarter from the NA Modular segment to the NA Storage segment. This adjustment was not made to the historical segment results of prior periods, as we believe such adjustments to be immaterial.</w:t>
      </w:r>
    </w:p>
    <w:p>
      <w:pPr>
        <w:spacing w:after="0" w:line="36"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The following tables and discussion summarize our reportable segment financial information for the years ended December 31, 2021, 2020 and 2019. Consistent with the presentation of our consolidated financial statements, the below segment results only include results from Mobile Mini for the periods subsequent to the Merger and do not include any unrealized incremental cost savings, revenue growth or pro forma adjustments that management expects to result from the integration of the merged business.</w:t>
      </w:r>
    </w:p>
    <w:p>
      <w:pPr>
        <w:spacing w:after="0" w:line="33"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A Summary Business Segment Supplemental Unaudited Pro Forma Financial Information section has been included in this MD&amp;A in order to provide period over period comparable financial information for the NA Storage, UK Storage and Tank and Pump reporting segments as these segments were not included in our reported results for the first six months of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01" w:right="319" w:bottom="1440" w:gutter="0" w:footer="0" w:header="0"/>
        </w:sectPr>
      </w:pPr>
    </w:p>
    <w:bookmarkStart w:id="49" w:name="page50"/>
    <w:bookmarkEnd w:id="49"/>
    <w:p>
      <w:pPr>
        <w:spacing w:after="0"/>
        <w:rPr>
          <w:sz w:val="20"/>
          <w:szCs w:val="20"/>
          <w:color w:val="auto"/>
        </w:rPr>
      </w:pPr>
      <w:r>
        <w:rPr>
          <w:rFonts w:ascii="Arial" w:cs="Arial" w:eastAsia="Arial" w:hAnsi="Arial"/>
          <w:sz w:val="19"/>
          <w:szCs w:val="19"/>
          <w:color w:val="1D2758"/>
        </w:rPr>
        <w:t>Business Segment Results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2021, 2020 and 2019</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80" w:type="dxa"/>
            <w:vAlign w:val="bottom"/>
            <w:shd w:val="clear" w:color="auto" w:fill="1D2758"/>
          </w:tcPr>
          <w:p>
            <w:pPr>
              <w:spacing w:after="0"/>
              <w:rPr>
                <w:sz w:val="15"/>
                <w:szCs w:val="15"/>
                <w:color w:val="auto"/>
              </w:rPr>
            </w:pPr>
          </w:p>
        </w:tc>
        <w:tc>
          <w:tcPr>
            <w:tcW w:w="220" w:type="dxa"/>
            <w:vAlign w:val="bottom"/>
            <w:shd w:val="clear" w:color="auto" w:fill="1D2758"/>
          </w:tcPr>
          <w:p>
            <w:pPr>
              <w:spacing w:after="0"/>
              <w:rPr>
                <w:sz w:val="15"/>
                <w:szCs w:val="15"/>
                <w:color w:val="auto"/>
              </w:rPr>
            </w:pPr>
          </w:p>
        </w:tc>
        <w:tc>
          <w:tcPr>
            <w:tcW w:w="1240" w:type="dxa"/>
            <w:vAlign w:val="bottom"/>
            <w:shd w:val="clear" w:color="auto" w:fill="1D2758"/>
          </w:tcPr>
          <w:p>
            <w:pPr>
              <w:spacing w:after="0"/>
              <w:rPr>
                <w:sz w:val="15"/>
                <w:szCs w:val="15"/>
                <w:color w:val="auto"/>
              </w:rPr>
            </w:pPr>
          </w:p>
        </w:tc>
        <w:tc>
          <w:tcPr>
            <w:tcW w:w="280" w:type="dxa"/>
            <w:vAlign w:val="bottom"/>
            <w:shd w:val="clear" w:color="auto" w:fill="1D2758"/>
          </w:tcPr>
          <w:p>
            <w:pPr>
              <w:spacing w:after="0"/>
              <w:rPr>
                <w:sz w:val="15"/>
                <w:szCs w:val="15"/>
                <w:color w:val="auto"/>
              </w:rPr>
            </w:pPr>
          </w:p>
        </w:tc>
        <w:tc>
          <w:tcPr>
            <w:tcW w:w="2940" w:type="dxa"/>
            <w:vAlign w:val="bottom"/>
            <w:gridSpan w:val="4"/>
            <w:shd w:val="clear" w:color="auto" w:fill="1D2758"/>
          </w:tcPr>
          <w:p>
            <w:pPr>
              <w:jc w:val="right"/>
              <w:spacing w:after="0"/>
              <w:rPr>
                <w:sz w:val="20"/>
                <w:szCs w:val="20"/>
                <w:color w:val="auto"/>
              </w:rPr>
            </w:pPr>
            <w:r>
              <w:rPr>
                <w:rFonts w:ascii="Arial" w:cs="Arial" w:eastAsia="Arial" w:hAnsi="Arial"/>
                <w:sz w:val="13"/>
                <w:szCs w:val="13"/>
                <w:b w:val="1"/>
                <w:bCs w:val="1"/>
                <w:color w:val="FFFFFF"/>
              </w:rPr>
              <w:t>Year Ended December 31, 2021</w:t>
            </w:r>
          </w:p>
        </w:tc>
        <w:tc>
          <w:tcPr>
            <w:tcW w:w="1260" w:type="dxa"/>
            <w:vAlign w:val="bottom"/>
            <w:shd w:val="clear" w:color="auto" w:fill="1D2758"/>
          </w:tcPr>
          <w:p>
            <w:pPr>
              <w:spacing w:after="0"/>
              <w:rPr>
                <w:sz w:val="15"/>
                <w:szCs w:val="15"/>
                <w:color w:val="auto"/>
              </w:rPr>
            </w:pPr>
          </w:p>
        </w:tc>
        <w:tc>
          <w:tcPr>
            <w:tcW w:w="360" w:type="dxa"/>
            <w:vAlign w:val="bottom"/>
            <w:shd w:val="clear" w:color="auto" w:fill="1D2758"/>
          </w:tcPr>
          <w:p>
            <w:pPr>
              <w:spacing w:after="0"/>
              <w:rPr>
                <w:sz w:val="15"/>
                <w:szCs w:val="15"/>
                <w:color w:val="auto"/>
              </w:rPr>
            </w:pPr>
          </w:p>
        </w:tc>
        <w:tc>
          <w:tcPr>
            <w:tcW w:w="1100" w:type="dxa"/>
            <w:vAlign w:val="bottom"/>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8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 except for units on rent and rates)</w:t>
            </w:r>
          </w:p>
        </w:tc>
        <w:tc>
          <w:tcPr>
            <w:tcW w:w="220" w:type="dxa"/>
            <w:vAlign w:val="bottom"/>
            <w:shd w:val="clear" w:color="auto" w:fill="1D2758"/>
          </w:tcPr>
          <w:p>
            <w:pPr>
              <w:spacing w:after="0"/>
              <w:rPr>
                <w:sz w:val="15"/>
                <w:szCs w:val="15"/>
                <w:color w:val="auto"/>
              </w:rPr>
            </w:pPr>
          </w:p>
        </w:tc>
        <w:tc>
          <w:tcPr>
            <w:tcW w:w="1240" w:type="dxa"/>
            <w:vAlign w:val="bottom"/>
            <w:vMerge w:val="restart"/>
            <w:shd w:val="clear" w:color="auto" w:fill="1D2758"/>
          </w:tcPr>
          <w:p>
            <w:pPr>
              <w:jc w:val="right"/>
              <w:ind w:right="314"/>
              <w:spacing w:after="0"/>
              <w:rPr>
                <w:sz w:val="20"/>
                <w:szCs w:val="20"/>
                <w:color w:val="auto"/>
              </w:rPr>
            </w:pPr>
            <w:r>
              <w:rPr>
                <w:rFonts w:ascii="Arial" w:cs="Arial" w:eastAsia="Arial" w:hAnsi="Arial"/>
                <w:sz w:val="13"/>
                <w:szCs w:val="13"/>
                <w:b w:val="1"/>
                <w:bCs w:val="1"/>
                <w:color w:val="FFFFFF"/>
              </w:rPr>
              <w:t>NA Modular</w:t>
            </w:r>
          </w:p>
        </w:tc>
        <w:tc>
          <w:tcPr>
            <w:tcW w:w="280" w:type="dxa"/>
            <w:vAlign w:val="bottom"/>
            <w:shd w:val="clear" w:color="auto" w:fill="1D2758"/>
          </w:tcPr>
          <w:p>
            <w:pPr>
              <w:spacing w:after="0"/>
              <w:rPr>
                <w:sz w:val="15"/>
                <w:szCs w:val="15"/>
                <w:color w:val="auto"/>
              </w:rPr>
            </w:pPr>
          </w:p>
        </w:tc>
        <w:tc>
          <w:tcPr>
            <w:tcW w:w="1220" w:type="dxa"/>
            <w:vAlign w:val="bottom"/>
            <w:vMerge w:val="restart"/>
            <w:shd w:val="clear" w:color="auto" w:fill="1D2758"/>
          </w:tcPr>
          <w:p>
            <w:pPr>
              <w:jc w:val="right"/>
              <w:ind w:right="314"/>
              <w:spacing w:after="0"/>
              <w:rPr>
                <w:sz w:val="20"/>
                <w:szCs w:val="20"/>
                <w:color w:val="auto"/>
              </w:rPr>
            </w:pPr>
            <w:r>
              <w:rPr>
                <w:rFonts w:ascii="Arial" w:cs="Arial" w:eastAsia="Arial" w:hAnsi="Arial"/>
                <w:sz w:val="13"/>
                <w:szCs w:val="13"/>
                <w:b w:val="1"/>
                <w:bCs w:val="1"/>
                <w:color w:val="FFFFFF"/>
              </w:rPr>
              <w:t>NA Storage</w:t>
            </w:r>
          </w:p>
        </w:tc>
        <w:tc>
          <w:tcPr>
            <w:tcW w:w="260" w:type="dxa"/>
            <w:vAlign w:val="bottom"/>
            <w:shd w:val="clear" w:color="auto" w:fill="1D2758"/>
          </w:tcPr>
          <w:p>
            <w:pPr>
              <w:spacing w:after="0"/>
              <w:rPr>
                <w:sz w:val="15"/>
                <w:szCs w:val="15"/>
                <w:color w:val="auto"/>
              </w:rPr>
            </w:pPr>
          </w:p>
        </w:tc>
        <w:tc>
          <w:tcPr>
            <w:tcW w:w="1220" w:type="dxa"/>
            <w:vAlign w:val="bottom"/>
            <w:vMerge w:val="restart"/>
            <w:shd w:val="clear" w:color="auto" w:fill="1D2758"/>
          </w:tcPr>
          <w:p>
            <w:pPr>
              <w:jc w:val="right"/>
              <w:ind w:right="314"/>
              <w:spacing w:after="0"/>
              <w:rPr>
                <w:sz w:val="20"/>
                <w:szCs w:val="20"/>
                <w:color w:val="auto"/>
              </w:rPr>
            </w:pPr>
            <w:r>
              <w:rPr>
                <w:rFonts w:ascii="Arial" w:cs="Arial" w:eastAsia="Arial" w:hAnsi="Arial"/>
                <w:sz w:val="13"/>
                <w:szCs w:val="13"/>
                <w:b w:val="1"/>
                <w:bCs w:val="1"/>
                <w:color w:val="FFFFFF"/>
              </w:rPr>
              <w:t>UK Storage</w:t>
            </w:r>
          </w:p>
        </w:tc>
        <w:tc>
          <w:tcPr>
            <w:tcW w:w="240" w:type="dxa"/>
            <w:vAlign w:val="bottom"/>
            <w:shd w:val="clear" w:color="auto" w:fill="1D2758"/>
          </w:tcPr>
          <w:p>
            <w:pPr>
              <w:spacing w:after="0"/>
              <w:rPr>
                <w:sz w:val="15"/>
                <w:szCs w:val="15"/>
                <w:color w:val="auto"/>
              </w:rPr>
            </w:pPr>
          </w:p>
        </w:tc>
        <w:tc>
          <w:tcPr>
            <w:tcW w:w="1260" w:type="dxa"/>
            <w:vAlign w:val="bottom"/>
            <w:vMerge w:val="restart"/>
            <w:shd w:val="clear" w:color="auto" w:fill="1D2758"/>
          </w:tcPr>
          <w:p>
            <w:pPr>
              <w:jc w:val="right"/>
              <w:ind w:right="194"/>
              <w:spacing w:after="0"/>
              <w:rPr>
                <w:sz w:val="20"/>
                <w:szCs w:val="20"/>
                <w:color w:val="auto"/>
              </w:rPr>
            </w:pPr>
            <w:r>
              <w:rPr>
                <w:rFonts w:ascii="Arial" w:cs="Arial" w:eastAsia="Arial" w:hAnsi="Arial"/>
                <w:sz w:val="13"/>
                <w:szCs w:val="13"/>
                <w:b w:val="1"/>
                <w:bCs w:val="1"/>
                <w:color w:val="FFFFFF"/>
              </w:rPr>
              <w:t>Tank and Pump</w:t>
            </w:r>
          </w:p>
        </w:tc>
        <w:tc>
          <w:tcPr>
            <w:tcW w:w="360" w:type="dxa"/>
            <w:vAlign w:val="bottom"/>
            <w:shd w:val="clear" w:color="auto" w:fill="1D2758"/>
          </w:tcPr>
          <w:p>
            <w:pPr>
              <w:spacing w:after="0"/>
              <w:rPr>
                <w:sz w:val="15"/>
                <w:szCs w:val="15"/>
                <w:color w:val="auto"/>
              </w:rPr>
            </w:pPr>
          </w:p>
        </w:tc>
        <w:tc>
          <w:tcPr>
            <w:tcW w:w="1100" w:type="dxa"/>
            <w:vAlign w:val="bottom"/>
            <w:vMerge w:val="restart"/>
            <w:shd w:val="clear" w:color="auto" w:fill="1D2758"/>
          </w:tcPr>
          <w:p>
            <w:pPr>
              <w:jc w:val="right"/>
              <w:ind w:right="494"/>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79"/>
        </w:trPr>
        <w:tc>
          <w:tcPr>
            <w:tcW w:w="3880" w:type="dxa"/>
            <w:vAlign w:val="bottom"/>
            <w:shd w:val="clear" w:color="auto" w:fill="1D2758"/>
          </w:tcPr>
          <w:p>
            <w:pPr>
              <w:spacing w:after="0"/>
              <w:rPr>
                <w:sz w:val="6"/>
                <w:szCs w:val="6"/>
                <w:color w:val="auto"/>
              </w:rPr>
            </w:pPr>
          </w:p>
        </w:tc>
        <w:tc>
          <w:tcPr>
            <w:tcW w:w="220" w:type="dxa"/>
            <w:vAlign w:val="bottom"/>
            <w:shd w:val="clear" w:color="auto" w:fill="1D2758"/>
          </w:tcPr>
          <w:p>
            <w:pPr>
              <w:spacing w:after="0"/>
              <w:rPr>
                <w:sz w:val="6"/>
                <w:szCs w:val="6"/>
                <w:color w:val="auto"/>
              </w:rPr>
            </w:pPr>
          </w:p>
        </w:tc>
        <w:tc>
          <w:tcPr>
            <w:tcW w:w="1240" w:type="dxa"/>
            <w:vAlign w:val="bottom"/>
            <w:vMerge w:val="continue"/>
            <w:shd w:val="clear" w:color="auto" w:fill="1D2758"/>
          </w:tcPr>
          <w:p>
            <w:pPr>
              <w:spacing w:after="0"/>
              <w:rPr>
                <w:sz w:val="6"/>
                <w:szCs w:val="6"/>
                <w:color w:val="auto"/>
              </w:rPr>
            </w:pPr>
          </w:p>
        </w:tc>
        <w:tc>
          <w:tcPr>
            <w:tcW w:w="280" w:type="dxa"/>
            <w:vAlign w:val="bottom"/>
            <w:shd w:val="clear" w:color="auto" w:fill="1D2758"/>
          </w:tcPr>
          <w:p>
            <w:pPr>
              <w:spacing w:after="0"/>
              <w:rPr>
                <w:sz w:val="6"/>
                <w:szCs w:val="6"/>
                <w:color w:val="auto"/>
              </w:rPr>
            </w:pPr>
          </w:p>
        </w:tc>
        <w:tc>
          <w:tcPr>
            <w:tcW w:w="1220" w:type="dxa"/>
            <w:vAlign w:val="bottom"/>
            <w:vMerge w:val="continue"/>
            <w:shd w:val="clear" w:color="auto" w:fill="1D2758"/>
          </w:tcPr>
          <w:p>
            <w:pPr>
              <w:spacing w:after="0"/>
              <w:rPr>
                <w:sz w:val="6"/>
                <w:szCs w:val="6"/>
                <w:color w:val="auto"/>
              </w:rPr>
            </w:pPr>
          </w:p>
        </w:tc>
        <w:tc>
          <w:tcPr>
            <w:tcW w:w="260" w:type="dxa"/>
            <w:vAlign w:val="bottom"/>
            <w:shd w:val="clear" w:color="auto" w:fill="1D2758"/>
          </w:tcPr>
          <w:p>
            <w:pPr>
              <w:spacing w:after="0"/>
              <w:rPr>
                <w:sz w:val="6"/>
                <w:szCs w:val="6"/>
                <w:color w:val="auto"/>
              </w:rPr>
            </w:pPr>
          </w:p>
        </w:tc>
        <w:tc>
          <w:tcPr>
            <w:tcW w:w="1220" w:type="dxa"/>
            <w:vAlign w:val="bottom"/>
            <w:vMerge w:val="continue"/>
            <w:shd w:val="clear" w:color="auto" w:fill="1D2758"/>
          </w:tcPr>
          <w:p>
            <w:pPr>
              <w:spacing w:after="0"/>
              <w:rPr>
                <w:sz w:val="6"/>
                <w:szCs w:val="6"/>
                <w:color w:val="auto"/>
              </w:rPr>
            </w:pPr>
          </w:p>
        </w:tc>
        <w:tc>
          <w:tcPr>
            <w:tcW w:w="240" w:type="dxa"/>
            <w:vAlign w:val="bottom"/>
            <w:shd w:val="clear" w:color="auto" w:fill="1D2758"/>
          </w:tcPr>
          <w:p>
            <w:pPr>
              <w:spacing w:after="0"/>
              <w:rPr>
                <w:sz w:val="6"/>
                <w:szCs w:val="6"/>
                <w:color w:val="auto"/>
              </w:rPr>
            </w:pPr>
          </w:p>
        </w:tc>
        <w:tc>
          <w:tcPr>
            <w:tcW w:w="1260" w:type="dxa"/>
            <w:vAlign w:val="bottom"/>
            <w:vMerge w:val="continue"/>
            <w:shd w:val="clear" w:color="auto" w:fill="1D2758"/>
          </w:tcPr>
          <w:p>
            <w:pPr>
              <w:spacing w:after="0"/>
              <w:rPr>
                <w:sz w:val="6"/>
                <w:szCs w:val="6"/>
                <w:color w:val="auto"/>
              </w:rPr>
            </w:pPr>
          </w:p>
        </w:tc>
        <w:tc>
          <w:tcPr>
            <w:tcW w:w="360" w:type="dxa"/>
            <w:vAlign w:val="bottom"/>
            <w:shd w:val="clear" w:color="auto" w:fill="1D2758"/>
          </w:tcPr>
          <w:p>
            <w:pPr>
              <w:spacing w:after="0"/>
              <w:rPr>
                <w:sz w:val="6"/>
                <w:szCs w:val="6"/>
                <w:color w:val="auto"/>
              </w:rPr>
            </w:pPr>
          </w:p>
        </w:tc>
        <w:tc>
          <w:tcPr>
            <w:tcW w:w="1100" w:type="dxa"/>
            <w:vAlign w:val="bottom"/>
            <w:vMerge w:val="continue"/>
            <w:shd w:val="clear" w:color="auto" w:fill="1D2758"/>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3880" w:type="dxa"/>
            <w:vAlign w:val="bottom"/>
            <w:shd w:val="clear" w:color="auto" w:fill="E7E7E8"/>
          </w:tcPr>
          <w:p>
            <w:pPr>
              <w:ind w:left="20"/>
              <w:spacing w:after="0"/>
              <w:rPr>
                <w:sz w:val="20"/>
                <w:szCs w:val="20"/>
                <w:color w:val="auto"/>
              </w:rPr>
            </w:pPr>
            <w:r>
              <w:rPr>
                <w:rFonts w:ascii="Arial" w:cs="Arial" w:eastAsia="Arial" w:hAnsi="Arial"/>
                <w:sz w:val="13"/>
                <w:szCs w:val="13"/>
                <w:color w:val="auto"/>
              </w:rPr>
              <w:t>Revenue</w:t>
            </w:r>
          </w:p>
        </w:tc>
        <w:tc>
          <w:tcPr>
            <w:tcW w:w="220" w:type="dxa"/>
            <w:vAlign w:val="bottom"/>
            <w:shd w:val="clear" w:color="auto" w:fill="E7E7E8"/>
          </w:tcPr>
          <w:p>
            <w:pPr>
              <w:jc w:val="right"/>
              <w:ind w:right="54"/>
              <w:spacing w:after="0"/>
              <w:rPr>
                <w:sz w:val="20"/>
                <w:szCs w:val="20"/>
                <w:color w:val="auto"/>
              </w:rPr>
            </w:pPr>
            <w:r>
              <w:rPr>
                <w:rFonts w:ascii="Arial" w:cs="Arial" w:eastAsia="Arial" w:hAnsi="Arial"/>
                <w:sz w:val="13"/>
                <w:szCs w:val="13"/>
                <w:color w:val="auto"/>
              </w:rPr>
              <w:t>$</w:t>
            </w:r>
          </w:p>
        </w:tc>
        <w:tc>
          <w:tcPr>
            <w:tcW w:w="1240" w:type="dxa"/>
            <w:vAlign w:val="bottom"/>
            <w:shd w:val="clear" w:color="auto" w:fill="E7E7E8"/>
          </w:tcPr>
          <w:p>
            <w:pPr>
              <w:jc w:val="right"/>
              <w:ind w:right="134"/>
              <w:spacing w:after="0"/>
              <w:rPr>
                <w:sz w:val="20"/>
                <w:szCs w:val="20"/>
                <w:color w:val="auto"/>
              </w:rPr>
            </w:pPr>
            <w:r>
              <w:rPr>
                <w:rFonts w:ascii="Arial" w:cs="Arial" w:eastAsia="Arial" w:hAnsi="Arial"/>
                <w:sz w:val="13"/>
                <w:szCs w:val="13"/>
                <w:color w:val="auto"/>
              </w:rPr>
              <w:t>1,164,179</w:t>
            </w:r>
          </w:p>
        </w:tc>
        <w:tc>
          <w:tcPr>
            <w:tcW w:w="280" w:type="dxa"/>
            <w:vAlign w:val="bottom"/>
            <w:shd w:val="clear" w:color="auto" w:fill="E7E7E8"/>
          </w:tcPr>
          <w:p>
            <w:pPr>
              <w:jc w:val="right"/>
              <w:ind w:right="74"/>
              <w:spacing w:after="0"/>
              <w:rPr>
                <w:sz w:val="20"/>
                <w:szCs w:val="20"/>
                <w:color w:val="auto"/>
              </w:rPr>
            </w:pPr>
            <w:r>
              <w:rPr>
                <w:rFonts w:ascii="Arial" w:cs="Arial" w:eastAsia="Arial" w:hAnsi="Arial"/>
                <w:sz w:val="13"/>
                <w:szCs w:val="13"/>
                <w:color w:val="auto"/>
              </w:rPr>
              <w:t>$</w:t>
            </w:r>
          </w:p>
        </w:tc>
        <w:tc>
          <w:tcPr>
            <w:tcW w:w="1220" w:type="dxa"/>
            <w:vAlign w:val="bottom"/>
            <w:shd w:val="clear" w:color="auto" w:fill="E7E7E8"/>
          </w:tcPr>
          <w:p>
            <w:pPr>
              <w:jc w:val="right"/>
              <w:ind w:right="134"/>
              <w:spacing w:after="0"/>
              <w:rPr>
                <w:sz w:val="20"/>
                <w:szCs w:val="20"/>
                <w:color w:val="auto"/>
              </w:rPr>
            </w:pPr>
            <w:r>
              <w:rPr>
                <w:rFonts w:ascii="Arial" w:cs="Arial" w:eastAsia="Arial" w:hAnsi="Arial"/>
                <w:sz w:val="13"/>
                <w:szCs w:val="13"/>
                <w:color w:val="auto"/>
              </w:rPr>
              <w:t>508,802</w:t>
            </w:r>
          </w:p>
        </w:tc>
        <w:tc>
          <w:tcPr>
            <w:tcW w:w="260" w:type="dxa"/>
            <w:vAlign w:val="bottom"/>
            <w:shd w:val="clear" w:color="auto" w:fill="E7E7E8"/>
          </w:tcPr>
          <w:p>
            <w:pPr>
              <w:jc w:val="right"/>
              <w:ind w:right="54"/>
              <w:spacing w:after="0"/>
              <w:rPr>
                <w:sz w:val="20"/>
                <w:szCs w:val="20"/>
                <w:color w:val="auto"/>
              </w:rPr>
            </w:pPr>
            <w:r>
              <w:rPr>
                <w:rFonts w:ascii="Arial" w:cs="Arial" w:eastAsia="Arial" w:hAnsi="Arial"/>
                <w:sz w:val="13"/>
                <w:szCs w:val="13"/>
                <w:color w:val="auto"/>
              </w:rPr>
              <w:t>$</w:t>
            </w:r>
          </w:p>
        </w:tc>
        <w:tc>
          <w:tcPr>
            <w:tcW w:w="1220" w:type="dxa"/>
            <w:vAlign w:val="bottom"/>
            <w:shd w:val="clear" w:color="auto" w:fill="E7E7E8"/>
          </w:tcPr>
          <w:p>
            <w:pPr>
              <w:jc w:val="right"/>
              <w:ind w:right="154"/>
              <w:spacing w:after="0"/>
              <w:rPr>
                <w:sz w:val="20"/>
                <w:szCs w:val="20"/>
                <w:color w:val="auto"/>
              </w:rPr>
            </w:pPr>
            <w:r>
              <w:rPr>
                <w:rFonts w:ascii="Arial" w:cs="Arial" w:eastAsia="Arial" w:hAnsi="Arial"/>
                <w:sz w:val="13"/>
                <w:szCs w:val="13"/>
                <w:color w:val="auto"/>
              </w:rPr>
              <w:t>111,025</w:t>
            </w:r>
          </w:p>
        </w:tc>
        <w:tc>
          <w:tcPr>
            <w:tcW w:w="240" w:type="dxa"/>
            <w:vAlign w:val="bottom"/>
            <w:shd w:val="clear" w:color="auto" w:fill="E7E7E8"/>
          </w:tcPr>
          <w:p>
            <w:pPr>
              <w:jc w:val="right"/>
              <w:ind w:right="34"/>
              <w:spacing w:after="0"/>
              <w:rPr>
                <w:sz w:val="20"/>
                <w:szCs w:val="20"/>
                <w:color w:val="auto"/>
              </w:rPr>
            </w:pPr>
            <w:r>
              <w:rPr>
                <w:rFonts w:ascii="Arial" w:cs="Arial" w:eastAsia="Arial" w:hAnsi="Arial"/>
                <w:sz w:val="13"/>
                <w:szCs w:val="13"/>
                <w:color w:val="auto"/>
              </w:rPr>
              <w:t>$</w:t>
            </w:r>
          </w:p>
        </w:tc>
        <w:tc>
          <w:tcPr>
            <w:tcW w:w="1260" w:type="dxa"/>
            <w:vAlign w:val="bottom"/>
            <w:shd w:val="clear" w:color="auto" w:fill="E7E7E8"/>
          </w:tcPr>
          <w:p>
            <w:pPr>
              <w:jc w:val="right"/>
              <w:ind w:right="154"/>
              <w:spacing w:after="0"/>
              <w:rPr>
                <w:sz w:val="20"/>
                <w:szCs w:val="20"/>
                <w:color w:val="auto"/>
              </w:rPr>
            </w:pPr>
            <w:r>
              <w:rPr>
                <w:rFonts w:ascii="Arial" w:cs="Arial" w:eastAsia="Arial" w:hAnsi="Arial"/>
                <w:sz w:val="13"/>
                <w:szCs w:val="13"/>
                <w:color w:val="auto"/>
              </w:rPr>
              <w:t>110,891</w:t>
            </w:r>
          </w:p>
        </w:tc>
        <w:tc>
          <w:tcPr>
            <w:tcW w:w="360" w:type="dxa"/>
            <w:vAlign w:val="bottom"/>
            <w:shd w:val="clear" w:color="auto" w:fill="E7E7E8"/>
          </w:tcPr>
          <w:p>
            <w:pPr>
              <w:jc w:val="right"/>
              <w:ind w:right="174"/>
              <w:spacing w:after="0"/>
              <w:rPr>
                <w:sz w:val="20"/>
                <w:szCs w:val="20"/>
                <w:color w:val="auto"/>
              </w:rPr>
            </w:pPr>
            <w:r>
              <w:rPr>
                <w:rFonts w:ascii="Arial" w:cs="Arial" w:eastAsia="Arial" w:hAnsi="Arial"/>
                <w:sz w:val="13"/>
                <w:szCs w:val="13"/>
                <w:color w:val="auto"/>
              </w:rPr>
              <w:t>$</w:t>
            </w:r>
          </w:p>
        </w:tc>
        <w:tc>
          <w:tcPr>
            <w:tcW w:w="1100" w:type="dxa"/>
            <w:vAlign w:val="bottom"/>
            <w:shd w:val="clear" w:color="auto" w:fill="E7E7E8"/>
          </w:tcPr>
          <w:p>
            <w:pPr>
              <w:jc w:val="right"/>
              <w:ind w:right="94"/>
              <w:spacing w:after="0"/>
              <w:rPr>
                <w:sz w:val="20"/>
                <w:szCs w:val="20"/>
                <w:color w:val="auto"/>
              </w:rPr>
            </w:pPr>
            <w:r>
              <w:rPr>
                <w:rFonts w:ascii="Arial" w:cs="Arial" w:eastAsia="Arial" w:hAnsi="Arial"/>
                <w:sz w:val="13"/>
                <w:szCs w:val="13"/>
                <w:color w:val="auto"/>
              </w:rPr>
              <w:t>1,894,897</w:t>
            </w:r>
          </w:p>
        </w:tc>
        <w:tc>
          <w:tcPr>
            <w:tcW w:w="0" w:type="dxa"/>
            <w:vAlign w:val="bottom"/>
          </w:tcPr>
          <w:p>
            <w:pPr>
              <w:spacing w:after="0"/>
              <w:rPr>
                <w:sz w:val="1"/>
                <w:szCs w:val="1"/>
                <w:color w:val="auto"/>
              </w:rPr>
            </w:pPr>
          </w:p>
        </w:tc>
      </w:tr>
      <w:tr>
        <w:trPr>
          <w:trHeight w:val="172"/>
        </w:trPr>
        <w:tc>
          <w:tcPr>
            <w:tcW w:w="3880" w:type="dxa"/>
            <w:vAlign w:val="bottom"/>
          </w:tcPr>
          <w:p>
            <w:pPr>
              <w:ind w:left="20"/>
              <w:spacing w:after="0"/>
              <w:rPr>
                <w:sz w:val="20"/>
                <w:szCs w:val="20"/>
                <w:color w:val="auto"/>
              </w:rPr>
            </w:pPr>
            <w:r>
              <w:rPr>
                <w:rFonts w:ascii="Arial" w:cs="Arial" w:eastAsia="Arial" w:hAnsi="Arial"/>
                <w:sz w:val="13"/>
                <w:szCs w:val="13"/>
                <w:color w:val="auto"/>
              </w:rPr>
              <w:t>Gross profit</w:t>
            </w:r>
          </w:p>
        </w:tc>
        <w:tc>
          <w:tcPr>
            <w:tcW w:w="22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34"/>
              <w:spacing w:after="0"/>
              <w:rPr>
                <w:sz w:val="20"/>
                <w:szCs w:val="20"/>
                <w:color w:val="auto"/>
              </w:rPr>
            </w:pPr>
            <w:r>
              <w:rPr>
                <w:rFonts w:ascii="Arial" w:cs="Arial" w:eastAsia="Arial" w:hAnsi="Arial"/>
                <w:sz w:val="13"/>
                <w:szCs w:val="13"/>
                <w:color w:val="auto"/>
              </w:rPr>
              <w:t>496,445</w:t>
            </w: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34"/>
              <w:spacing w:after="0"/>
              <w:rPr>
                <w:sz w:val="20"/>
                <w:szCs w:val="20"/>
                <w:color w:val="auto"/>
              </w:rPr>
            </w:pPr>
            <w:r>
              <w:rPr>
                <w:rFonts w:ascii="Arial" w:cs="Arial" w:eastAsia="Arial" w:hAnsi="Arial"/>
                <w:sz w:val="13"/>
                <w:szCs w:val="13"/>
                <w:color w:val="auto"/>
              </w:rPr>
              <w:t>348,259</w:t>
            </w: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54"/>
              <w:spacing w:after="0"/>
              <w:rPr>
                <w:sz w:val="20"/>
                <w:szCs w:val="20"/>
                <w:color w:val="auto"/>
              </w:rPr>
            </w:pPr>
            <w:r>
              <w:rPr>
                <w:rFonts w:ascii="Arial" w:cs="Arial" w:eastAsia="Arial" w:hAnsi="Arial"/>
                <w:sz w:val="13"/>
                <w:szCs w:val="13"/>
                <w:color w:val="auto"/>
              </w:rPr>
              <w:t>71,242</w:t>
            </w:r>
          </w:p>
        </w:tc>
        <w:tc>
          <w:tcPr>
            <w:tcW w:w="2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54"/>
              <w:spacing w:after="0"/>
              <w:rPr>
                <w:sz w:val="20"/>
                <w:szCs w:val="20"/>
                <w:color w:val="auto"/>
              </w:rPr>
            </w:pPr>
            <w:r>
              <w:rPr>
                <w:rFonts w:ascii="Arial" w:cs="Arial" w:eastAsia="Arial" w:hAnsi="Arial"/>
                <w:sz w:val="13"/>
                <w:szCs w:val="13"/>
                <w:color w:val="auto"/>
              </w:rPr>
              <w:t>52,262</w:t>
            </w:r>
          </w:p>
        </w:tc>
        <w:tc>
          <w:tcPr>
            <w:tcW w:w="36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94"/>
              <w:spacing w:after="0"/>
              <w:rPr>
                <w:sz w:val="20"/>
                <w:szCs w:val="20"/>
                <w:color w:val="auto"/>
              </w:rPr>
            </w:pPr>
            <w:r>
              <w:rPr>
                <w:rFonts w:ascii="Arial" w:cs="Arial" w:eastAsia="Arial" w:hAnsi="Arial"/>
                <w:sz w:val="13"/>
                <w:szCs w:val="13"/>
                <w:color w:val="auto"/>
              </w:rPr>
              <w:t>968,208</w:t>
            </w:r>
          </w:p>
        </w:tc>
        <w:tc>
          <w:tcPr>
            <w:tcW w:w="0" w:type="dxa"/>
            <w:vAlign w:val="bottom"/>
          </w:tcPr>
          <w:p>
            <w:pPr>
              <w:spacing w:after="0"/>
              <w:rPr>
                <w:sz w:val="1"/>
                <w:szCs w:val="1"/>
                <w:color w:val="auto"/>
              </w:rPr>
            </w:pPr>
          </w:p>
        </w:tc>
      </w:tr>
      <w:tr>
        <w:trPr>
          <w:trHeight w:val="178"/>
        </w:trPr>
        <w:tc>
          <w:tcPr>
            <w:tcW w:w="3880" w:type="dxa"/>
            <w:vAlign w:val="bottom"/>
            <w:shd w:val="clear" w:color="auto" w:fill="E7E7E8"/>
          </w:tcPr>
          <w:p>
            <w:pPr>
              <w:ind w:left="20"/>
              <w:spacing w:after="0"/>
              <w:rPr>
                <w:sz w:val="20"/>
                <w:szCs w:val="20"/>
                <w:color w:val="auto"/>
              </w:rPr>
            </w:pPr>
            <w:r>
              <w:rPr>
                <w:rFonts w:ascii="Arial" w:cs="Arial" w:eastAsia="Arial" w:hAnsi="Arial"/>
                <w:sz w:val="13"/>
                <w:szCs w:val="13"/>
                <w:color w:val="auto"/>
              </w:rPr>
              <w:t>Adjusted EBITDA</w:t>
            </w:r>
          </w:p>
        </w:tc>
        <w:tc>
          <w:tcPr>
            <w:tcW w:w="220" w:type="dxa"/>
            <w:vAlign w:val="bottom"/>
            <w:shd w:val="clear" w:color="auto" w:fill="E7E7E8"/>
          </w:tcPr>
          <w:p>
            <w:pPr>
              <w:jc w:val="right"/>
              <w:ind w:right="54"/>
              <w:spacing w:after="0"/>
              <w:rPr>
                <w:sz w:val="20"/>
                <w:szCs w:val="20"/>
                <w:color w:val="auto"/>
              </w:rPr>
            </w:pPr>
            <w:r>
              <w:rPr>
                <w:rFonts w:ascii="Arial" w:cs="Arial" w:eastAsia="Arial" w:hAnsi="Arial"/>
                <w:sz w:val="13"/>
                <w:szCs w:val="13"/>
                <w:color w:val="auto"/>
              </w:rPr>
              <w:t>$</w:t>
            </w:r>
          </w:p>
        </w:tc>
        <w:tc>
          <w:tcPr>
            <w:tcW w:w="1240" w:type="dxa"/>
            <w:vAlign w:val="bottom"/>
            <w:shd w:val="clear" w:color="auto" w:fill="E7E7E8"/>
          </w:tcPr>
          <w:p>
            <w:pPr>
              <w:jc w:val="right"/>
              <w:ind w:right="134"/>
              <w:spacing w:after="0"/>
              <w:rPr>
                <w:sz w:val="20"/>
                <w:szCs w:val="20"/>
                <w:color w:val="auto"/>
              </w:rPr>
            </w:pPr>
            <w:r>
              <w:rPr>
                <w:rFonts w:ascii="Arial" w:cs="Arial" w:eastAsia="Arial" w:hAnsi="Arial"/>
                <w:sz w:val="13"/>
                <w:szCs w:val="13"/>
                <w:color w:val="auto"/>
              </w:rPr>
              <w:t>423,004</w:t>
            </w:r>
          </w:p>
        </w:tc>
        <w:tc>
          <w:tcPr>
            <w:tcW w:w="280" w:type="dxa"/>
            <w:vAlign w:val="bottom"/>
            <w:shd w:val="clear" w:color="auto" w:fill="E7E7E8"/>
          </w:tcPr>
          <w:p>
            <w:pPr>
              <w:jc w:val="right"/>
              <w:ind w:right="74"/>
              <w:spacing w:after="0"/>
              <w:rPr>
                <w:sz w:val="20"/>
                <w:szCs w:val="20"/>
                <w:color w:val="auto"/>
              </w:rPr>
            </w:pPr>
            <w:r>
              <w:rPr>
                <w:rFonts w:ascii="Arial" w:cs="Arial" w:eastAsia="Arial" w:hAnsi="Arial"/>
                <w:sz w:val="13"/>
                <w:szCs w:val="13"/>
                <w:color w:val="auto"/>
              </w:rPr>
              <w:t>$</w:t>
            </w:r>
          </w:p>
        </w:tc>
        <w:tc>
          <w:tcPr>
            <w:tcW w:w="1220" w:type="dxa"/>
            <w:vAlign w:val="bottom"/>
            <w:shd w:val="clear" w:color="auto" w:fill="E7E7E8"/>
          </w:tcPr>
          <w:p>
            <w:pPr>
              <w:jc w:val="right"/>
              <w:ind w:right="134"/>
              <w:spacing w:after="0"/>
              <w:rPr>
                <w:sz w:val="20"/>
                <w:szCs w:val="20"/>
                <w:color w:val="auto"/>
              </w:rPr>
            </w:pPr>
            <w:r>
              <w:rPr>
                <w:rFonts w:ascii="Arial" w:cs="Arial" w:eastAsia="Arial" w:hAnsi="Arial"/>
                <w:sz w:val="13"/>
                <w:szCs w:val="13"/>
                <w:color w:val="auto"/>
              </w:rPr>
              <w:t>226,600</w:t>
            </w:r>
          </w:p>
        </w:tc>
        <w:tc>
          <w:tcPr>
            <w:tcW w:w="260" w:type="dxa"/>
            <w:vAlign w:val="bottom"/>
            <w:shd w:val="clear" w:color="auto" w:fill="E7E7E8"/>
          </w:tcPr>
          <w:p>
            <w:pPr>
              <w:jc w:val="right"/>
              <w:ind w:right="54"/>
              <w:spacing w:after="0"/>
              <w:rPr>
                <w:sz w:val="20"/>
                <w:szCs w:val="20"/>
                <w:color w:val="auto"/>
              </w:rPr>
            </w:pPr>
            <w:r>
              <w:rPr>
                <w:rFonts w:ascii="Arial" w:cs="Arial" w:eastAsia="Arial" w:hAnsi="Arial"/>
                <w:sz w:val="13"/>
                <w:szCs w:val="13"/>
                <w:color w:val="auto"/>
              </w:rPr>
              <w:t>$</w:t>
            </w:r>
          </w:p>
        </w:tc>
        <w:tc>
          <w:tcPr>
            <w:tcW w:w="1220" w:type="dxa"/>
            <w:vAlign w:val="bottom"/>
            <w:shd w:val="clear" w:color="auto" w:fill="E7E7E8"/>
          </w:tcPr>
          <w:p>
            <w:pPr>
              <w:jc w:val="right"/>
              <w:ind w:right="154"/>
              <w:spacing w:after="0"/>
              <w:rPr>
                <w:sz w:val="20"/>
                <w:szCs w:val="20"/>
                <w:color w:val="auto"/>
              </w:rPr>
            </w:pPr>
            <w:r>
              <w:rPr>
                <w:rFonts w:ascii="Arial" w:cs="Arial" w:eastAsia="Arial" w:hAnsi="Arial"/>
                <w:sz w:val="13"/>
                <w:szCs w:val="13"/>
                <w:color w:val="auto"/>
              </w:rPr>
              <w:t>49,039</w:t>
            </w:r>
          </w:p>
        </w:tc>
        <w:tc>
          <w:tcPr>
            <w:tcW w:w="240" w:type="dxa"/>
            <w:vAlign w:val="bottom"/>
            <w:shd w:val="clear" w:color="auto" w:fill="E7E7E8"/>
          </w:tcPr>
          <w:p>
            <w:pPr>
              <w:jc w:val="right"/>
              <w:ind w:right="34"/>
              <w:spacing w:after="0"/>
              <w:rPr>
                <w:sz w:val="20"/>
                <w:szCs w:val="20"/>
                <w:color w:val="auto"/>
              </w:rPr>
            </w:pPr>
            <w:r>
              <w:rPr>
                <w:rFonts w:ascii="Arial" w:cs="Arial" w:eastAsia="Arial" w:hAnsi="Arial"/>
                <w:sz w:val="13"/>
                <w:szCs w:val="13"/>
                <w:color w:val="auto"/>
              </w:rPr>
              <w:t>$</w:t>
            </w:r>
          </w:p>
        </w:tc>
        <w:tc>
          <w:tcPr>
            <w:tcW w:w="1260" w:type="dxa"/>
            <w:vAlign w:val="bottom"/>
            <w:shd w:val="clear" w:color="auto" w:fill="E7E7E8"/>
          </w:tcPr>
          <w:p>
            <w:pPr>
              <w:jc w:val="right"/>
              <w:ind w:right="154"/>
              <w:spacing w:after="0"/>
              <w:rPr>
                <w:sz w:val="20"/>
                <w:szCs w:val="20"/>
                <w:color w:val="auto"/>
              </w:rPr>
            </w:pPr>
            <w:r>
              <w:rPr>
                <w:rFonts w:ascii="Arial" w:cs="Arial" w:eastAsia="Arial" w:hAnsi="Arial"/>
                <w:sz w:val="13"/>
                <w:szCs w:val="13"/>
                <w:color w:val="auto"/>
              </w:rPr>
              <w:t>41,750</w:t>
            </w:r>
          </w:p>
        </w:tc>
        <w:tc>
          <w:tcPr>
            <w:tcW w:w="360" w:type="dxa"/>
            <w:vAlign w:val="bottom"/>
            <w:shd w:val="clear" w:color="auto" w:fill="E7E7E8"/>
          </w:tcPr>
          <w:p>
            <w:pPr>
              <w:jc w:val="right"/>
              <w:ind w:right="174"/>
              <w:spacing w:after="0"/>
              <w:rPr>
                <w:sz w:val="20"/>
                <w:szCs w:val="20"/>
                <w:color w:val="auto"/>
              </w:rPr>
            </w:pPr>
            <w:r>
              <w:rPr>
                <w:rFonts w:ascii="Arial" w:cs="Arial" w:eastAsia="Arial" w:hAnsi="Arial"/>
                <w:sz w:val="13"/>
                <w:szCs w:val="13"/>
                <w:color w:val="auto"/>
              </w:rPr>
              <w:t>$</w:t>
            </w:r>
          </w:p>
        </w:tc>
        <w:tc>
          <w:tcPr>
            <w:tcW w:w="1100" w:type="dxa"/>
            <w:vAlign w:val="bottom"/>
            <w:shd w:val="clear" w:color="auto" w:fill="E7E7E8"/>
          </w:tcPr>
          <w:p>
            <w:pPr>
              <w:jc w:val="right"/>
              <w:ind w:right="94"/>
              <w:spacing w:after="0"/>
              <w:rPr>
                <w:sz w:val="20"/>
                <w:szCs w:val="20"/>
                <w:color w:val="auto"/>
              </w:rPr>
            </w:pPr>
            <w:r>
              <w:rPr>
                <w:rFonts w:ascii="Arial" w:cs="Arial" w:eastAsia="Arial" w:hAnsi="Arial"/>
                <w:sz w:val="13"/>
                <w:szCs w:val="13"/>
                <w:color w:val="auto"/>
              </w:rPr>
              <w:t>740,393</w:t>
            </w:r>
          </w:p>
        </w:tc>
        <w:tc>
          <w:tcPr>
            <w:tcW w:w="0" w:type="dxa"/>
            <w:vAlign w:val="bottom"/>
          </w:tcPr>
          <w:p>
            <w:pPr>
              <w:spacing w:after="0"/>
              <w:rPr>
                <w:sz w:val="1"/>
                <w:szCs w:val="1"/>
                <w:color w:val="auto"/>
              </w:rPr>
            </w:pPr>
          </w:p>
        </w:tc>
      </w:tr>
      <w:tr>
        <w:trPr>
          <w:trHeight w:val="172"/>
        </w:trPr>
        <w:tc>
          <w:tcPr>
            <w:tcW w:w="3880" w:type="dxa"/>
            <w:vAlign w:val="bottom"/>
          </w:tcPr>
          <w:p>
            <w:pPr>
              <w:ind w:left="20"/>
              <w:spacing w:after="0"/>
              <w:rPr>
                <w:sz w:val="20"/>
                <w:szCs w:val="20"/>
                <w:color w:val="auto"/>
              </w:rPr>
            </w:pPr>
            <w:r>
              <w:rPr>
                <w:rFonts w:ascii="Arial" w:cs="Arial" w:eastAsia="Arial" w:hAnsi="Arial"/>
                <w:sz w:val="13"/>
                <w:szCs w:val="13"/>
                <w:color w:val="auto"/>
              </w:rPr>
              <w:t>Capex for rental equipment</w:t>
            </w:r>
          </w:p>
        </w:tc>
        <w:tc>
          <w:tcPr>
            <w:tcW w:w="22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34"/>
              <w:spacing w:after="0"/>
              <w:rPr>
                <w:sz w:val="20"/>
                <w:szCs w:val="20"/>
                <w:color w:val="auto"/>
              </w:rPr>
            </w:pPr>
            <w:r>
              <w:rPr>
                <w:rFonts w:ascii="Arial" w:cs="Arial" w:eastAsia="Arial" w:hAnsi="Arial"/>
                <w:sz w:val="13"/>
                <w:szCs w:val="13"/>
                <w:color w:val="auto"/>
              </w:rPr>
              <w:t>187,495</w:t>
            </w: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34"/>
              <w:spacing w:after="0"/>
              <w:rPr>
                <w:sz w:val="20"/>
                <w:szCs w:val="20"/>
                <w:color w:val="auto"/>
              </w:rPr>
            </w:pPr>
            <w:r>
              <w:rPr>
                <w:rFonts w:ascii="Arial" w:cs="Arial" w:eastAsia="Arial" w:hAnsi="Arial"/>
                <w:sz w:val="13"/>
                <w:szCs w:val="13"/>
                <w:color w:val="auto"/>
              </w:rPr>
              <w:t>45,426</w:t>
            </w: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54"/>
              <w:spacing w:after="0"/>
              <w:rPr>
                <w:sz w:val="20"/>
                <w:szCs w:val="20"/>
                <w:color w:val="auto"/>
              </w:rPr>
            </w:pPr>
            <w:r>
              <w:rPr>
                <w:rFonts w:ascii="Arial" w:cs="Arial" w:eastAsia="Arial" w:hAnsi="Arial"/>
                <w:sz w:val="13"/>
                <w:szCs w:val="13"/>
                <w:color w:val="auto"/>
              </w:rPr>
              <w:t>27,830</w:t>
            </w:r>
          </w:p>
        </w:tc>
        <w:tc>
          <w:tcPr>
            <w:tcW w:w="2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54"/>
              <w:spacing w:after="0"/>
              <w:rPr>
                <w:sz w:val="20"/>
                <w:szCs w:val="20"/>
                <w:color w:val="auto"/>
              </w:rPr>
            </w:pPr>
            <w:r>
              <w:rPr>
                <w:rFonts w:ascii="Arial" w:cs="Arial" w:eastAsia="Arial" w:hAnsi="Arial"/>
                <w:sz w:val="13"/>
                <w:szCs w:val="13"/>
                <w:color w:val="auto"/>
              </w:rPr>
              <w:t>17,747</w:t>
            </w:r>
          </w:p>
        </w:tc>
        <w:tc>
          <w:tcPr>
            <w:tcW w:w="36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94"/>
              <w:spacing w:after="0"/>
              <w:rPr>
                <w:sz w:val="20"/>
                <w:szCs w:val="20"/>
                <w:color w:val="auto"/>
              </w:rPr>
            </w:pPr>
            <w:r>
              <w:rPr>
                <w:rFonts w:ascii="Arial" w:cs="Arial" w:eastAsia="Arial" w:hAnsi="Arial"/>
                <w:sz w:val="13"/>
                <w:szCs w:val="13"/>
                <w:color w:val="auto"/>
              </w:rPr>
              <w:t>278,498</w:t>
            </w:r>
          </w:p>
        </w:tc>
        <w:tc>
          <w:tcPr>
            <w:tcW w:w="0" w:type="dxa"/>
            <w:vAlign w:val="bottom"/>
          </w:tcPr>
          <w:p>
            <w:pPr>
              <w:spacing w:after="0"/>
              <w:rPr>
                <w:sz w:val="1"/>
                <w:szCs w:val="1"/>
                <w:color w:val="auto"/>
              </w:rPr>
            </w:pPr>
          </w:p>
        </w:tc>
      </w:tr>
      <w:tr>
        <w:trPr>
          <w:trHeight w:val="178"/>
        </w:trPr>
        <w:tc>
          <w:tcPr>
            <w:tcW w:w="3880" w:type="dxa"/>
            <w:vAlign w:val="bottom"/>
            <w:shd w:val="clear" w:color="auto" w:fill="E7E7E8"/>
          </w:tcPr>
          <w:p>
            <w:pPr>
              <w:ind w:left="20"/>
              <w:spacing w:after="0"/>
              <w:rPr>
                <w:sz w:val="20"/>
                <w:szCs w:val="20"/>
                <w:color w:val="auto"/>
              </w:rPr>
            </w:pPr>
            <w:r>
              <w:rPr>
                <w:rFonts w:ascii="Arial" w:cs="Arial" w:eastAsia="Arial" w:hAnsi="Arial"/>
                <w:sz w:val="13"/>
                <w:szCs w:val="13"/>
                <w:color w:val="auto"/>
              </w:rPr>
              <w:t>Average modular space units on rent</w:t>
            </w:r>
          </w:p>
        </w:tc>
        <w:tc>
          <w:tcPr>
            <w:tcW w:w="220" w:type="dxa"/>
            <w:vAlign w:val="bottom"/>
            <w:shd w:val="clear" w:color="auto" w:fill="E7E7E8"/>
          </w:tcPr>
          <w:p>
            <w:pPr>
              <w:spacing w:after="0"/>
              <w:rPr>
                <w:sz w:val="15"/>
                <w:szCs w:val="15"/>
                <w:color w:val="auto"/>
              </w:rPr>
            </w:pPr>
          </w:p>
        </w:tc>
        <w:tc>
          <w:tcPr>
            <w:tcW w:w="1240" w:type="dxa"/>
            <w:vAlign w:val="bottom"/>
            <w:shd w:val="clear" w:color="auto" w:fill="E7E7E8"/>
          </w:tcPr>
          <w:p>
            <w:pPr>
              <w:jc w:val="right"/>
              <w:ind w:right="134"/>
              <w:spacing w:after="0"/>
              <w:rPr>
                <w:sz w:val="20"/>
                <w:szCs w:val="20"/>
                <w:color w:val="auto"/>
              </w:rPr>
            </w:pPr>
            <w:r>
              <w:rPr>
                <w:rFonts w:ascii="Arial" w:cs="Arial" w:eastAsia="Arial" w:hAnsi="Arial"/>
                <w:sz w:val="13"/>
                <w:szCs w:val="13"/>
                <w:color w:val="auto"/>
              </w:rPr>
              <w:t>84,524</w:t>
            </w:r>
          </w:p>
        </w:tc>
        <w:tc>
          <w:tcPr>
            <w:tcW w:w="280" w:type="dxa"/>
            <w:vAlign w:val="bottom"/>
            <w:shd w:val="clear" w:color="auto" w:fill="E7E7E8"/>
          </w:tcPr>
          <w:p>
            <w:pPr>
              <w:spacing w:after="0"/>
              <w:rPr>
                <w:sz w:val="15"/>
                <w:szCs w:val="15"/>
                <w:color w:val="auto"/>
              </w:rPr>
            </w:pPr>
          </w:p>
        </w:tc>
        <w:tc>
          <w:tcPr>
            <w:tcW w:w="1220" w:type="dxa"/>
            <w:vAlign w:val="bottom"/>
            <w:shd w:val="clear" w:color="auto" w:fill="E7E7E8"/>
          </w:tcPr>
          <w:p>
            <w:pPr>
              <w:jc w:val="right"/>
              <w:ind w:right="134"/>
              <w:spacing w:after="0"/>
              <w:rPr>
                <w:sz w:val="20"/>
                <w:szCs w:val="20"/>
                <w:color w:val="auto"/>
              </w:rPr>
            </w:pPr>
            <w:r>
              <w:rPr>
                <w:rFonts w:ascii="Arial" w:cs="Arial" w:eastAsia="Arial" w:hAnsi="Arial"/>
                <w:sz w:val="13"/>
                <w:szCs w:val="13"/>
                <w:color w:val="auto"/>
              </w:rPr>
              <w:t>16,780</w:t>
            </w:r>
          </w:p>
        </w:tc>
        <w:tc>
          <w:tcPr>
            <w:tcW w:w="260" w:type="dxa"/>
            <w:vAlign w:val="bottom"/>
            <w:shd w:val="clear" w:color="auto" w:fill="E7E7E8"/>
          </w:tcPr>
          <w:p>
            <w:pPr>
              <w:spacing w:after="0"/>
              <w:rPr>
                <w:sz w:val="15"/>
                <w:szCs w:val="15"/>
                <w:color w:val="auto"/>
              </w:rPr>
            </w:pPr>
          </w:p>
        </w:tc>
        <w:tc>
          <w:tcPr>
            <w:tcW w:w="1220" w:type="dxa"/>
            <w:vAlign w:val="bottom"/>
            <w:shd w:val="clear" w:color="auto" w:fill="E7E7E8"/>
          </w:tcPr>
          <w:p>
            <w:pPr>
              <w:jc w:val="right"/>
              <w:ind w:right="154"/>
              <w:spacing w:after="0"/>
              <w:rPr>
                <w:sz w:val="20"/>
                <w:szCs w:val="20"/>
                <w:color w:val="auto"/>
              </w:rPr>
            </w:pPr>
            <w:r>
              <w:rPr>
                <w:rFonts w:ascii="Arial" w:cs="Arial" w:eastAsia="Arial" w:hAnsi="Arial"/>
                <w:sz w:val="13"/>
                <w:szCs w:val="13"/>
                <w:color w:val="auto"/>
              </w:rPr>
              <w:t>9,098</w:t>
            </w:r>
          </w:p>
        </w:tc>
        <w:tc>
          <w:tcPr>
            <w:tcW w:w="240" w:type="dxa"/>
            <w:vAlign w:val="bottom"/>
            <w:shd w:val="clear" w:color="auto" w:fill="E7E7E8"/>
          </w:tcPr>
          <w:p>
            <w:pPr>
              <w:spacing w:after="0"/>
              <w:rPr>
                <w:sz w:val="15"/>
                <w:szCs w:val="15"/>
                <w:color w:val="auto"/>
              </w:rPr>
            </w:pPr>
          </w:p>
        </w:tc>
        <w:tc>
          <w:tcPr>
            <w:tcW w:w="1260" w:type="dxa"/>
            <w:vAlign w:val="bottom"/>
            <w:shd w:val="clear" w:color="auto" w:fill="E7E7E8"/>
          </w:tcPr>
          <w:p>
            <w:pPr>
              <w:jc w:val="right"/>
              <w:ind w:right="154"/>
              <w:spacing w:after="0"/>
              <w:rPr>
                <w:sz w:val="20"/>
                <w:szCs w:val="20"/>
                <w:color w:val="auto"/>
              </w:rPr>
            </w:pPr>
            <w:r>
              <w:rPr>
                <w:rFonts w:ascii="Arial" w:cs="Arial" w:eastAsia="Arial" w:hAnsi="Arial"/>
                <w:sz w:val="13"/>
                <w:szCs w:val="13"/>
                <w:color w:val="auto"/>
              </w:rPr>
              <w:t>—</w:t>
            </w:r>
          </w:p>
        </w:tc>
        <w:tc>
          <w:tcPr>
            <w:tcW w:w="360" w:type="dxa"/>
            <w:vAlign w:val="bottom"/>
            <w:shd w:val="clear" w:color="auto" w:fill="E7E7E8"/>
          </w:tcPr>
          <w:p>
            <w:pPr>
              <w:spacing w:after="0"/>
              <w:rPr>
                <w:sz w:val="15"/>
                <w:szCs w:val="15"/>
                <w:color w:val="auto"/>
              </w:rPr>
            </w:pPr>
          </w:p>
        </w:tc>
        <w:tc>
          <w:tcPr>
            <w:tcW w:w="1100" w:type="dxa"/>
            <w:vAlign w:val="bottom"/>
            <w:shd w:val="clear" w:color="auto" w:fill="E7E7E8"/>
          </w:tcPr>
          <w:p>
            <w:pPr>
              <w:jc w:val="right"/>
              <w:ind w:right="94"/>
              <w:spacing w:after="0"/>
              <w:rPr>
                <w:sz w:val="20"/>
                <w:szCs w:val="20"/>
                <w:color w:val="auto"/>
              </w:rPr>
            </w:pPr>
            <w:r>
              <w:rPr>
                <w:rFonts w:ascii="Arial" w:cs="Arial" w:eastAsia="Arial" w:hAnsi="Arial"/>
                <w:sz w:val="13"/>
                <w:szCs w:val="13"/>
                <w:color w:val="auto"/>
              </w:rPr>
              <w:t>110,402</w:t>
            </w:r>
          </w:p>
        </w:tc>
        <w:tc>
          <w:tcPr>
            <w:tcW w:w="0" w:type="dxa"/>
            <w:vAlign w:val="bottom"/>
          </w:tcPr>
          <w:p>
            <w:pPr>
              <w:spacing w:after="0"/>
              <w:rPr>
                <w:sz w:val="1"/>
                <w:szCs w:val="1"/>
                <w:color w:val="auto"/>
              </w:rPr>
            </w:pPr>
          </w:p>
        </w:tc>
      </w:tr>
      <w:tr>
        <w:trPr>
          <w:trHeight w:val="172"/>
        </w:trPr>
        <w:tc>
          <w:tcPr>
            <w:tcW w:w="3880" w:type="dxa"/>
            <w:vAlign w:val="bottom"/>
          </w:tcPr>
          <w:p>
            <w:pPr>
              <w:ind w:left="20"/>
              <w:spacing w:after="0"/>
              <w:rPr>
                <w:sz w:val="20"/>
                <w:szCs w:val="20"/>
                <w:color w:val="auto"/>
              </w:rPr>
            </w:pPr>
            <w:r>
              <w:rPr>
                <w:rFonts w:ascii="Arial" w:cs="Arial" w:eastAsia="Arial" w:hAnsi="Arial"/>
                <w:sz w:val="13"/>
                <w:szCs w:val="13"/>
                <w:color w:val="auto"/>
              </w:rPr>
              <w:t>Average modular space utilization rate</w:t>
            </w:r>
          </w:p>
        </w:tc>
        <w:tc>
          <w:tcPr>
            <w:tcW w:w="2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67.6 %</w:t>
            </w:r>
          </w:p>
        </w:tc>
        <w:tc>
          <w:tcPr>
            <w:tcW w:w="2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78.5 %</w:t>
            </w: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82.0 %</w:t>
            </w: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 %</w:t>
            </w: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70.1 %</w:t>
            </w:r>
          </w:p>
        </w:tc>
        <w:tc>
          <w:tcPr>
            <w:tcW w:w="0" w:type="dxa"/>
            <w:vAlign w:val="bottom"/>
          </w:tcPr>
          <w:p>
            <w:pPr>
              <w:spacing w:after="0"/>
              <w:rPr>
                <w:sz w:val="1"/>
                <w:szCs w:val="1"/>
                <w:color w:val="auto"/>
              </w:rPr>
            </w:pPr>
          </w:p>
        </w:tc>
      </w:tr>
      <w:tr>
        <w:trPr>
          <w:trHeight w:val="178"/>
        </w:trPr>
        <w:tc>
          <w:tcPr>
            <w:tcW w:w="3880" w:type="dxa"/>
            <w:vAlign w:val="bottom"/>
            <w:shd w:val="clear" w:color="auto" w:fill="E7E7E8"/>
          </w:tcPr>
          <w:p>
            <w:pPr>
              <w:ind w:left="20"/>
              <w:spacing w:after="0"/>
              <w:rPr>
                <w:sz w:val="20"/>
                <w:szCs w:val="20"/>
                <w:color w:val="auto"/>
              </w:rPr>
            </w:pPr>
            <w:r>
              <w:rPr>
                <w:rFonts w:ascii="Arial" w:cs="Arial" w:eastAsia="Arial" w:hAnsi="Arial"/>
                <w:sz w:val="13"/>
                <w:szCs w:val="13"/>
                <w:color w:val="auto"/>
              </w:rPr>
              <w:t>Average modular space monthly rental rate</w:t>
            </w:r>
          </w:p>
        </w:tc>
        <w:tc>
          <w:tcPr>
            <w:tcW w:w="220" w:type="dxa"/>
            <w:vAlign w:val="bottom"/>
            <w:shd w:val="clear" w:color="auto" w:fill="E7E7E8"/>
          </w:tcPr>
          <w:p>
            <w:pPr>
              <w:jc w:val="right"/>
              <w:ind w:right="54"/>
              <w:spacing w:after="0"/>
              <w:rPr>
                <w:sz w:val="20"/>
                <w:szCs w:val="20"/>
                <w:color w:val="auto"/>
              </w:rPr>
            </w:pPr>
            <w:r>
              <w:rPr>
                <w:rFonts w:ascii="Arial" w:cs="Arial" w:eastAsia="Arial" w:hAnsi="Arial"/>
                <w:sz w:val="13"/>
                <w:szCs w:val="13"/>
                <w:color w:val="auto"/>
              </w:rPr>
              <w:t>$</w:t>
            </w:r>
          </w:p>
        </w:tc>
        <w:tc>
          <w:tcPr>
            <w:tcW w:w="1240" w:type="dxa"/>
            <w:vAlign w:val="bottom"/>
            <w:shd w:val="clear" w:color="auto" w:fill="E7E7E8"/>
          </w:tcPr>
          <w:p>
            <w:pPr>
              <w:jc w:val="right"/>
              <w:ind w:right="134"/>
              <w:spacing w:after="0"/>
              <w:rPr>
                <w:sz w:val="20"/>
                <w:szCs w:val="20"/>
                <w:color w:val="auto"/>
              </w:rPr>
            </w:pPr>
            <w:r>
              <w:rPr>
                <w:rFonts w:ascii="Arial" w:cs="Arial" w:eastAsia="Arial" w:hAnsi="Arial"/>
                <w:sz w:val="13"/>
                <w:szCs w:val="13"/>
                <w:color w:val="auto"/>
              </w:rPr>
              <w:t>809</w:t>
            </w:r>
          </w:p>
        </w:tc>
        <w:tc>
          <w:tcPr>
            <w:tcW w:w="280" w:type="dxa"/>
            <w:vAlign w:val="bottom"/>
            <w:shd w:val="clear" w:color="auto" w:fill="E7E7E8"/>
          </w:tcPr>
          <w:p>
            <w:pPr>
              <w:jc w:val="right"/>
              <w:ind w:right="74"/>
              <w:spacing w:after="0"/>
              <w:rPr>
                <w:sz w:val="20"/>
                <w:szCs w:val="20"/>
                <w:color w:val="auto"/>
              </w:rPr>
            </w:pPr>
            <w:r>
              <w:rPr>
                <w:rFonts w:ascii="Arial" w:cs="Arial" w:eastAsia="Arial" w:hAnsi="Arial"/>
                <w:sz w:val="13"/>
                <w:szCs w:val="13"/>
                <w:color w:val="auto"/>
              </w:rPr>
              <w:t>$</w:t>
            </w:r>
          </w:p>
        </w:tc>
        <w:tc>
          <w:tcPr>
            <w:tcW w:w="1220" w:type="dxa"/>
            <w:vAlign w:val="bottom"/>
            <w:shd w:val="clear" w:color="auto" w:fill="E7E7E8"/>
          </w:tcPr>
          <w:p>
            <w:pPr>
              <w:jc w:val="right"/>
              <w:ind w:right="134"/>
              <w:spacing w:after="0"/>
              <w:rPr>
                <w:sz w:val="20"/>
                <w:szCs w:val="20"/>
                <w:color w:val="auto"/>
              </w:rPr>
            </w:pPr>
            <w:r>
              <w:rPr>
                <w:rFonts w:ascii="Arial" w:cs="Arial" w:eastAsia="Arial" w:hAnsi="Arial"/>
                <w:sz w:val="13"/>
                <w:szCs w:val="13"/>
                <w:color w:val="auto"/>
              </w:rPr>
              <w:t>582</w:t>
            </w:r>
          </w:p>
        </w:tc>
        <w:tc>
          <w:tcPr>
            <w:tcW w:w="260" w:type="dxa"/>
            <w:vAlign w:val="bottom"/>
            <w:shd w:val="clear" w:color="auto" w:fill="E7E7E8"/>
          </w:tcPr>
          <w:p>
            <w:pPr>
              <w:jc w:val="right"/>
              <w:ind w:right="54"/>
              <w:spacing w:after="0"/>
              <w:rPr>
                <w:sz w:val="20"/>
                <w:szCs w:val="20"/>
                <w:color w:val="auto"/>
              </w:rPr>
            </w:pPr>
            <w:r>
              <w:rPr>
                <w:rFonts w:ascii="Arial" w:cs="Arial" w:eastAsia="Arial" w:hAnsi="Arial"/>
                <w:sz w:val="13"/>
                <w:szCs w:val="13"/>
                <w:color w:val="auto"/>
              </w:rPr>
              <w:t>$</w:t>
            </w:r>
          </w:p>
        </w:tc>
        <w:tc>
          <w:tcPr>
            <w:tcW w:w="1220" w:type="dxa"/>
            <w:vAlign w:val="bottom"/>
            <w:shd w:val="clear" w:color="auto" w:fill="E7E7E8"/>
          </w:tcPr>
          <w:p>
            <w:pPr>
              <w:jc w:val="right"/>
              <w:ind w:right="154"/>
              <w:spacing w:after="0"/>
              <w:rPr>
                <w:sz w:val="20"/>
                <w:szCs w:val="20"/>
                <w:color w:val="auto"/>
              </w:rPr>
            </w:pPr>
            <w:r>
              <w:rPr>
                <w:rFonts w:ascii="Arial" w:cs="Arial" w:eastAsia="Arial" w:hAnsi="Arial"/>
                <w:sz w:val="13"/>
                <w:szCs w:val="13"/>
                <w:color w:val="auto"/>
              </w:rPr>
              <w:t>434</w:t>
            </w:r>
          </w:p>
        </w:tc>
        <w:tc>
          <w:tcPr>
            <w:tcW w:w="240" w:type="dxa"/>
            <w:vAlign w:val="bottom"/>
            <w:shd w:val="clear" w:color="auto" w:fill="E7E7E8"/>
          </w:tcPr>
          <w:p>
            <w:pPr>
              <w:jc w:val="right"/>
              <w:ind w:right="34"/>
              <w:spacing w:after="0"/>
              <w:rPr>
                <w:sz w:val="20"/>
                <w:szCs w:val="20"/>
                <w:color w:val="auto"/>
              </w:rPr>
            </w:pPr>
            <w:r>
              <w:rPr>
                <w:rFonts w:ascii="Arial" w:cs="Arial" w:eastAsia="Arial" w:hAnsi="Arial"/>
                <w:sz w:val="13"/>
                <w:szCs w:val="13"/>
                <w:color w:val="auto"/>
              </w:rPr>
              <w:t>$</w:t>
            </w:r>
          </w:p>
        </w:tc>
        <w:tc>
          <w:tcPr>
            <w:tcW w:w="1260" w:type="dxa"/>
            <w:vAlign w:val="bottom"/>
            <w:shd w:val="clear" w:color="auto" w:fill="E7E7E8"/>
          </w:tcPr>
          <w:p>
            <w:pPr>
              <w:jc w:val="right"/>
              <w:ind w:right="154"/>
              <w:spacing w:after="0"/>
              <w:rPr>
                <w:sz w:val="20"/>
                <w:szCs w:val="20"/>
                <w:color w:val="auto"/>
              </w:rPr>
            </w:pPr>
            <w:r>
              <w:rPr>
                <w:rFonts w:ascii="Arial" w:cs="Arial" w:eastAsia="Arial" w:hAnsi="Arial"/>
                <w:sz w:val="13"/>
                <w:szCs w:val="13"/>
                <w:color w:val="auto"/>
              </w:rPr>
              <w:t>—</w:t>
            </w:r>
          </w:p>
        </w:tc>
        <w:tc>
          <w:tcPr>
            <w:tcW w:w="360" w:type="dxa"/>
            <w:vAlign w:val="bottom"/>
            <w:shd w:val="clear" w:color="auto" w:fill="E7E7E8"/>
          </w:tcPr>
          <w:p>
            <w:pPr>
              <w:jc w:val="right"/>
              <w:ind w:right="174"/>
              <w:spacing w:after="0"/>
              <w:rPr>
                <w:sz w:val="20"/>
                <w:szCs w:val="20"/>
                <w:color w:val="auto"/>
              </w:rPr>
            </w:pPr>
            <w:r>
              <w:rPr>
                <w:rFonts w:ascii="Arial" w:cs="Arial" w:eastAsia="Arial" w:hAnsi="Arial"/>
                <w:sz w:val="13"/>
                <w:szCs w:val="13"/>
                <w:color w:val="auto"/>
              </w:rPr>
              <w:t>$</w:t>
            </w:r>
          </w:p>
        </w:tc>
        <w:tc>
          <w:tcPr>
            <w:tcW w:w="1100" w:type="dxa"/>
            <w:vAlign w:val="bottom"/>
            <w:shd w:val="clear" w:color="auto" w:fill="E7E7E8"/>
          </w:tcPr>
          <w:p>
            <w:pPr>
              <w:jc w:val="right"/>
              <w:ind w:right="94"/>
              <w:spacing w:after="0"/>
              <w:rPr>
                <w:sz w:val="20"/>
                <w:szCs w:val="20"/>
                <w:color w:val="auto"/>
              </w:rPr>
            </w:pPr>
            <w:r>
              <w:rPr>
                <w:rFonts w:ascii="Arial" w:cs="Arial" w:eastAsia="Arial" w:hAnsi="Arial"/>
                <w:sz w:val="13"/>
                <w:szCs w:val="13"/>
                <w:color w:val="auto"/>
              </w:rPr>
              <w:t>744</w:t>
            </w:r>
          </w:p>
        </w:tc>
        <w:tc>
          <w:tcPr>
            <w:tcW w:w="0" w:type="dxa"/>
            <w:vAlign w:val="bottom"/>
          </w:tcPr>
          <w:p>
            <w:pPr>
              <w:spacing w:after="0"/>
              <w:rPr>
                <w:sz w:val="1"/>
                <w:szCs w:val="1"/>
                <w:color w:val="auto"/>
              </w:rPr>
            </w:pPr>
          </w:p>
        </w:tc>
      </w:tr>
      <w:tr>
        <w:trPr>
          <w:trHeight w:val="172"/>
        </w:trPr>
        <w:tc>
          <w:tcPr>
            <w:tcW w:w="3880" w:type="dxa"/>
            <w:vAlign w:val="bottom"/>
          </w:tcPr>
          <w:p>
            <w:pPr>
              <w:ind w:left="20"/>
              <w:spacing w:after="0"/>
              <w:rPr>
                <w:sz w:val="20"/>
                <w:szCs w:val="20"/>
                <w:color w:val="auto"/>
              </w:rPr>
            </w:pPr>
            <w:r>
              <w:rPr>
                <w:rFonts w:ascii="Arial" w:cs="Arial" w:eastAsia="Arial" w:hAnsi="Arial"/>
                <w:sz w:val="13"/>
                <w:szCs w:val="13"/>
                <w:color w:val="auto"/>
              </w:rPr>
              <w:t>Average portable storage units on rent</w:t>
            </w:r>
          </w:p>
        </w:tc>
        <w:tc>
          <w:tcPr>
            <w:tcW w:w="220" w:type="dxa"/>
            <w:vAlign w:val="bottom"/>
          </w:tcPr>
          <w:p>
            <w:pPr>
              <w:spacing w:after="0"/>
              <w:rPr>
                <w:sz w:val="14"/>
                <w:szCs w:val="14"/>
                <w:color w:val="auto"/>
              </w:rPr>
            </w:pPr>
          </w:p>
        </w:tc>
        <w:tc>
          <w:tcPr>
            <w:tcW w:w="1240" w:type="dxa"/>
            <w:vAlign w:val="bottom"/>
          </w:tcPr>
          <w:p>
            <w:pPr>
              <w:jc w:val="right"/>
              <w:ind w:right="134"/>
              <w:spacing w:after="0"/>
              <w:rPr>
                <w:sz w:val="20"/>
                <w:szCs w:val="20"/>
                <w:color w:val="auto"/>
              </w:rPr>
            </w:pPr>
            <w:r>
              <w:rPr>
                <w:rFonts w:ascii="Arial" w:cs="Arial" w:eastAsia="Arial" w:hAnsi="Arial"/>
                <w:sz w:val="13"/>
                <w:szCs w:val="13"/>
                <w:color w:val="auto"/>
              </w:rPr>
              <w:t>7,312</w:t>
            </w:r>
          </w:p>
        </w:tc>
        <w:tc>
          <w:tcPr>
            <w:tcW w:w="280" w:type="dxa"/>
            <w:vAlign w:val="bottom"/>
          </w:tcPr>
          <w:p>
            <w:pPr>
              <w:spacing w:after="0"/>
              <w:rPr>
                <w:sz w:val="14"/>
                <w:szCs w:val="14"/>
                <w:color w:val="auto"/>
              </w:rPr>
            </w:pPr>
          </w:p>
        </w:tc>
        <w:tc>
          <w:tcPr>
            <w:tcW w:w="1220" w:type="dxa"/>
            <w:vAlign w:val="bottom"/>
          </w:tcPr>
          <w:p>
            <w:pPr>
              <w:jc w:val="right"/>
              <w:ind w:right="134"/>
              <w:spacing w:after="0"/>
              <w:rPr>
                <w:sz w:val="20"/>
                <w:szCs w:val="20"/>
                <w:color w:val="auto"/>
              </w:rPr>
            </w:pPr>
            <w:r>
              <w:rPr>
                <w:rFonts w:ascii="Arial" w:cs="Arial" w:eastAsia="Arial" w:hAnsi="Arial"/>
                <w:sz w:val="13"/>
                <w:szCs w:val="13"/>
                <w:color w:val="auto"/>
              </w:rPr>
              <w:t>128,463</w:t>
            </w:r>
          </w:p>
        </w:tc>
        <w:tc>
          <w:tcPr>
            <w:tcW w:w="260" w:type="dxa"/>
            <w:vAlign w:val="bottom"/>
          </w:tcPr>
          <w:p>
            <w:pPr>
              <w:spacing w:after="0"/>
              <w:rPr>
                <w:sz w:val="14"/>
                <w:szCs w:val="14"/>
                <w:color w:val="auto"/>
              </w:rPr>
            </w:pPr>
          </w:p>
        </w:tc>
        <w:tc>
          <w:tcPr>
            <w:tcW w:w="1220" w:type="dxa"/>
            <w:vAlign w:val="bottom"/>
          </w:tcPr>
          <w:p>
            <w:pPr>
              <w:jc w:val="right"/>
              <w:ind w:right="154"/>
              <w:spacing w:after="0"/>
              <w:rPr>
                <w:sz w:val="20"/>
                <w:szCs w:val="20"/>
                <w:color w:val="auto"/>
              </w:rPr>
            </w:pPr>
            <w:r>
              <w:rPr>
                <w:rFonts w:ascii="Arial" w:cs="Arial" w:eastAsia="Arial" w:hAnsi="Arial"/>
                <w:sz w:val="13"/>
                <w:szCs w:val="13"/>
                <w:color w:val="auto"/>
              </w:rPr>
              <w:t>25,691</w:t>
            </w:r>
          </w:p>
        </w:tc>
        <w:tc>
          <w:tcPr>
            <w:tcW w:w="240" w:type="dxa"/>
            <w:vAlign w:val="bottom"/>
          </w:tcPr>
          <w:p>
            <w:pPr>
              <w:spacing w:after="0"/>
              <w:rPr>
                <w:sz w:val="14"/>
                <w:szCs w:val="14"/>
                <w:color w:val="auto"/>
              </w:rPr>
            </w:pPr>
          </w:p>
        </w:tc>
        <w:tc>
          <w:tcPr>
            <w:tcW w:w="126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1100" w:type="dxa"/>
            <w:vAlign w:val="bottom"/>
          </w:tcPr>
          <w:p>
            <w:pPr>
              <w:jc w:val="right"/>
              <w:ind w:right="94"/>
              <w:spacing w:after="0"/>
              <w:rPr>
                <w:sz w:val="20"/>
                <w:szCs w:val="20"/>
                <w:color w:val="auto"/>
              </w:rPr>
            </w:pPr>
            <w:r>
              <w:rPr>
                <w:rFonts w:ascii="Arial" w:cs="Arial" w:eastAsia="Arial" w:hAnsi="Arial"/>
                <w:sz w:val="13"/>
                <w:szCs w:val="13"/>
                <w:color w:val="auto"/>
              </w:rPr>
              <w:t>161,466</w:t>
            </w:r>
          </w:p>
        </w:tc>
        <w:tc>
          <w:tcPr>
            <w:tcW w:w="0" w:type="dxa"/>
            <w:vAlign w:val="bottom"/>
          </w:tcPr>
          <w:p>
            <w:pPr>
              <w:spacing w:after="0"/>
              <w:rPr>
                <w:sz w:val="1"/>
                <w:szCs w:val="1"/>
                <w:color w:val="auto"/>
              </w:rPr>
            </w:pPr>
          </w:p>
        </w:tc>
      </w:tr>
      <w:tr>
        <w:trPr>
          <w:trHeight w:val="178"/>
        </w:trPr>
        <w:tc>
          <w:tcPr>
            <w:tcW w:w="3880" w:type="dxa"/>
            <w:vAlign w:val="bottom"/>
            <w:shd w:val="clear" w:color="auto" w:fill="E7E7E8"/>
          </w:tcPr>
          <w:p>
            <w:pPr>
              <w:ind w:left="20"/>
              <w:spacing w:after="0"/>
              <w:rPr>
                <w:sz w:val="20"/>
                <w:szCs w:val="20"/>
                <w:color w:val="auto"/>
              </w:rPr>
            </w:pPr>
            <w:r>
              <w:rPr>
                <w:rFonts w:ascii="Arial" w:cs="Arial" w:eastAsia="Arial" w:hAnsi="Arial"/>
                <w:sz w:val="13"/>
                <w:szCs w:val="13"/>
                <w:color w:val="auto"/>
              </w:rPr>
              <w:t>Average portable storage utilization rate</w:t>
            </w:r>
          </w:p>
        </w:tc>
        <w:tc>
          <w:tcPr>
            <w:tcW w:w="220" w:type="dxa"/>
            <w:vAlign w:val="bottom"/>
            <w:shd w:val="clear" w:color="auto" w:fill="E7E7E8"/>
          </w:tcPr>
          <w:p>
            <w:pPr>
              <w:spacing w:after="0"/>
              <w:rPr>
                <w:sz w:val="15"/>
                <w:szCs w:val="15"/>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3"/>
                <w:szCs w:val="13"/>
                <w:color w:val="auto"/>
              </w:rPr>
              <w:t>68.8 %</w:t>
            </w:r>
          </w:p>
        </w:tc>
        <w:tc>
          <w:tcPr>
            <w:tcW w:w="280" w:type="dxa"/>
            <w:vAlign w:val="bottom"/>
            <w:shd w:val="clear" w:color="auto" w:fill="E7E7E8"/>
          </w:tcPr>
          <w:p>
            <w:pPr>
              <w:spacing w:after="0"/>
              <w:rPr>
                <w:sz w:val="15"/>
                <w:szCs w:val="15"/>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3"/>
                <w:szCs w:val="13"/>
                <w:color w:val="auto"/>
              </w:rPr>
              <w:t>80.9 %</w:t>
            </w:r>
          </w:p>
        </w:tc>
        <w:tc>
          <w:tcPr>
            <w:tcW w:w="260" w:type="dxa"/>
            <w:vAlign w:val="bottom"/>
            <w:shd w:val="clear" w:color="auto" w:fill="E7E7E8"/>
          </w:tcPr>
          <w:p>
            <w:pPr>
              <w:spacing w:after="0"/>
              <w:rPr>
                <w:sz w:val="15"/>
                <w:szCs w:val="15"/>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3"/>
                <w:szCs w:val="13"/>
                <w:color w:val="auto"/>
              </w:rPr>
              <w:t>90.2 %</w:t>
            </w:r>
          </w:p>
        </w:tc>
        <w:tc>
          <w:tcPr>
            <w:tcW w:w="240" w:type="dxa"/>
            <w:vAlign w:val="bottom"/>
            <w:shd w:val="clear" w:color="auto" w:fill="E7E7E8"/>
          </w:tcPr>
          <w:p>
            <w:pPr>
              <w:spacing w:after="0"/>
              <w:rPr>
                <w:sz w:val="15"/>
                <w:szCs w:val="15"/>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3"/>
                <w:szCs w:val="13"/>
                <w:color w:val="auto"/>
              </w:rPr>
              <w:t>— %</w:t>
            </w:r>
          </w:p>
        </w:tc>
        <w:tc>
          <w:tcPr>
            <w:tcW w:w="360" w:type="dxa"/>
            <w:vAlign w:val="bottom"/>
            <w:shd w:val="clear" w:color="auto" w:fill="E7E7E8"/>
          </w:tcPr>
          <w:p>
            <w:pPr>
              <w:spacing w:after="0"/>
              <w:rPr>
                <w:sz w:val="15"/>
                <w:szCs w:val="15"/>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3"/>
                <w:szCs w:val="13"/>
                <w:color w:val="auto"/>
              </w:rPr>
              <w:t>81.5 %</w:t>
            </w:r>
          </w:p>
        </w:tc>
        <w:tc>
          <w:tcPr>
            <w:tcW w:w="0" w:type="dxa"/>
            <w:vAlign w:val="bottom"/>
          </w:tcPr>
          <w:p>
            <w:pPr>
              <w:spacing w:after="0"/>
              <w:rPr>
                <w:sz w:val="1"/>
                <w:szCs w:val="1"/>
                <w:color w:val="auto"/>
              </w:rPr>
            </w:pPr>
          </w:p>
        </w:tc>
      </w:tr>
      <w:tr>
        <w:trPr>
          <w:trHeight w:val="172"/>
        </w:trPr>
        <w:tc>
          <w:tcPr>
            <w:tcW w:w="3880" w:type="dxa"/>
            <w:vAlign w:val="bottom"/>
          </w:tcPr>
          <w:p>
            <w:pPr>
              <w:ind w:left="20"/>
              <w:spacing w:after="0"/>
              <w:rPr>
                <w:sz w:val="20"/>
                <w:szCs w:val="20"/>
                <w:color w:val="auto"/>
              </w:rPr>
            </w:pPr>
            <w:r>
              <w:rPr>
                <w:rFonts w:ascii="Arial" w:cs="Arial" w:eastAsia="Arial" w:hAnsi="Arial"/>
                <w:sz w:val="13"/>
                <w:szCs w:val="13"/>
                <w:color w:val="auto"/>
              </w:rPr>
              <w:t>Average portable storage monthly rental rate</w:t>
            </w:r>
          </w:p>
        </w:tc>
        <w:tc>
          <w:tcPr>
            <w:tcW w:w="22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34"/>
              <w:spacing w:after="0"/>
              <w:rPr>
                <w:sz w:val="20"/>
                <w:szCs w:val="20"/>
                <w:color w:val="auto"/>
              </w:rPr>
            </w:pPr>
            <w:r>
              <w:rPr>
                <w:rFonts w:ascii="Arial" w:cs="Arial" w:eastAsia="Arial" w:hAnsi="Arial"/>
                <w:sz w:val="13"/>
                <w:szCs w:val="13"/>
                <w:color w:val="auto"/>
              </w:rPr>
              <w:t>131</w:t>
            </w: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34"/>
              <w:spacing w:after="0"/>
              <w:rPr>
                <w:sz w:val="20"/>
                <w:szCs w:val="20"/>
                <w:color w:val="auto"/>
              </w:rPr>
            </w:pPr>
            <w:r>
              <w:rPr>
                <w:rFonts w:ascii="Arial" w:cs="Arial" w:eastAsia="Arial" w:hAnsi="Arial"/>
                <w:sz w:val="13"/>
                <w:szCs w:val="13"/>
                <w:color w:val="auto"/>
              </w:rPr>
              <w:t>155</w:t>
            </w: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54"/>
              <w:spacing w:after="0"/>
              <w:rPr>
                <w:sz w:val="20"/>
                <w:szCs w:val="20"/>
                <w:color w:val="auto"/>
              </w:rPr>
            </w:pPr>
            <w:r>
              <w:rPr>
                <w:rFonts w:ascii="Arial" w:cs="Arial" w:eastAsia="Arial" w:hAnsi="Arial"/>
                <w:sz w:val="13"/>
                <w:szCs w:val="13"/>
                <w:color w:val="auto"/>
              </w:rPr>
              <w:t>88</w:t>
            </w:r>
          </w:p>
        </w:tc>
        <w:tc>
          <w:tcPr>
            <w:tcW w:w="2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94"/>
              <w:spacing w:after="0"/>
              <w:rPr>
                <w:sz w:val="20"/>
                <w:szCs w:val="20"/>
                <w:color w:val="auto"/>
              </w:rPr>
            </w:pPr>
            <w:r>
              <w:rPr>
                <w:rFonts w:ascii="Arial" w:cs="Arial" w:eastAsia="Arial" w:hAnsi="Arial"/>
                <w:sz w:val="13"/>
                <w:szCs w:val="13"/>
                <w:color w:val="auto"/>
              </w:rPr>
              <w:t>144</w:t>
            </w:r>
          </w:p>
        </w:tc>
        <w:tc>
          <w:tcPr>
            <w:tcW w:w="0" w:type="dxa"/>
            <w:vAlign w:val="bottom"/>
          </w:tcPr>
          <w:p>
            <w:pPr>
              <w:spacing w:after="0"/>
              <w:rPr>
                <w:sz w:val="1"/>
                <w:szCs w:val="1"/>
                <w:color w:val="auto"/>
              </w:rPr>
            </w:pPr>
          </w:p>
        </w:tc>
      </w:tr>
      <w:tr>
        <w:trPr>
          <w:trHeight w:val="146"/>
        </w:trPr>
        <w:tc>
          <w:tcPr>
            <w:tcW w:w="3880" w:type="dxa"/>
            <w:vAlign w:val="bottom"/>
            <w:shd w:val="clear" w:color="auto" w:fill="E7E7E8"/>
          </w:tcPr>
          <w:p>
            <w:pPr>
              <w:ind w:left="20"/>
              <w:spacing w:after="0" w:line="147" w:lineRule="exact"/>
              <w:rPr>
                <w:sz w:val="20"/>
                <w:szCs w:val="20"/>
                <w:color w:val="auto"/>
              </w:rPr>
            </w:pPr>
            <w:r>
              <w:rPr>
                <w:rFonts w:ascii="Arial" w:cs="Arial" w:eastAsia="Arial" w:hAnsi="Arial"/>
                <w:sz w:val="13"/>
                <w:szCs w:val="13"/>
                <w:color w:val="auto"/>
              </w:rPr>
              <w:t>Average tank and pump solutions rental fleet utilization based on</w:t>
            </w:r>
          </w:p>
        </w:tc>
        <w:tc>
          <w:tcPr>
            <w:tcW w:w="220" w:type="dxa"/>
            <w:vAlign w:val="bottom"/>
            <w:shd w:val="clear" w:color="auto" w:fill="E7E7E8"/>
          </w:tcPr>
          <w:p>
            <w:pPr>
              <w:spacing w:after="0"/>
              <w:rPr>
                <w:sz w:val="12"/>
                <w:szCs w:val="12"/>
                <w:color w:val="auto"/>
              </w:rPr>
            </w:pPr>
          </w:p>
        </w:tc>
        <w:tc>
          <w:tcPr>
            <w:tcW w:w="1240" w:type="dxa"/>
            <w:vAlign w:val="bottom"/>
            <w:shd w:val="clear" w:color="auto" w:fill="E7E7E8"/>
          </w:tcPr>
          <w:p>
            <w:pPr>
              <w:spacing w:after="0"/>
              <w:rPr>
                <w:sz w:val="12"/>
                <w:szCs w:val="12"/>
                <w:color w:val="auto"/>
              </w:rPr>
            </w:pPr>
          </w:p>
        </w:tc>
        <w:tc>
          <w:tcPr>
            <w:tcW w:w="280" w:type="dxa"/>
            <w:vAlign w:val="bottom"/>
            <w:shd w:val="clear" w:color="auto" w:fill="E7E7E8"/>
          </w:tcPr>
          <w:p>
            <w:pPr>
              <w:spacing w:after="0"/>
              <w:rPr>
                <w:sz w:val="12"/>
                <w:szCs w:val="12"/>
                <w:color w:val="auto"/>
              </w:rPr>
            </w:pPr>
          </w:p>
        </w:tc>
        <w:tc>
          <w:tcPr>
            <w:tcW w:w="1220" w:type="dxa"/>
            <w:vAlign w:val="bottom"/>
            <w:shd w:val="clear" w:color="auto" w:fill="E7E7E8"/>
          </w:tcPr>
          <w:p>
            <w:pPr>
              <w:spacing w:after="0"/>
              <w:rPr>
                <w:sz w:val="12"/>
                <w:szCs w:val="12"/>
                <w:color w:val="auto"/>
              </w:rPr>
            </w:pPr>
          </w:p>
        </w:tc>
        <w:tc>
          <w:tcPr>
            <w:tcW w:w="260" w:type="dxa"/>
            <w:vAlign w:val="bottom"/>
            <w:shd w:val="clear" w:color="auto" w:fill="E7E7E8"/>
          </w:tcPr>
          <w:p>
            <w:pPr>
              <w:spacing w:after="0"/>
              <w:rPr>
                <w:sz w:val="12"/>
                <w:szCs w:val="12"/>
                <w:color w:val="auto"/>
              </w:rPr>
            </w:pPr>
          </w:p>
        </w:tc>
        <w:tc>
          <w:tcPr>
            <w:tcW w:w="1220" w:type="dxa"/>
            <w:vAlign w:val="bottom"/>
            <w:shd w:val="clear" w:color="auto" w:fill="E7E7E8"/>
          </w:tcPr>
          <w:p>
            <w:pPr>
              <w:spacing w:after="0"/>
              <w:rPr>
                <w:sz w:val="12"/>
                <w:szCs w:val="12"/>
                <w:color w:val="auto"/>
              </w:rPr>
            </w:pPr>
          </w:p>
        </w:tc>
        <w:tc>
          <w:tcPr>
            <w:tcW w:w="240" w:type="dxa"/>
            <w:vAlign w:val="bottom"/>
            <w:shd w:val="clear" w:color="auto" w:fill="E7E7E8"/>
          </w:tcPr>
          <w:p>
            <w:pPr>
              <w:spacing w:after="0"/>
              <w:rPr>
                <w:sz w:val="12"/>
                <w:szCs w:val="12"/>
                <w:color w:val="auto"/>
              </w:rPr>
            </w:pPr>
          </w:p>
        </w:tc>
        <w:tc>
          <w:tcPr>
            <w:tcW w:w="1260" w:type="dxa"/>
            <w:vAlign w:val="bottom"/>
            <w:shd w:val="clear" w:color="auto" w:fill="E7E7E8"/>
          </w:tcPr>
          <w:p>
            <w:pPr>
              <w:spacing w:after="0"/>
              <w:rPr>
                <w:sz w:val="12"/>
                <w:szCs w:val="12"/>
                <w:color w:val="auto"/>
              </w:rPr>
            </w:pPr>
          </w:p>
        </w:tc>
        <w:tc>
          <w:tcPr>
            <w:tcW w:w="360" w:type="dxa"/>
            <w:vAlign w:val="bottom"/>
            <w:shd w:val="clear" w:color="auto" w:fill="E7E7E8"/>
          </w:tcPr>
          <w:p>
            <w:pPr>
              <w:spacing w:after="0"/>
              <w:rPr>
                <w:sz w:val="12"/>
                <w:szCs w:val="12"/>
                <w:color w:val="auto"/>
              </w:rPr>
            </w:pPr>
          </w:p>
        </w:tc>
        <w:tc>
          <w:tcPr>
            <w:tcW w:w="1100" w:type="dxa"/>
            <w:vAlign w:val="bottom"/>
            <w:shd w:val="clear" w:color="auto" w:fill="E7E7E8"/>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80" w:type="dxa"/>
            <w:vAlign w:val="bottom"/>
            <w:shd w:val="clear" w:color="auto" w:fill="E7E7E8"/>
          </w:tcPr>
          <w:p>
            <w:pPr>
              <w:ind w:left="20"/>
              <w:spacing w:after="0"/>
              <w:rPr>
                <w:sz w:val="20"/>
                <w:szCs w:val="20"/>
                <w:color w:val="auto"/>
              </w:rPr>
            </w:pPr>
            <w:r>
              <w:rPr>
                <w:rFonts w:ascii="Arial" w:cs="Arial" w:eastAsia="Arial" w:hAnsi="Arial"/>
                <w:sz w:val="13"/>
                <w:szCs w:val="13"/>
                <w:color w:val="auto"/>
              </w:rPr>
              <w:t>original equipment cost</w:t>
            </w:r>
          </w:p>
        </w:tc>
        <w:tc>
          <w:tcPr>
            <w:tcW w:w="220" w:type="dxa"/>
            <w:vAlign w:val="bottom"/>
            <w:shd w:val="clear" w:color="auto" w:fill="E7E7E8"/>
          </w:tcPr>
          <w:p>
            <w:pPr>
              <w:spacing w:after="0"/>
              <w:rPr>
                <w:sz w:val="14"/>
                <w:szCs w:val="14"/>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3"/>
                <w:szCs w:val="13"/>
                <w:color w:val="auto"/>
              </w:rPr>
              <w:t>N/A</w:t>
            </w:r>
          </w:p>
        </w:tc>
        <w:tc>
          <w:tcPr>
            <w:tcW w:w="280" w:type="dxa"/>
            <w:vAlign w:val="bottom"/>
            <w:shd w:val="clear" w:color="auto" w:fill="E7E7E8"/>
          </w:tcPr>
          <w:p>
            <w:pPr>
              <w:spacing w:after="0"/>
              <w:rPr>
                <w:sz w:val="14"/>
                <w:szCs w:val="14"/>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3"/>
                <w:szCs w:val="13"/>
                <w:color w:val="auto"/>
              </w:rPr>
              <w:t>N/A</w:t>
            </w:r>
          </w:p>
        </w:tc>
        <w:tc>
          <w:tcPr>
            <w:tcW w:w="260" w:type="dxa"/>
            <w:vAlign w:val="bottom"/>
            <w:shd w:val="clear" w:color="auto" w:fill="E7E7E8"/>
          </w:tcPr>
          <w:p>
            <w:pPr>
              <w:spacing w:after="0"/>
              <w:rPr>
                <w:sz w:val="14"/>
                <w:szCs w:val="14"/>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3"/>
                <w:szCs w:val="13"/>
                <w:color w:val="auto"/>
              </w:rPr>
              <w:t>N/A</w:t>
            </w:r>
          </w:p>
        </w:tc>
        <w:tc>
          <w:tcPr>
            <w:tcW w:w="240" w:type="dxa"/>
            <w:vAlign w:val="bottom"/>
            <w:shd w:val="clear" w:color="auto" w:fill="E7E7E8"/>
          </w:tcPr>
          <w:p>
            <w:pPr>
              <w:spacing w:after="0"/>
              <w:rPr>
                <w:sz w:val="14"/>
                <w:szCs w:val="14"/>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3"/>
                <w:szCs w:val="13"/>
                <w:color w:val="auto"/>
              </w:rPr>
              <w:t>72.3 %</w:t>
            </w:r>
          </w:p>
        </w:tc>
        <w:tc>
          <w:tcPr>
            <w:tcW w:w="360" w:type="dxa"/>
            <w:vAlign w:val="bottom"/>
            <w:shd w:val="clear" w:color="auto" w:fill="E7E7E8"/>
          </w:tcPr>
          <w:p>
            <w:pPr>
              <w:spacing w:after="0"/>
              <w:rPr>
                <w:sz w:val="14"/>
                <w:szCs w:val="14"/>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3"/>
                <w:szCs w:val="13"/>
                <w:color w:val="auto"/>
              </w:rPr>
              <w:t>72.3 %</w:t>
            </w:r>
          </w:p>
        </w:tc>
        <w:tc>
          <w:tcPr>
            <w:tcW w:w="0" w:type="dxa"/>
            <w:vAlign w:val="bottom"/>
          </w:tcPr>
          <w:p>
            <w:pPr>
              <w:spacing w:after="0"/>
              <w:rPr>
                <w:sz w:val="1"/>
                <w:szCs w:val="1"/>
                <w:color w:val="auto"/>
              </w:rPr>
            </w:pPr>
          </w:p>
        </w:tc>
      </w:tr>
    </w:tbl>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00" w:type="dxa"/>
            <w:vAlign w:val="bottom"/>
            <w:shd w:val="clear" w:color="auto" w:fill="1D2758"/>
          </w:tcPr>
          <w:p>
            <w:pPr>
              <w:spacing w:after="0"/>
              <w:rPr>
                <w:sz w:val="15"/>
                <w:szCs w:val="15"/>
                <w:color w:val="auto"/>
              </w:rPr>
            </w:pPr>
          </w:p>
        </w:tc>
        <w:tc>
          <w:tcPr>
            <w:tcW w:w="220" w:type="dxa"/>
            <w:vAlign w:val="bottom"/>
            <w:shd w:val="clear" w:color="auto" w:fill="1D2758"/>
          </w:tcPr>
          <w:p>
            <w:pPr>
              <w:spacing w:after="0"/>
              <w:rPr>
                <w:sz w:val="15"/>
                <w:szCs w:val="15"/>
                <w:color w:val="auto"/>
              </w:rPr>
            </w:pPr>
          </w:p>
        </w:tc>
        <w:tc>
          <w:tcPr>
            <w:tcW w:w="1220" w:type="dxa"/>
            <w:vAlign w:val="bottom"/>
            <w:shd w:val="clear" w:color="auto" w:fill="1D2758"/>
          </w:tcPr>
          <w:p>
            <w:pPr>
              <w:spacing w:after="0"/>
              <w:rPr>
                <w:sz w:val="15"/>
                <w:szCs w:val="15"/>
                <w:color w:val="auto"/>
              </w:rPr>
            </w:pPr>
          </w:p>
        </w:tc>
        <w:tc>
          <w:tcPr>
            <w:tcW w:w="280" w:type="dxa"/>
            <w:vAlign w:val="bottom"/>
            <w:shd w:val="clear" w:color="auto" w:fill="1D2758"/>
          </w:tcPr>
          <w:p>
            <w:pPr>
              <w:spacing w:after="0"/>
              <w:rPr>
                <w:sz w:val="15"/>
                <w:szCs w:val="15"/>
                <w:color w:val="auto"/>
              </w:rPr>
            </w:pPr>
          </w:p>
        </w:tc>
        <w:tc>
          <w:tcPr>
            <w:tcW w:w="2960" w:type="dxa"/>
            <w:vAlign w:val="bottom"/>
            <w:gridSpan w:val="4"/>
            <w:shd w:val="clear" w:color="auto" w:fill="1D2758"/>
          </w:tcPr>
          <w:p>
            <w:pPr>
              <w:jc w:val="right"/>
              <w:spacing w:after="0"/>
              <w:rPr>
                <w:sz w:val="20"/>
                <w:szCs w:val="20"/>
                <w:color w:val="auto"/>
              </w:rPr>
            </w:pPr>
            <w:r>
              <w:rPr>
                <w:rFonts w:ascii="Arial" w:cs="Arial" w:eastAsia="Arial" w:hAnsi="Arial"/>
                <w:sz w:val="13"/>
                <w:szCs w:val="13"/>
                <w:b w:val="1"/>
                <w:bCs w:val="1"/>
                <w:color w:val="FFFFFF"/>
              </w:rPr>
              <w:t>Year Ended December 31, 2020</w:t>
            </w:r>
          </w:p>
        </w:tc>
        <w:tc>
          <w:tcPr>
            <w:tcW w:w="1240" w:type="dxa"/>
            <w:vAlign w:val="bottom"/>
            <w:shd w:val="clear" w:color="auto" w:fill="1D2758"/>
          </w:tcPr>
          <w:p>
            <w:pPr>
              <w:spacing w:after="0"/>
              <w:rPr>
                <w:sz w:val="15"/>
                <w:szCs w:val="15"/>
                <w:color w:val="auto"/>
              </w:rPr>
            </w:pPr>
          </w:p>
        </w:tc>
        <w:tc>
          <w:tcPr>
            <w:tcW w:w="360" w:type="dxa"/>
            <w:vAlign w:val="bottom"/>
            <w:shd w:val="clear" w:color="auto" w:fill="1D2758"/>
          </w:tcPr>
          <w:p>
            <w:pPr>
              <w:spacing w:after="0"/>
              <w:rPr>
                <w:sz w:val="15"/>
                <w:szCs w:val="15"/>
                <w:color w:val="auto"/>
              </w:rPr>
            </w:pPr>
          </w:p>
        </w:tc>
        <w:tc>
          <w:tcPr>
            <w:tcW w:w="1100" w:type="dxa"/>
            <w:vAlign w:val="bottom"/>
            <w:shd w:val="clear" w:color="auto" w:fill="1D2758"/>
          </w:tcPr>
          <w:p>
            <w:pPr>
              <w:spacing w:after="0"/>
              <w:rPr>
                <w:sz w:val="15"/>
                <w:szCs w:val="15"/>
                <w:color w:val="auto"/>
              </w:rPr>
            </w:pPr>
          </w:p>
        </w:tc>
      </w:tr>
      <w:tr>
        <w:trPr>
          <w:trHeight w:val="175"/>
        </w:trPr>
        <w:tc>
          <w:tcPr>
            <w:tcW w:w="390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 except for units on rent and rates)</w:t>
            </w:r>
          </w:p>
        </w:tc>
        <w:tc>
          <w:tcPr>
            <w:tcW w:w="220" w:type="dxa"/>
            <w:vAlign w:val="bottom"/>
            <w:shd w:val="clear" w:color="auto" w:fill="1D2758"/>
          </w:tcPr>
          <w:p>
            <w:pPr>
              <w:spacing w:after="0"/>
              <w:rPr>
                <w:sz w:val="15"/>
                <w:szCs w:val="15"/>
                <w:color w:val="auto"/>
              </w:rPr>
            </w:pPr>
          </w:p>
        </w:tc>
        <w:tc>
          <w:tcPr>
            <w:tcW w:w="1220" w:type="dxa"/>
            <w:vAlign w:val="bottom"/>
            <w:shd w:val="clear" w:color="auto" w:fill="1D2758"/>
          </w:tcPr>
          <w:p>
            <w:pPr>
              <w:jc w:val="right"/>
              <w:ind w:right="294"/>
              <w:spacing w:after="0"/>
              <w:rPr>
                <w:sz w:val="20"/>
                <w:szCs w:val="20"/>
                <w:color w:val="auto"/>
              </w:rPr>
            </w:pPr>
            <w:r>
              <w:rPr>
                <w:rFonts w:ascii="Arial" w:cs="Arial" w:eastAsia="Arial" w:hAnsi="Arial"/>
                <w:sz w:val="13"/>
                <w:szCs w:val="13"/>
                <w:b w:val="1"/>
                <w:bCs w:val="1"/>
                <w:color w:val="FFFFFF"/>
              </w:rPr>
              <w:t>NA Modular</w:t>
            </w:r>
          </w:p>
        </w:tc>
        <w:tc>
          <w:tcPr>
            <w:tcW w:w="280" w:type="dxa"/>
            <w:vAlign w:val="bottom"/>
            <w:shd w:val="clear" w:color="auto" w:fill="1D2758"/>
          </w:tcPr>
          <w:p>
            <w:pPr>
              <w:spacing w:after="0"/>
              <w:rPr>
                <w:sz w:val="15"/>
                <w:szCs w:val="15"/>
                <w:color w:val="auto"/>
              </w:rPr>
            </w:pPr>
          </w:p>
        </w:tc>
        <w:tc>
          <w:tcPr>
            <w:tcW w:w="1220" w:type="dxa"/>
            <w:vAlign w:val="bottom"/>
            <w:shd w:val="clear" w:color="auto" w:fill="1D2758"/>
          </w:tcPr>
          <w:p>
            <w:pPr>
              <w:jc w:val="right"/>
              <w:ind w:right="314"/>
              <w:spacing w:after="0"/>
              <w:rPr>
                <w:sz w:val="20"/>
                <w:szCs w:val="20"/>
                <w:color w:val="auto"/>
              </w:rPr>
            </w:pPr>
            <w:r>
              <w:rPr>
                <w:rFonts w:ascii="Arial" w:cs="Arial" w:eastAsia="Arial" w:hAnsi="Arial"/>
                <w:sz w:val="13"/>
                <w:szCs w:val="13"/>
                <w:b w:val="1"/>
                <w:bCs w:val="1"/>
                <w:color w:val="FFFFFF"/>
              </w:rPr>
              <w:t>NA Storage</w:t>
            </w:r>
          </w:p>
        </w:tc>
        <w:tc>
          <w:tcPr>
            <w:tcW w:w="260" w:type="dxa"/>
            <w:vAlign w:val="bottom"/>
            <w:shd w:val="clear" w:color="auto" w:fill="1D2758"/>
          </w:tcPr>
          <w:p>
            <w:pPr>
              <w:spacing w:after="0"/>
              <w:rPr>
                <w:sz w:val="15"/>
                <w:szCs w:val="15"/>
                <w:color w:val="auto"/>
              </w:rPr>
            </w:pPr>
          </w:p>
        </w:tc>
        <w:tc>
          <w:tcPr>
            <w:tcW w:w="1220" w:type="dxa"/>
            <w:vAlign w:val="bottom"/>
            <w:shd w:val="clear" w:color="auto" w:fill="1D2758"/>
          </w:tcPr>
          <w:p>
            <w:pPr>
              <w:jc w:val="right"/>
              <w:ind w:right="314"/>
              <w:spacing w:after="0"/>
              <w:rPr>
                <w:sz w:val="20"/>
                <w:szCs w:val="20"/>
                <w:color w:val="auto"/>
              </w:rPr>
            </w:pPr>
            <w:r>
              <w:rPr>
                <w:rFonts w:ascii="Arial" w:cs="Arial" w:eastAsia="Arial" w:hAnsi="Arial"/>
                <w:sz w:val="13"/>
                <w:szCs w:val="13"/>
                <w:b w:val="1"/>
                <w:bCs w:val="1"/>
                <w:color w:val="FFFFFF"/>
              </w:rPr>
              <w:t>UK Storage</w:t>
            </w:r>
          </w:p>
        </w:tc>
        <w:tc>
          <w:tcPr>
            <w:tcW w:w="260" w:type="dxa"/>
            <w:vAlign w:val="bottom"/>
            <w:shd w:val="clear" w:color="auto" w:fill="1D2758"/>
          </w:tcPr>
          <w:p>
            <w:pPr>
              <w:spacing w:after="0"/>
              <w:rPr>
                <w:sz w:val="15"/>
                <w:szCs w:val="15"/>
                <w:color w:val="auto"/>
              </w:rPr>
            </w:pPr>
          </w:p>
        </w:tc>
        <w:tc>
          <w:tcPr>
            <w:tcW w:w="1240" w:type="dxa"/>
            <w:vAlign w:val="bottom"/>
            <w:shd w:val="clear" w:color="auto" w:fill="1D2758"/>
          </w:tcPr>
          <w:p>
            <w:pPr>
              <w:jc w:val="right"/>
              <w:ind w:right="194"/>
              <w:spacing w:after="0"/>
              <w:rPr>
                <w:sz w:val="20"/>
                <w:szCs w:val="20"/>
                <w:color w:val="auto"/>
              </w:rPr>
            </w:pPr>
            <w:r>
              <w:rPr>
                <w:rFonts w:ascii="Arial" w:cs="Arial" w:eastAsia="Arial" w:hAnsi="Arial"/>
                <w:sz w:val="13"/>
                <w:szCs w:val="13"/>
                <w:b w:val="1"/>
                <w:bCs w:val="1"/>
                <w:color w:val="FFFFFF"/>
                <w:w w:val="99"/>
              </w:rPr>
              <w:t>Tank and Pump</w:t>
            </w:r>
          </w:p>
        </w:tc>
        <w:tc>
          <w:tcPr>
            <w:tcW w:w="360" w:type="dxa"/>
            <w:vAlign w:val="bottom"/>
            <w:shd w:val="clear" w:color="auto" w:fill="1D2758"/>
          </w:tcPr>
          <w:p>
            <w:pPr>
              <w:spacing w:after="0"/>
              <w:rPr>
                <w:sz w:val="15"/>
                <w:szCs w:val="15"/>
                <w:color w:val="auto"/>
              </w:rPr>
            </w:pPr>
          </w:p>
        </w:tc>
        <w:tc>
          <w:tcPr>
            <w:tcW w:w="1100" w:type="dxa"/>
            <w:vAlign w:val="bottom"/>
            <w:shd w:val="clear" w:color="auto" w:fill="1D2758"/>
          </w:tcPr>
          <w:p>
            <w:pPr>
              <w:jc w:val="right"/>
              <w:ind w:right="494"/>
              <w:spacing w:after="0"/>
              <w:rPr>
                <w:sz w:val="20"/>
                <w:szCs w:val="20"/>
                <w:color w:val="auto"/>
              </w:rPr>
            </w:pPr>
            <w:r>
              <w:rPr>
                <w:rFonts w:ascii="Arial" w:cs="Arial" w:eastAsia="Arial" w:hAnsi="Arial"/>
                <w:sz w:val="13"/>
                <w:szCs w:val="13"/>
                <w:b w:val="1"/>
                <w:bCs w:val="1"/>
                <w:color w:val="FFFFFF"/>
              </w:rPr>
              <w:t>Total</w:t>
            </w:r>
          </w:p>
        </w:tc>
      </w:tr>
      <w:tr>
        <w:trPr>
          <w:trHeight w:val="175"/>
        </w:trPr>
        <w:tc>
          <w:tcPr>
            <w:tcW w:w="3900" w:type="dxa"/>
            <w:vAlign w:val="bottom"/>
            <w:shd w:val="clear" w:color="auto" w:fill="E7E7E8"/>
          </w:tcPr>
          <w:p>
            <w:pPr>
              <w:ind w:left="20"/>
              <w:spacing w:after="0"/>
              <w:rPr>
                <w:sz w:val="20"/>
                <w:szCs w:val="20"/>
                <w:color w:val="auto"/>
              </w:rPr>
            </w:pPr>
            <w:r>
              <w:rPr>
                <w:rFonts w:ascii="Arial" w:cs="Arial" w:eastAsia="Arial" w:hAnsi="Arial"/>
                <w:sz w:val="13"/>
                <w:szCs w:val="13"/>
                <w:color w:val="auto"/>
              </w:rPr>
              <w:t>Revenue</w:t>
            </w:r>
          </w:p>
        </w:tc>
        <w:tc>
          <w:tcPr>
            <w:tcW w:w="220" w:type="dxa"/>
            <w:vAlign w:val="bottom"/>
            <w:shd w:val="clear" w:color="auto" w:fill="E7E7E8"/>
          </w:tcPr>
          <w:p>
            <w:pPr>
              <w:jc w:val="right"/>
              <w:ind w:right="54"/>
              <w:spacing w:after="0"/>
              <w:rPr>
                <w:sz w:val="20"/>
                <w:szCs w:val="20"/>
                <w:color w:val="auto"/>
              </w:rPr>
            </w:pPr>
            <w:r>
              <w:rPr>
                <w:rFonts w:ascii="Arial" w:cs="Arial" w:eastAsia="Arial" w:hAnsi="Arial"/>
                <w:sz w:val="13"/>
                <w:szCs w:val="13"/>
                <w:color w:val="auto"/>
              </w:rPr>
              <w:t>$</w:t>
            </w:r>
          </w:p>
        </w:tc>
        <w:tc>
          <w:tcPr>
            <w:tcW w:w="1220" w:type="dxa"/>
            <w:vAlign w:val="bottom"/>
            <w:shd w:val="clear" w:color="auto" w:fill="E7E7E8"/>
          </w:tcPr>
          <w:p>
            <w:pPr>
              <w:jc w:val="right"/>
              <w:ind w:right="134"/>
              <w:spacing w:after="0"/>
              <w:rPr>
                <w:sz w:val="20"/>
                <w:szCs w:val="20"/>
                <w:color w:val="auto"/>
              </w:rPr>
            </w:pPr>
            <w:r>
              <w:rPr>
                <w:rFonts w:ascii="Arial" w:cs="Arial" w:eastAsia="Arial" w:hAnsi="Arial"/>
                <w:sz w:val="13"/>
                <w:szCs w:val="13"/>
                <w:color w:val="auto"/>
              </w:rPr>
              <w:t>1,051,162</w:t>
            </w:r>
          </w:p>
        </w:tc>
        <w:tc>
          <w:tcPr>
            <w:tcW w:w="280" w:type="dxa"/>
            <w:vAlign w:val="bottom"/>
            <w:shd w:val="clear" w:color="auto" w:fill="E7E7E8"/>
          </w:tcPr>
          <w:p>
            <w:pPr>
              <w:jc w:val="right"/>
              <w:ind w:right="74"/>
              <w:spacing w:after="0"/>
              <w:rPr>
                <w:sz w:val="20"/>
                <w:szCs w:val="20"/>
                <w:color w:val="auto"/>
              </w:rPr>
            </w:pPr>
            <w:r>
              <w:rPr>
                <w:rFonts w:ascii="Arial" w:cs="Arial" w:eastAsia="Arial" w:hAnsi="Arial"/>
                <w:sz w:val="13"/>
                <w:szCs w:val="13"/>
                <w:color w:val="auto"/>
              </w:rPr>
              <w:t>$</w:t>
            </w:r>
          </w:p>
        </w:tc>
        <w:tc>
          <w:tcPr>
            <w:tcW w:w="1220" w:type="dxa"/>
            <w:vAlign w:val="bottom"/>
            <w:shd w:val="clear" w:color="auto" w:fill="E7E7E8"/>
          </w:tcPr>
          <w:p>
            <w:pPr>
              <w:jc w:val="right"/>
              <w:ind w:right="134"/>
              <w:spacing w:after="0"/>
              <w:rPr>
                <w:sz w:val="20"/>
                <w:szCs w:val="20"/>
                <w:color w:val="auto"/>
              </w:rPr>
            </w:pPr>
            <w:r>
              <w:rPr>
                <w:rFonts w:ascii="Arial" w:cs="Arial" w:eastAsia="Arial" w:hAnsi="Arial"/>
                <w:sz w:val="13"/>
                <w:szCs w:val="13"/>
                <w:color w:val="auto"/>
              </w:rPr>
              <w:t>221,829</w:t>
            </w:r>
          </w:p>
        </w:tc>
        <w:tc>
          <w:tcPr>
            <w:tcW w:w="260" w:type="dxa"/>
            <w:vAlign w:val="bottom"/>
            <w:shd w:val="clear" w:color="auto" w:fill="E7E7E8"/>
          </w:tcPr>
          <w:p>
            <w:pPr>
              <w:jc w:val="right"/>
              <w:ind w:right="54"/>
              <w:spacing w:after="0"/>
              <w:rPr>
                <w:sz w:val="20"/>
                <w:szCs w:val="20"/>
                <w:color w:val="auto"/>
              </w:rPr>
            </w:pPr>
            <w:r>
              <w:rPr>
                <w:rFonts w:ascii="Arial" w:cs="Arial" w:eastAsia="Arial" w:hAnsi="Arial"/>
                <w:sz w:val="13"/>
                <w:szCs w:val="13"/>
                <w:color w:val="auto"/>
              </w:rPr>
              <w:t>$</w:t>
            </w:r>
          </w:p>
        </w:tc>
        <w:tc>
          <w:tcPr>
            <w:tcW w:w="1220" w:type="dxa"/>
            <w:vAlign w:val="bottom"/>
            <w:shd w:val="clear" w:color="auto" w:fill="E7E7E8"/>
          </w:tcPr>
          <w:p>
            <w:pPr>
              <w:jc w:val="right"/>
              <w:ind w:right="154"/>
              <w:spacing w:after="0"/>
              <w:rPr>
                <w:sz w:val="20"/>
                <w:szCs w:val="20"/>
                <w:color w:val="auto"/>
              </w:rPr>
            </w:pPr>
            <w:r>
              <w:rPr>
                <w:rFonts w:ascii="Arial" w:cs="Arial" w:eastAsia="Arial" w:hAnsi="Arial"/>
                <w:sz w:val="13"/>
                <w:szCs w:val="13"/>
                <w:color w:val="auto"/>
              </w:rPr>
              <w:t>46,361</w:t>
            </w:r>
          </w:p>
        </w:tc>
        <w:tc>
          <w:tcPr>
            <w:tcW w:w="260" w:type="dxa"/>
            <w:vAlign w:val="bottom"/>
            <w:shd w:val="clear" w:color="auto" w:fill="E7E7E8"/>
          </w:tcPr>
          <w:p>
            <w:pPr>
              <w:jc w:val="right"/>
              <w:ind w:right="54"/>
              <w:spacing w:after="0"/>
              <w:rPr>
                <w:sz w:val="20"/>
                <w:szCs w:val="20"/>
                <w:color w:val="auto"/>
              </w:rPr>
            </w:pPr>
            <w:r>
              <w:rPr>
                <w:rFonts w:ascii="Arial" w:cs="Arial" w:eastAsia="Arial" w:hAnsi="Arial"/>
                <w:sz w:val="13"/>
                <w:szCs w:val="13"/>
                <w:color w:val="auto"/>
              </w:rPr>
              <w:t>$</w:t>
            </w:r>
          </w:p>
        </w:tc>
        <w:tc>
          <w:tcPr>
            <w:tcW w:w="1240" w:type="dxa"/>
            <w:vAlign w:val="bottom"/>
            <w:shd w:val="clear" w:color="auto" w:fill="E7E7E8"/>
          </w:tcPr>
          <w:p>
            <w:pPr>
              <w:jc w:val="right"/>
              <w:ind w:right="154"/>
              <w:spacing w:after="0"/>
              <w:rPr>
                <w:sz w:val="20"/>
                <w:szCs w:val="20"/>
                <w:color w:val="auto"/>
              </w:rPr>
            </w:pPr>
            <w:r>
              <w:rPr>
                <w:rFonts w:ascii="Arial" w:cs="Arial" w:eastAsia="Arial" w:hAnsi="Arial"/>
                <w:sz w:val="13"/>
                <w:szCs w:val="13"/>
                <w:color w:val="auto"/>
              </w:rPr>
              <w:t>48,293</w:t>
            </w:r>
          </w:p>
        </w:tc>
        <w:tc>
          <w:tcPr>
            <w:tcW w:w="360" w:type="dxa"/>
            <w:vAlign w:val="bottom"/>
            <w:shd w:val="clear" w:color="auto" w:fill="E7E7E8"/>
          </w:tcPr>
          <w:p>
            <w:pPr>
              <w:jc w:val="right"/>
              <w:ind w:right="174"/>
              <w:spacing w:after="0"/>
              <w:rPr>
                <w:sz w:val="20"/>
                <w:szCs w:val="20"/>
                <w:color w:val="auto"/>
              </w:rPr>
            </w:pPr>
            <w:r>
              <w:rPr>
                <w:rFonts w:ascii="Arial" w:cs="Arial" w:eastAsia="Arial" w:hAnsi="Arial"/>
                <w:sz w:val="13"/>
                <w:szCs w:val="13"/>
                <w:color w:val="auto"/>
              </w:rPr>
              <w:t>$</w:t>
            </w:r>
          </w:p>
        </w:tc>
        <w:tc>
          <w:tcPr>
            <w:tcW w:w="1100" w:type="dxa"/>
            <w:vAlign w:val="bottom"/>
            <w:shd w:val="clear" w:color="auto" w:fill="E7E7E8"/>
          </w:tcPr>
          <w:p>
            <w:pPr>
              <w:jc w:val="right"/>
              <w:ind w:right="94"/>
              <w:spacing w:after="0"/>
              <w:rPr>
                <w:sz w:val="20"/>
                <w:szCs w:val="20"/>
                <w:color w:val="auto"/>
              </w:rPr>
            </w:pPr>
            <w:r>
              <w:rPr>
                <w:rFonts w:ascii="Arial" w:cs="Arial" w:eastAsia="Arial" w:hAnsi="Arial"/>
                <w:sz w:val="13"/>
                <w:szCs w:val="13"/>
                <w:color w:val="auto"/>
              </w:rPr>
              <w:t>1,367,645</w:t>
            </w:r>
          </w:p>
        </w:tc>
      </w:tr>
      <w:tr>
        <w:trPr>
          <w:trHeight w:val="172"/>
        </w:trPr>
        <w:tc>
          <w:tcPr>
            <w:tcW w:w="3900" w:type="dxa"/>
            <w:vAlign w:val="bottom"/>
          </w:tcPr>
          <w:p>
            <w:pPr>
              <w:ind w:left="20"/>
              <w:spacing w:after="0"/>
              <w:rPr>
                <w:sz w:val="20"/>
                <w:szCs w:val="20"/>
                <w:color w:val="auto"/>
              </w:rPr>
            </w:pPr>
            <w:r>
              <w:rPr>
                <w:rFonts w:ascii="Arial" w:cs="Arial" w:eastAsia="Arial" w:hAnsi="Arial"/>
                <w:sz w:val="13"/>
                <w:szCs w:val="13"/>
                <w:color w:val="auto"/>
              </w:rPr>
              <w:t>Gross profit</w:t>
            </w:r>
          </w:p>
        </w:tc>
        <w:tc>
          <w:tcPr>
            <w:tcW w:w="22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34"/>
              <w:spacing w:after="0"/>
              <w:rPr>
                <w:sz w:val="20"/>
                <w:szCs w:val="20"/>
                <w:color w:val="auto"/>
              </w:rPr>
            </w:pPr>
            <w:r>
              <w:rPr>
                <w:rFonts w:ascii="Arial" w:cs="Arial" w:eastAsia="Arial" w:hAnsi="Arial"/>
                <w:sz w:val="13"/>
                <w:szCs w:val="13"/>
                <w:color w:val="auto"/>
              </w:rPr>
              <w:t>451,642</w:t>
            </w: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34"/>
              <w:spacing w:after="0"/>
              <w:rPr>
                <w:sz w:val="20"/>
                <w:szCs w:val="20"/>
                <w:color w:val="auto"/>
              </w:rPr>
            </w:pPr>
            <w:r>
              <w:rPr>
                <w:rFonts w:ascii="Arial" w:cs="Arial" w:eastAsia="Arial" w:hAnsi="Arial"/>
                <w:sz w:val="13"/>
                <w:szCs w:val="13"/>
                <w:color w:val="auto"/>
              </w:rPr>
              <w:t>156,785</w:t>
            </w: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54"/>
              <w:spacing w:after="0"/>
              <w:rPr>
                <w:sz w:val="20"/>
                <w:szCs w:val="20"/>
                <w:color w:val="auto"/>
              </w:rPr>
            </w:pPr>
            <w:r>
              <w:rPr>
                <w:rFonts w:ascii="Arial" w:cs="Arial" w:eastAsia="Arial" w:hAnsi="Arial"/>
                <w:sz w:val="13"/>
                <w:szCs w:val="13"/>
                <w:color w:val="auto"/>
              </w:rPr>
              <w:t>27,642</w:t>
            </w: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54"/>
              <w:spacing w:after="0"/>
              <w:rPr>
                <w:sz w:val="20"/>
                <w:szCs w:val="20"/>
                <w:color w:val="auto"/>
              </w:rPr>
            </w:pPr>
            <w:r>
              <w:rPr>
                <w:rFonts w:ascii="Arial" w:cs="Arial" w:eastAsia="Arial" w:hAnsi="Arial"/>
                <w:sz w:val="13"/>
                <w:szCs w:val="13"/>
                <w:color w:val="auto"/>
              </w:rPr>
              <w:t>23,904</w:t>
            </w:r>
          </w:p>
        </w:tc>
        <w:tc>
          <w:tcPr>
            <w:tcW w:w="36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94"/>
              <w:spacing w:after="0"/>
              <w:rPr>
                <w:sz w:val="20"/>
                <w:szCs w:val="20"/>
                <w:color w:val="auto"/>
              </w:rPr>
            </w:pPr>
            <w:r>
              <w:rPr>
                <w:rFonts w:ascii="Arial" w:cs="Arial" w:eastAsia="Arial" w:hAnsi="Arial"/>
                <w:sz w:val="13"/>
                <w:szCs w:val="13"/>
                <w:color w:val="auto"/>
              </w:rPr>
              <w:t>659,973</w:t>
            </w:r>
          </w:p>
        </w:tc>
      </w:tr>
      <w:tr>
        <w:trPr>
          <w:trHeight w:val="178"/>
        </w:trPr>
        <w:tc>
          <w:tcPr>
            <w:tcW w:w="3900" w:type="dxa"/>
            <w:vAlign w:val="bottom"/>
            <w:shd w:val="clear" w:color="auto" w:fill="E7E7E8"/>
          </w:tcPr>
          <w:p>
            <w:pPr>
              <w:ind w:left="20"/>
              <w:spacing w:after="0"/>
              <w:rPr>
                <w:sz w:val="20"/>
                <w:szCs w:val="20"/>
                <w:color w:val="auto"/>
              </w:rPr>
            </w:pPr>
            <w:r>
              <w:rPr>
                <w:rFonts w:ascii="Arial" w:cs="Arial" w:eastAsia="Arial" w:hAnsi="Arial"/>
                <w:sz w:val="13"/>
                <w:szCs w:val="13"/>
                <w:color w:val="auto"/>
              </w:rPr>
              <w:t>Adjusted EBITDA</w:t>
            </w:r>
          </w:p>
        </w:tc>
        <w:tc>
          <w:tcPr>
            <w:tcW w:w="220" w:type="dxa"/>
            <w:vAlign w:val="bottom"/>
            <w:shd w:val="clear" w:color="auto" w:fill="E7E7E8"/>
          </w:tcPr>
          <w:p>
            <w:pPr>
              <w:jc w:val="right"/>
              <w:ind w:right="54"/>
              <w:spacing w:after="0"/>
              <w:rPr>
                <w:sz w:val="20"/>
                <w:szCs w:val="20"/>
                <w:color w:val="auto"/>
              </w:rPr>
            </w:pPr>
            <w:r>
              <w:rPr>
                <w:rFonts w:ascii="Arial" w:cs="Arial" w:eastAsia="Arial" w:hAnsi="Arial"/>
                <w:sz w:val="13"/>
                <w:szCs w:val="13"/>
                <w:color w:val="auto"/>
              </w:rPr>
              <w:t>$</w:t>
            </w:r>
          </w:p>
        </w:tc>
        <w:tc>
          <w:tcPr>
            <w:tcW w:w="1220" w:type="dxa"/>
            <w:vAlign w:val="bottom"/>
            <w:shd w:val="clear" w:color="auto" w:fill="E7E7E8"/>
          </w:tcPr>
          <w:p>
            <w:pPr>
              <w:jc w:val="right"/>
              <w:ind w:right="134"/>
              <w:spacing w:after="0"/>
              <w:rPr>
                <w:sz w:val="20"/>
                <w:szCs w:val="20"/>
                <w:color w:val="auto"/>
              </w:rPr>
            </w:pPr>
            <w:r>
              <w:rPr>
                <w:rFonts w:ascii="Arial" w:cs="Arial" w:eastAsia="Arial" w:hAnsi="Arial"/>
                <w:sz w:val="13"/>
                <w:szCs w:val="13"/>
                <w:color w:val="auto"/>
              </w:rPr>
              <w:t>394,805</w:t>
            </w:r>
          </w:p>
        </w:tc>
        <w:tc>
          <w:tcPr>
            <w:tcW w:w="280" w:type="dxa"/>
            <w:vAlign w:val="bottom"/>
            <w:shd w:val="clear" w:color="auto" w:fill="E7E7E8"/>
          </w:tcPr>
          <w:p>
            <w:pPr>
              <w:jc w:val="right"/>
              <w:ind w:right="74"/>
              <w:spacing w:after="0"/>
              <w:rPr>
                <w:sz w:val="20"/>
                <w:szCs w:val="20"/>
                <w:color w:val="auto"/>
              </w:rPr>
            </w:pPr>
            <w:r>
              <w:rPr>
                <w:rFonts w:ascii="Arial" w:cs="Arial" w:eastAsia="Arial" w:hAnsi="Arial"/>
                <w:sz w:val="13"/>
                <w:szCs w:val="13"/>
                <w:color w:val="auto"/>
              </w:rPr>
              <w:t>$</w:t>
            </w:r>
          </w:p>
        </w:tc>
        <w:tc>
          <w:tcPr>
            <w:tcW w:w="1220" w:type="dxa"/>
            <w:vAlign w:val="bottom"/>
            <w:shd w:val="clear" w:color="auto" w:fill="E7E7E8"/>
          </w:tcPr>
          <w:p>
            <w:pPr>
              <w:jc w:val="right"/>
              <w:ind w:right="134"/>
              <w:spacing w:after="0"/>
              <w:rPr>
                <w:sz w:val="20"/>
                <w:szCs w:val="20"/>
                <w:color w:val="auto"/>
              </w:rPr>
            </w:pPr>
            <w:r>
              <w:rPr>
                <w:rFonts w:ascii="Arial" w:cs="Arial" w:eastAsia="Arial" w:hAnsi="Arial"/>
                <w:sz w:val="13"/>
                <w:szCs w:val="13"/>
                <w:color w:val="auto"/>
              </w:rPr>
              <w:t>99,837</w:t>
            </w:r>
          </w:p>
        </w:tc>
        <w:tc>
          <w:tcPr>
            <w:tcW w:w="260" w:type="dxa"/>
            <w:vAlign w:val="bottom"/>
            <w:shd w:val="clear" w:color="auto" w:fill="E7E7E8"/>
          </w:tcPr>
          <w:p>
            <w:pPr>
              <w:jc w:val="right"/>
              <w:ind w:right="54"/>
              <w:spacing w:after="0"/>
              <w:rPr>
                <w:sz w:val="20"/>
                <w:szCs w:val="20"/>
                <w:color w:val="auto"/>
              </w:rPr>
            </w:pPr>
            <w:r>
              <w:rPr>
                <w:rFonts w:ascii="Arial" w:cs="Arial" w:eastAsia="Arial" w:hAnsi="Arial"/>
                <w:sz w:val="13"/>
                <w:szCs w:val="13"/>
                <w:color w:val="auto"/>
              </w:rPr>
              <w:t>$</w:t>
            </w:r>
          </w:p>
        </w:tc>
        <w:tc>
          <w:tcPr>
            <w:tcW w:w="1220" w:type="dxa"/>
            <w:vAlign w:val="bottom"/>
            <w:shd w:val="clear" w:color="auto" w:fill="E7E7E8"/>
          </w:tcPr>
          <w:p>
            <w:pPr>
              <w:jc w:val="right"/>
              <w:ind w:right="154"/>
              <w:spacing w:after="0"/>
              <w:rPr>
                <w:sz w:val="20"/>
                <w:szCs w:val="20"/>
                <w:color w:val="auto"/>
              </w:rPr>
            </w:pPr>
            <w:r>
              <w:rPr>
                <w:rFonts w:ascii="Arial" w:cs="Arial" w:eastAsia="Arial" w:hAnsi="Arial"/>
                <w:sz w:val="13"/>
                <w:szCs w:val="13"/>
                <w:color w:val="auto"/>
              </w:rPr>
              <w:t>17,822</w:t>
            </w:r>
          </w:p>
        </w:tc>
        <w:tc>
          <w:tcPr>
            <w:tcW w:w="260" w:type="dxa"/>
            <w:vAlign w:val="bottom"/>
            <w:shd w:val="clear" w:color="auto" w:fill="E7E7E8"/>
          </w:tcPr>
          <w:p>
            <w:pPr>
              <w:jc w:val="right"/>
              <w:ind w:right="54"/>
              <w:spacing w:after="0"/>
              <w:rPr>
                <w:sz w:val="20"/>
                <w:szCs w:val="20"/>
                <w:color w:val="auto"/>
              </w:rPr>
            </w:pPr>
            <w:r>
              <w:rPr>
                <w:rFonts w:ascii="Arial" w:cs="Arial" w:eastAsia="Arial" w:hAnsi="Arial"/>
                <w:sz w:val="13"/>
                <w:szCs w:val="13"/>
                <w:color w:val="auto"/>
              </w:rPr>
              <w:t>$</w:t>
            </w:r>
          </w:p>
        </w:tc>
        <w:tc>
          <w:tcPr>
            <w:tcW w:w="1240" w:type="dxa"/>
            <w:vAlign w:val="bottom"/>
            <w:shd w:val="clear" w:color="auto" w:fill="E7E7E8"/>
          </w:tcPr>
          <w:p>
            <w:pPr>
              <w:jc w:val="right"/>
              <w:ind w:right="154"/>
              <w:spacing w:after="0"/>
              <w:rPr>
                <w:sz w:val="20"/>
                <w:szCs w:val="20"/>
                <w:color w:val="auto"/>
              </w:rPr>
            </w:pPr>
            <w:r>
              <w:rPr>
                <w:rFonts w:ascii="Arial" w:cs="Arial" w:eastAsia="Arial" w:hAnsi="Arial"/>
                <w:sz w:val="13"/>
                <w:szCs w:val="13"/>
                <w:color w:val="auto"/>
              </w:rPr>
              <w:t>17,843</w:t>
            </w:r>
          </w:p>
        </w:tc>
        <w:tc>
          <w:tcPr>
            <w:tcW w:w="360" w:type="dxa"/>
            <w:vAlign w:val="bottom"/>
            <w:shd w:val="clear" w:color="auto" w:fill="E7E7E8"/>
          </w:tcPr>
          <w:p>
            <w:pPr>
              <w:jc w:val="right"/>
              <w:ind w:right="174"/>
              <w:spacing w:after="0"/>
              <w:rPr>
                <w:sz w:val="20"/>
                <w:szCs w:val="20"/>
                <w:color w:val="auto"/>
              </w:rPr>
            </w:pPr>
            <w:r>
              <w:rPr>
                <w:rFonts w:ascii="Arial" w:cs="Arial" w:eastAsia="Arial" w:hAnsi="Arial"/>
                <w:sz w:val="13"/>
                <w:szCs w:val="13"/>
                <w:color w:val="auto"/>
              </w:rPr>
              <w:t>$</w:t>
            </w:r>
          </w:p>
        </w:tc>
        <w:tc>
          <w:tcPr>
            <w:tcW w:w="1100" w:type="dxa"/>
            <w:vAlign w:val="bottom"/>
            <w:shd w:val="clear" w:color="auto" w:fill="E7E7E8"/>
          </w:tcPr>
          <w:p>
            <w:pPr>
              <w:jc w:val="right"/>
              <w:ind w:right="94"/>
              <w:spacing w:after="0"/>
              <w:rPr>
                <w:sz w:val="20"/>
                <w:szCs w:val="20"/>
                <w:color w:val="auto"/>
              </w:rPr>
            </w:pPr>
            <w:r>
              <w:rPr>
                <w:rFonts w:ascii="Arial" w:cs="Arial" w:eastAsia="Arial" w:hAnsi="Arial"/>
                <w:sz w:val="13"/>
                <w:szCs w:val="13"/>
                <w:color w:val="auto"/>
              </w:rPr>
              <w:t>530,307</w:t>
            </w:r>
          </w:p>
        </w:tc>
      </w:tr>
      <w:tr>
        <w:trPr>
          <w:trHeight w:val="172"/>
        </w:trPr>
        <w:tc>
          <w:tcPr>
            <w:tcW w:w="3900" w:type="dxa"/>
            <w:vAlign w:val="bottom"/>
          </w:tcPr>
          <w:p>
            <w:pPr>
              <w:ind w:left="20"/>
              <w:spacing w:after="0"/>
              <w:rPr>
                <w:sz w:val="20"/>
                <w:szCs w:val="20"/>
                <w:color w:val="auto"/>
              </w:rPr>
            </w:pPr>
            <w:r>
              <w:rPr>
                <w:rFonts w:ascii="Arial" w:cs="Arial" w:eastAsia="Arial" w:hAnsi="Arial"/>
                <w:sz w:val="13"/>
                <w:szCs w:val="13"/>
                <w:color w:val="auto"/>
              </w:rPr>
              <w:t>Capex for rental equipment</w:t>
            </w:r>
          </w:p>
        </w:tc>
        <w:tc>
          <w:tcPr>
            <w:tcW w:w="22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34"/>
              <w:spacing w:after="0"/>
              <w:rPr>
                <w:sz w:val="20"/>
                <w:szCs w:val="20"/>
                <w:color w:val="auto"/>
              </w:rPr>
            </w:pPr>
            <w:r>
              <w:rPr>
                <w:rFonts w:ascii="Arial" w:cs="Arial" w:eastAsia="Arial" w:hAnsi="Arial"/>
                <w:sz w:val="13"/>
                <w:szCs w:val="13"/>
                <w:color w:val="auto"/>
              </w:rPr>
              <w:t>153,327</w:t>
            </w: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34"/>
              <w:spacing w:after="0"/>
              <w:rPr>
                <w:sz w:val="20"/>
                <w:szCs w:val="20"/>
                <w:color w:val="auto"/>
              </w:rPr>
            </w:pPr>
            <w:r>
              <w:rPr>
                <w:rFonts w:ascii="Arial" w:cs="Arial" w:eastAsia="Arial" w:hAnsi="Arial"/>
                <w:sz w:val="13"/>
                <w:szCs w:val="13"/>
                <w:color w:val="auto"/>
              </w:rPr>
              <w:t>14,969</w:t>
            </w: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54"/>
              <w:spacing w:after="0"/>
              <w:rPr>
                <w:sz w:val="20"/>
                <w:szCs w:val="20"/>
                <w:color w:val="auto"/>
              </w:rPr>
            </w:pPr>
            <w:r>
              <w:rPr>
                <w:rFonts w:ascii="Arial" w:cs="Arial" w:eastAsia="Arial" w:hAnsi="Arial"/>
                <w:sz w:val="13"/>
                <w:szCs w:val="13"/>
                <w:color w:val="auto"/>
              </w:rPr>
              <w:t>1,693</w:t>
            </w: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54"/>
              <w:spacing w:after="0"/>
              <w:rPr>
                <w:sz w:val="20"/>
                <w:szCs w:val="20"/>
                <w:color w:val="auto"/>
              </w:rPr>
            </w:pPr>
            <w:r>
              <w:rPr>
                <w:rFonts w:ascii="Arial" w:cs="Arial" w:eastAsia="Arial" w:hAnsi="Arial"/>
                <w:sz w:val="13"/>
                <w:szCs w:val="13"/>
                <w:color w:val="auto"/>
              </w:rPr>
              <w:t>2,394</w:t>
            </w:r>
          </w:p>
        </w:tc>
        <w:tc>
          <w:tcPr>
            <w:tcW w:w="36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94"/>
              <w:spacing w:after="0"/>
              <w:rPr>
                <w:sz w:val="20"/>
                <w:szCs w:val="20"/>
                <w:color w:val="auto"/>
              </w:rPr>
            </w:pPr>
            <w:r>
              <w:rPr>
                <w:rFonts w:ascii="Arial" w:cs="Arial" w:eastAsia="Arial" w:hAnsi="Arial"/>
                <w:sz w:val="13"/>
                <w:szCs w:val="13"/>
                <w:color w:val="auto"/>
              </w:rPr>
              <w:t>172,383</w:t>
            </w:r>
          </w:p>
        </w:tc>
      </w:tr>
      <w:tr>
        <w:trPr>
          <w:trHeight w:val="178"/>
        </w:trPr>
        <w:tc>
          <w:tcPr>
            <w:tcW w:w="3900" w:type="dxa"/>
            <w:vAlign w:val="bottom"/>
            <w:shd w:val="clear" w:color="auto" w:fill="E7E7E8"/>
          </w:tcPr>
          <w:p>
            <w:pPr>
              <w:ind w:left="20"/>
              <w:spacing w:after="0"/>
              <w:rPr>
                <w:sz w:val="20"/>
                <w:szCs w:val="20"/>
                <w:color w:val="auto"/>
              </w:rPr>
            </w:pPr>
            <w:r>
              <w:rPr>
                <w:rFonts w:ascii="Arial" w:cs="Arial" w:eastAsia="Arial" w:hAnsi="Arial"/>
                <w:sz w:val="13"/>
                <w:szCs w:val="13"/>
                <w:color w:val="auto"/>
              </w:rPr>
              <w:t>Average modular space units on rent</w:t>
            </w:r>
          </w:p>
        </w:tc>
        <w:tc>
          <w:tcPr>
            <w:tcW w:w="220" w:type="dxa"/>
            <w:vAlign w:val="bottom"/>
            <w:shd w:val="clear" w:color="auto" w:fill="E7E7E8"/>
          </w:tcPr>
          <w:p>
            <w:pPr>
              <w:spacing w:after="0"/>
              <w:rPr>
                <w:sz w:val="15"/>
                <w:szCs w:val="15"/>
                <w:color w:val="auto"/>
              </w:rPr>
            </w:pPr>
          </w:p>
        </w:tc>
        <w:tc>
          <w:tcPr>
            <w:tcW w:w="1220" w:type="dxa"/>
            <w:vAlign w:val="bottom"/>
            <w:shd w:val="clear" w:color="auto" w:fill="E7E7E8"/>
          </w:tcPr>
          <w:p>
            <w:pPr>
              <w:jc w:val="right"/>
              <w:ind w:right="134"/>
              <w:spacing w:after="0"/>
              <w:rPr>
                <w:sz w:val="20"/>
                <w:szCs w:val="20"/>
                <w:color w:val="auto"/>
              </w:rPr>
            </w:pPr>
            <w:r>
              <w:rPr>
                <w:rFonts w:ascii="Arial" w:cs="Arial" w:eastAsia="Arial" w:hAnsi="Arial"/>
                <w:sz w:val="13"/>
                <w:szCs w:val="13"/>
                <w:color w:val="auto"/>
              </w:rPr>
              <w:t>86,874</w:t>
            </w:r>
          </w:p>
        </w:tc>
        <w:tc>
          <w:tcPr>
            <w:tcW w:w="280" w:type="dxa"/>
            <w:vAlign w:val="bottom"/>
            <w:shd w:val="clear" w:color="auto" w:fill="E7E7E8"/>
          </w:tcPr>
          <w:p>
            <w:pPr>
              <w:spacing w:after="0"/>
              <w:rPr>
                <w:sz w:val="15"/>
                <w:szCs w:val="15"/>
                <w:color w:val="auto"/>
              </w:rPr>
            </w:pPr>
          </w:p>
        </w:tc>
        <w:tc>
          <w:tcPr>
            <w:tcW w:w="1220" w:type="dxa"/>
            <w:vAlign w:val="bottom"/>
            <w:shd w:val="clear" w:color="auto" w:fill="E7E7E8"/>
          </w:tcPr>
          <w:p>
            <w:pPr>
              <w:jc w:val="right"/>
              <w:ind w:right="134"/>
              <w:spacing w:after="0"/>
              <w:rPr>
                <w:sz w:val="20"/>
                <w:szCs w:val="20"/>
                <w:color w:val="auto"/>
              </w:rPr>
            </w:pPr>
            <w:r>
              <w:rPr>
                <w:rFonts w:ascii="Arial" w:cs="Arial" w:eastAsia="Arial" w:hAnsi="Arial"/>
                <w:sz w:val="13"/>
                <w:szCs w:val="13"/>
                <w:color w:val="auto"/>
              </w:rPr>
              <w:t>8,333</w:t>
            </w:r>
          </w:p>
        </w:tc>
        <w:tc>
          <w:tcPr>
            <w:tcW w:w="260" w:type="dxa"/>
            <w:vAlign w:val="bottom"/>
            <w:shd w:val="clear" w:color="auto" w:fill="E7E7E8"/>
          </w:tcPr>
          <w:p>
            <w:pPr>
              <w:spacing w:after="0"/>
              <w:rPr>
                <w:sz w:val="15"/>
                <w:szCs w:val="15"/>
                <w:color w:val="auto"/>
              </w:rPr>
            </w:pPr>
          </w:p>
        </w:tc>
        <w:tc>
          <w:tcPr>
            <w:tcW w:w="1220" w:type="dxa"/>
            <w:vAlign w:val="bottom"/>
            <w:shd w:val="clear" w:color="auto" w:fill="E7E7E8"/>
          </w:tcPr>
          <w:p>
            <w:pPr>
              <w:jc w:val="right"/>
              <w:ind w:right="154"/>
              <w:spacing w:after="0"/>
              <w:rPr>
                <w:sz w:val="20"/>
                <w:szCs w:val="20"/>
                <w:color w:val="auto"/>
              </w:rPr>
            </w:pPr>
            <w:r>
              <w:rPr>
                <w:rFonts w:ascii="Arial" w:cs="Arial" w:eastAsia="Arial" w:hAnsi="Arial"/>
                <w:sz w:val="13"/>
                <w:szCs w:val="13"/>
                <w:color w:val="auto"/>
              </w:rPr>
              <w:t>4,319</w:t>
            </w:r>
          </w:p>
        </w:tc>
        <w:tc>
          <w:tcPr>
            <w:tcW w:w="260" w:type="dxa"/>
            <w:vAlign w:val="bottom"/>
            <w:shd w:val="clear" w:color="auto" w:fill="E7E7E8"/>
          </w:tcPr>
          <w:p>
            <w:pPr>
              <w:spacing w:after="0"/>
              <w:rPr>
                <w:sz w:val="15"/>
                <w:szCs w:val="15"/>
                <w:color w:val="auto"/>
              </w:rPr>
            </w:pPr>
          </w:p>
        </w:tc>
        <w:tc>
          <w:tcPr>
            <w:tcW w:w="1240" w:type="dxa"/>
            <w:vAlign w:val="bottom"/>
            <w:shd w:val="clear" w:color="auto" w:fill="E7E7E8"/>
          </w:tcPr>
          <w:p>
            <w:pPr>
              <w:jc w:val="right"/>
              <w:ind w:right="154"/>
              <w:spacing w:after="0"/>
              <w:rPr>
                <w:sz w:val="20"/>
                <w:szCs w:val="20"/>
                <w:color w:val="auto"/>
              </w:rPr>
            </w:pPr>
            <w:r>
              <w:rPr>
                <w:rFonts w:ascii="Arial" w:cs="Arial" w:eastAsia="Arial" w:hAnsi="Arial"/>
                <w:sz w:val="13"/>
                <w:szCs w:val="13"/>
                <w:color w:val="auto"/>
              </w:rPr>
              <w:t>—</w:t>
            </w:r>
          </w:p>
        </w:tc>
        <w:tc>
          <w:tcPr>
            <w:tcW w:w="360" w:type="dxa"/>
            <w:vAlign w:val="bottom"/>
            <w:shd w:val="clear" w:color="auto" w:fill="E7E7E8"/>
          </w:tcPr>
          <w:p>
            <w:pPr>
              <w:spacing w:after="0"/>
              <w:rPr>
                <w:sz w:val="15"/>
                <w:szCs w:val="15"/>
                <w:color w:val="auto"/>
              </w:rPr>
            </w:pPr>
          </w:p>
        </w:tc>
        <w:tc>
          <w:tcPr>
            <w:tcW w:w="1100" w:type="dxa"/>
            <w:vAlign w:val="bottom"/>
            <w:shd w:val="clear" w:color="auto" w:fill="E7E7E8"/>
          </w:tcPr>
          <w:p>
            <w:pPr>
              <w:jc w:val="right"/>
              <w:ind w:right="94"/>
              <w:spacing w:after="0"/>
              <w:rPr>
                <w:sz w:val="20"/>
                <w:szCs w:val="20"/>
                <w:color w:val="auto"/>
              </w:rPr>
            </w:pPr>
            <w:r>
              <w:rPr>
                <w:rFonts w:ascii="Arial" w:cs="Arial" w:eastAsia="Arial" w:hAnsi="Arial"/>
                <w:sz w:val="13"/>
                <w:szCs w:val="13"/>
                <w:color w:val="auto"/>
              </w:rPr>
              <w:t>99,526</w:t>
            </w:r>
          </w:p>
        </w:tc>
      </w:tr>
      <w:tr>
        <w:trPr>
          <w:trHeight w:val="172"/>
        </w:trPr>
        <w:tc>
          <w:tcPr>
            <w:tcW w:w="3900" w:type="dxa"/>
            <w:vAlign w:val="bottom"/>
          </w:tcPr>
          <w:p>
            <w:pPr>
              <w:ind w:left="20"/>
              <w:spacing w:after="0"/>
              <w:rPr>
                <w:sz w:val="20"/>
                <w:szCs w:val="20"/>
                <w:color w:val="auto"/>
              </w:rPr>
            </w:pPr>
            <w:r>
              <w:rPr>
                <w:rFonts w:ascii="Arial" w:cs="Arial" w:eastAsia="Arial" w:hAnsi="Arial"/>
                <w:sz w:val="13"/>
                <w:szCs w:val="13"/>
                <w:color w:val="auto"/>
              </w:rPr>
              <w:t>Average modular space utilization rate</w:t>
            </w: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68.9 %</w:t>
            </w:r>
          </w:p>
        </w:tc>
        <w:tc>
          <w:tcPr>
            <w:tcW w:w="2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80.6 %</w:t>
            </w: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80.8 %</w:t>
            </w: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 %</w:t>
            </w: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70.2 %</w:t>
            </w:r>
          </w:p>
        </w:tc>
      </w:tr>
      <w:tr>
        <w:trPr>
          <w:trHeight w:val="178"/>
        </w:trPr>
        <w:tc>
          <w:tcPr>
            <w:tcW w:w="3900" w:type="dxa"/>
            <w:vAlign w:val="bottom"/>
            <w:shd w:val="clear" w:color="auto" w:fill="E7E7E8"/>
          </w:tcPr>
          <w:p>
            <w:pPr>
              <w:ind w:left="20"/>
              <w:spacing w:after="0"/>
              <w:rPr>
                <w:sz w:val="20"/>
                <w:szCs w:val="20"/>
                <w:color w:val="auto"/>
              </w:rPr>
            </w:pPr>
            <w:r>
              <w:rPr>
                <w:rFonts w:ascii="Arial" w:cs="Arial" w:eastAsia="Arial" w:hAnsi="Arial"/>
                <w:sz w:val="13"/>
                <w:szCs w:val="13"/>
                <w:color w:val="auto"/>
              </w:rPr>
              <w:t>Average modular space monthly rental rate</w:t>
            </w:r>
          </w:p>
        </w:tc>
        <w:tc>
          <w:tcPr>
            <w:tcW w:w="220" w:type="dxa"/>
            <w:vAlign w:val="bottom"/>
            <w:shd w:val="clear" w:color="auto" w:fill="E7E7E8"/>
          </w:tcPr>
          <w:p>
            <w:pPr>
              <w:jc w:val="right"/>
              <w:ind w:right="54"/>
              <w:spacing w:after="0"/>
              <w:rPr>
                <w:sz w:val="20"/>
                <w:szCs w:val="20"/>
                <w:color w:val="auto"/>
              </w:rPr>
            </w:pPr>
            <w:r>
              <w:rPr>
                <w:rFonts w:ascii="Arial" w:cs="Arial" w:eastAsia="Arial" w:hAnsi="Arial"/>
                <w:sz w:val="13"/>
                <w:szCs w:val="13"/>
                <w:color w:val="auto"/>
              </w:rPr>
              <w:t>$</w:t>
            </w:r>
          </w:p>
        </w:tc>
        <w:tc>
          <w:tcPr>
            <w:tcW w:w="1220" w:type="dxa"/>
            <w:vAlign w:val="bottom"/>
            <w:shd w:val="clear" w:color="auto" w:fill="E7E7E8"/>
          </w:tcPr>
          <w:p>
            <w:pPr>
              <w:jc w:val="right"/>
              <w:ind w:right="134"/>
              <w:spacing w:after="0"/>
              <w:rPr>
                <w:sz w:val="20"/>
                <w:szCs w:val="20"/>
                <w:color w:val="auto"/>
              </w:rPr>
            </w:pPr>
            <w:r>
              <w:rPr>
                <w:rFonts w:ascii="Arial" w:cs="Arial" w:eastAsia="Arial" w:hAnsi="Arial"/>
                <w:sz w:val="13"/>
                <w:szCs w:val="13"/>
                <w:color w:val="auto"/>
              </w:rPr>
              <w:t>685</w:t>
            </w:r>
          </w:p>
        </w:tc>
        <w:tc>
          <w:tcPr>
            <w:tcW w:w="280" w:type="dxa"/>
            <w:vAlign w:val="bottom"/>
            <w:shd w:val="clear" w:color="auto" w:fill="E7E7E8"/>
          </w:tcPr>
          <w:p>
            <w:pPr>
              <w:jc w:val="right"/>
              <w:ind w:right="74"/>
              <w:spacing w:after="0"/>
              <w:rPr>
                <w:sz w:val="20"/>
                <w:szCs w:val="20"/>
                <w:color w:val="auto"/>
              </w:rPr>
            </w:pPr>
            <w:r>
              <w:rPr>
                <w:rFonts w:ascii="Arial" w:cs="Arial" w:eastAsia="Arial" w:hAnsi="Arial"/>
                <w:sz w:val="13"/>
                <w:szCs w:val="13"/>
                <w:color w:val="auto"/>
              </w:rPr>
              <w:t>$</w:t>
            </w:r>
          </w:p>
        </w:tc>
        <w:tc>
          <w:tcPr>
            <w:tcW w:w="1220" w:type="dxa"/>
            <w:vAlign w:val="bottom"/>
            <w:shd w:val="clear" w:color="auto" w:fill="E7E7E8"/>
          </w:tcPr>
          <w:p>
            <w:pPr>
              <w:jc w:val="right"/>
              <w:ind w:right="134"/>
              <w:spacing w:after="0"/>
              <w:rPr>
                <w:sz w:val="20"/>
                <w:szCs w:val="20"/>
                <w:color w:val="auto"/>
              </w:rPr>
            </w:pPr>
            <w:r>
              <w:rPr>
                <w:rFonts w:ascii="Arial" w:cs="Arial" w:eastAsia="Arial" w:hAnsi="Arial"/>
                <w:sz w:val="13"/>
                <w:szCs w:val="13"/>
                <w:color w:val="auto"/>
              </w:rPr>
              <w:t>526</w:t>
            </w:r>
          </w:p>
        </w:tc>
        <w:tc>
          <w:tcPr>
            <w:tcW w:w="260" w:type="dxa"/>
            <w:vAlign w:val="bottom"/>
            <w:shd w:val="clear" w:color="auto" w:fill="E7E7E8"/>
          </w:tcPr>
          <w:p>
            <w:pPr>
              <w:jc w:val="right"/>
              <w:ind w:right="54"/>
              <w:spacing w:after="0"/>
              <w:rPr>
                <w:sz w:val="20"/>
                <w:szCs w:val="20"/>
                <w:color w:val="auto"/>
              </w:rPr>
            </w:pPr>
            <w:r>
              <w:rPr>
                <w:rFonts w:ascii="Arial" w:cs="Arial" w:eastAsia="Arial" w:hAnsi="Arial"/>
                <w:sz w:val="13"/>
                <w:szCs w:val="13"/>
                <w:color w:val="auto"/>
              </w:rPr>
              <w:t>$</w:t>
            </w:r>
          </w:p>
        </w:tc>
        <w:tc>
          <w:tcPr>
            <w:tcW w:w="1220" w:type="dxa"/>
            <w:vAlign w:val="bottom"/>
            <w:shd w:val="clear" w:color="auto" w:fill="E7E7E8"/>
          </w:tcPr>
          <w:p>
            <w:pPr>
              <w:jc w:val="right"/>
              <w:ind w:right="154"/>
              <w:spacing w:after="0"/>
              <w:rPr>
                <w:sz w:val="20"/>
                <w:szCs w:val="20"/>
                <w:color w:val="auto"/>
              </w:rPr>
            </w:pPr>
            <w:r>
              <w:rPr>
                <w:rFonts w:ascii="Arial" w:cs="Arial" w:eastAsia="Arial" w:hAnsi="Arial"/>
                <w:sz w:val="13"/>
                <w:szCs w:val="13"/>
                <w:color w:val="auto"/>
              </w:rPr>
              <w:t>367</w:t>
            </w:r>
          </w:p>
        </w:tc>
        <w:tc>
          <w:tcPr>
            <w:tcW w:w="260" w:type="dxa"/>
            <w:vAlign w:val="bottom"/>
            <w:shd w:val="clear" w:color="auto" w:fill="E7E7E8"/>
          </w:tcPr>
          <w:p>
            <w:pPr>
              <w:jc w:val="right"/>
              <w:ind w:right="54"/>
              <w:spacing w:after="0"/>
              <w:rPr>
                <w:sz w:val="20"/>
                <w:szCs w:val="20"/>
                <w:color w:val="auto"/>
              </w:rPr>
            </w:pPr>
            <w:r>
              <w:rPr>
                <w:rFonts w:ascii="Arial" w:cs="Arial" w:eastAsia="Arial" w:hAnsi="Arial"/>
                <w:sz w:val="13"/>
                <w:szCs w:val="13"/>
                <w:color w:val="auto"/>
              </w:rPr>
              <w:t>$</w:t>
            </w:r>
          </w:p>
        </w:tc>
        <w:tc>
          <w:tcPr>
            <w:tcW w:w="1240" w:type="dxa"/>
            <w:vAlign w:val="bottom"/>
            <w:shd w:val="clear" w:color="auto" w:fill="E7E7E8"/>
          </w:tcPr>
          <w:p>
            <w:pPr>
              <w:jc w:val="right"/>
              <w:ind w:right="154"/>
              <w:spacing w:after="0"/>
              <w:rPr>
                <w:sz w:val="20"/>
                <w:szCs w:val="20"/>
                <w:color w:val="auto"/>
              </w:rPr>
            </w:pPr>
            <w:r>
              <w:rPr>
                <w:rFonts w:ascii="Arial" w:cs="Arial" w:eastAsia="Arial" w:hAnsi="Arial"/>
                <w:sz w:val="13"/>
                <w:szCs w:val="13"/>
                <w:color w:val="auto"/>
              </w:rPr>
              <w:t>—</w:t>
            </w:r>
          </w:p>
        </w:tc>
        <w:tc>
          <w:tcPr>
            <w:tcW w:w="360" w:type="dxa"/>
            <w:vAlign w:val="bottom"/>
            <w:shd w:val="clear" w:color="auto" w:fill="E7E7E8"/>
          </w:tcPr>
          <w:p>
            <w:pPr>
              <w:jc w:val="right"/>
              <w:ind w:right="174"/>
              <w:spacing w:after="0"/>
              <w:rPr>
                <w:sz w:val="20"/>
                <w:szCs w:val="20"/>
                <w:color w:val="auto"/>
              </w:rPr>
            </w:pPr>
            <w:r>
              <w:rPr>
                <w:rFonts w:ascii="Arial" w:cs="Arial" w:eastAsia="Arial" w:hAnsi="Arial"/>
                <w:sz w:val="13"/>
                <w:szCs w:val="13"/>
                <w:color w:val="auto"/>
              </w:rPr>
              <w:t>$</w:t>
            </w:r>
          </w:p>
        </w:tc>
        <w:tc>
          <w:tcPr>
            <w:tcW w:w="1100" w:type="dxa"/>
            <w:vAlign w:val="bottom"/>
            <w:shd w:val="clear" w:color="auto" w:fill="E7E7E8"/>
          </w:tcPr>
          <w:p>
            <w:pPr>
              <w:jc w:val="right"/>
              <w:ind w:right="94"/>
              <w:spacing w:after="0"/>
              <w:rPr>
                <w:sz w:val="20"/>
                <w:szCs w:val="20"/>
                <w:color w:val="auto"/>
              </w:rPr>
            </w:pPr>
            <w:r>
              <w:rPr>
                <w:rFonts w:ascii="Arial" w:cs="Arial" w:eastAsia="Arial" w:hAnsi="Arial"/>
                <w:sz w:val="13"/>
                <w:szCs w:val="13"/>
                <w:color w:val="auto"/>
              </w:rPr>
              <w:t>658</w:t>
            </w:r>
          </w:p>
        </w:tc>
      </w:tr>
      <w:tr>
        <w:trPr>
          <w:trHeight w:val="172"/>
        </w:trPr>
        <w:tc>
          <w:tcPr>
            <w:tcW w:w="3900" w:type="dxa"/>
            <w:vAlign w:val="bottom"/>
          </w:tcPr>
          <w:p>
            <w:pPr>
              <w:ind w:left="20"/>
              <w:spacing w:after="0"/>
              <w:rPr>
                <w:sz w:val="20"/>
                <w:szCs w:val="20"/>
                <w:color w:val="auto"/>
              </w:rPr>
            </w:pPr>
            <w:r>
              <w:rPr>
                <w:rFonts w:ascii="Arial" w:cs="Arial" w:eastAsia="Arial" w:hAnsi="Arial"/>
                <w:sz w:val="13"/>
                <w:szCs w:val="13"/>
                <w:color w:val="auto"/>
              </w:rPr>
              <w:t>Average portable storage units on rent</w:t>
            </w:r>
          </w:p>
        </w:tc>
        <w:tc>
          <w:tcPr>
            <w:tcW w:w="220" w:type="dxa"/>
            <w:vAlign w:val="bottom"/>
          </w:tcPr>
          <w:p>
            <w:pPr>
              <w:spacing w:after="0"/>
              <w:rPr>
                <w:sz w:val="14"/>
                <w:szCs w:val="14"/>
                <w:color w:val="auto"/>
              </w:rPr>
            </w:pPr>
          </w:p>
        </w:tc>
        <w:tc>
          <w:tcPr>
            <w:tcW w:w="1220" w:type="dxa"/>
            <w:vAlign w:val="bottom"/>
          </w:tcPr>
          <w:p>
            <w:pPr>
              <w:jc w:val="right"/>
              <w:ind w:right="134"/>
              <w:spacing w:after="0"/>
              <w:rPr>
                <w:sz w:val="20"/>
                <w:szCs w:val="20"/>
                <w:color w:val="auto"/>
              </w:rPr>
            </w:pPr>
            <w:r>
              <w:rPr>
                <w:rFonts w:ascii="Arial" w:cs="Arial" w:eastAsia="Arial" w:hAnsi="Arial"/>
                <w:sz w:val="13"/>
                <w:szCs w:val="13"/>
                <w:color w:val="auto"/>
              </w:rPr>
              <w:t>15,823</w:t>
            </w:r>
          </w:p>
        </w:tc>
        <w:tc>
          <w:tcPr>
            <w:tcW w:w="280" w:type="dxa"/>
            <w:vAlign w:val="bottom"/>
          </w:tcPr>
          <w:p>
            <w:pPr>
              <w:spacing w:after="0"/>
              <w:rPr>
                <w:sz w:val="14"/>
                <w:szCs w:val="14"/>
                <w:color w:val="auto"/>
              </w:rPr>
            </w:pPr>
          </w:p>
        </w:tc>
        <w:tc>
          <w:tcPr>
            <w:tcW w:w="1220" w:type="dxa"/>
            <w:vAlign w:val="bottom"/>
          </w:tcPr>
          <w:p>
            <w:pPr>
              <w:jc w:val="right"/>
              <w:ind w:right="134"/>
              <w:spacing w:after="0"/>
              <w:rPr>
                <w:sz w:val="20"/>
                <w:szCs w:val="20"/>
                <w:color w:val="auto"/>
              </w:rPr>
            </w:pPr>
            <w:r>
              <w:rPr>
                <w:rFonts w:ascii="Arial" w:cs="Arial" w:eastAsia="Arial" w:hAnsi="Arial"/>
                <w:sz w:val="13"/>
                <w:szCs w:val="13"/>
                <w:color w:val="auto"/>
              </w:rPr>
              <w:t>56,415</w:t>
            </w:r>
          </w:p>
        </w:tc>
        <w:tc>
          <w:tcPr>
            <w:tcW w:w="260" w:type="dxa"/>
            <w:vAlign w:val="bottom"/>
          </w:tcPr>
          <w:p>
            <w:pPr>
              <w:spacing w:after="0"/>
              <w:rPr>
                <w:sz w:val="14"/>
                <w:szCs w:val="14"/>
                <w:color w:val="auto"/>
              </w:rPr>
            </w:pPr>
          </w:p>
        </w:tc>
        <w:tc>
          <w:tcPr>
            <w:tcW w:w="1220" w:type="dxa"/>
            <w:vAlign w:val="bottom"/>
          </w:tcPr>
          <w:p>
            <w:pPr>
              <w:jc w:val="right"/>
              <w:ind w:right="154"/>
              <w:spacing w:after="0"/>
              <w:rPr>
                <w:sz w:val="20"/>
                <w:szCs w:val="20"/>
                <w:color w:val="auto"/>
              </w:rPr>
            </w:pPr>
            <w:r>
              <w:rPr>
                <w:rFonts w:ascii="Arial" w:cs="Arial" w:eastAsia="Arial" w:hAnsi="Arial"/>
                <w:sz w:val="13"/>
                <w:szCs w:val="13"/>
                <w:color w:val="auto"/>
              </w:rPr>
              <w:t>11,910</w:t>
            </w:r>
          </w:p>
        </w:tc>
        <w:tc>
          <w:tcPr>
            <w:tcW w:w="260" w:type="dxa"/>
            <w:vAlign w:val="bottom"/>
          </w:tcPr>
          <w:p>
            <w:pPr>
              <w:spacing w:after="0"/>
              <w:rPr>
                <w:sz w:val="14"/>
                <w:szCs w:val="14"/>
                <w:color w:val="auto"/>
              </w:rPr>
            </w:pPr>
          </w:p>
        </w:tc>
        <w:tc>
          <w:tcPr>
            <w:tcW w:w="124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1100" w:type="dxa"/>
            <w:vAlign w:val="bottom"/>
          </w:tcPr>
          <w:p>
            <w:pPr>
              <w:jc w:val="right"/>
              <w:ind w:right="94"/>
              <w:spacing w:after="0"/>
              <w:rPr>
                <w:sz w:val="20"/>
                <w:szCs w:val="20"/>
                <w:color w:val="auto"/>
              </w:rPr>
            </w:pPr>
            <w:r>
              <w:rPr>
                <w:rFonts w:ascii="Arial" w:cs="Arial" w:eastAsia="Arial" w:hAnsi="Arial"/>
                <w:sz w:val="13"/>
                <w:szCs w:val="13"/>
                <w:color w:val="auto"/>
              </w:rPr>
              <w:t>84,148</w:t>
            </w:r>
          </w:p>
        </w:tc>
      </w:tr>
      <w:tr>
        <w:trPr>
          <w:trHeight w:val="178"/>
        </w:trPr>
        <w:tc>
          <w:tcPr>
            <w:tcW w:w="3900" w:type="dxa"/>
            <w:vAlign w:val="bottom"/>
            <w:shd w:val="clear" w:color="auto" w:fill="E7E7E8"/>
          </w:tcPr>
          <w:p>
            <w:pPr>
              <w:ind w:left="20"/>
              <w:spacing w:after="0"/>
              <w:rPr>
                <w:sz w:val="20"/>
                <w:szCs w:val="20"/>
                <w:color w:val="auto"/>
              </w:rPr>
            </w:pPr>
            <w:r>
              <w:rPr>
                <w:rFonts w:ascii="Arial" w:cs="Arial" w:eastAsia="Arial" w:hAnsi="Arial"/>
                <w:sz w:val="13"/>
                <w:szCs w:val="13"/>
                <w:color w:val="auto"/>
              </w:rPr>
              <w:t>Average portable storage utilization rate</w:t>
            </w:r>
          </w:p>
        </w:tc>
        <w:tc>
          <w:tcPr>
            <w:tcW w:w="220" w:type="dxa"/>
            <w:vAlign w:val="bottom"/>
            <w:shd w:val="clear" w:color="auto" w:fill="E7E7E8"/>
          </w:tcPr>
          <w:p>
            <w:pPr>
              <w:spacing w:after="0"/>
              <w:rPr>
                <w:sz w:val="15"/>
                <w:szCs w:val="15"/>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3"/>
                <w:szCs w:val="13"/>
                <w:color w:val="auto"/>
              </w:rPr>
              <w:t>63.5 %</w:t>
            </w:r>
          </w:p>
        </w:tc>
        <w:tc>
          <w:tcPr>
            <w:tcW w:w="280" w:type="dxa"/>
            <w:vAlign w:val="bottom"/>
            <w:shd w:val="clear" w:color="auto" w:fill="E7E7E8"/>
          </w:tcPr>
          <w:p>
            <w:pPr>
              <w:spacing w:after="0"/>
              <w:rPr>
                <w:sz w:val="15"/>
                <w:szCs w:val="15"/>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3"/>
                <w:szCs w:val="13"/>
                <w:color w:val="auto"/>
              </w:rPr>
              <w:t>78.2 %</w:t>
            </w:r>
          </w:p>
        </w:tc>
        <w:tc>
          <w:tcPr>
            <w:tcW w:w="260" w:type="dxa"/>
            <w:vAlign w:val="bottom"/>
            <w:shd w:val="clear" w:color="auto" w:fill="E7E7E8"/>
          </w:tcPr>
          <w:p>
            <w:pPr>
              <w:spacing w:after="0"/>
              <w:rPr>
                <w:sz w:val="15"/>
                <w:szCs w:val="15"/>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3"/>
                <w:szCs w:val="13"/>
                <w:color w:val="auto"/>
              </w:rPr>
              <w:t>85.9 %</w:t>
            </w:r>
          </w:p>
        </w:tc>
        <w:tc>
          <w:tcPr>
            <w:tcW w:w="260" w:type="dxa"/>
            <w:vAlign w:val="bottom"/>
            <w:shd w:val="clear" w:color="auto" w:fill="E7E7E8"/>
          </w:tcPr>
          <w:p>
            <w:pPr>
              <w:spacing w:after="0"/>
              <w:rPr>
                <w:sz w:val="15"/>
                <w:szCs w:val="15"/>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3"/>
                <w:szCs w:val="13"/>
                <w:color w:val="auto"/>
              </w:rPr>
              <w:t>— %</w:t>
            </w:r>
          </w:p>
        </w:tc>
        <w:tc>
          <w:tcPr>
            <w:tcW w:w="360" w:type="dxa"/>
            <w:vAlign w:val="bottom"/>
            <w:shd w:val="clear" w:color="auto" w:fill="E7E7E8"/>
          </w:tcPr>
          <w:p>
            <w:pPr>
              <w:spacing w:after="0"/>
              <w:rPr>
                <w:sz w:val="15"/>
                <w:szCs w:val="15"/>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3"/>
                <w:szCs w:val="13"/>
                <w:color w:val="auto"/>
              </w:rPr>
              <w:t>75.9 %</w:t>
            </w:r>
          </w:p>
        </w:tc>
      </w:tr>
      <w:tr>
        <w:trPr>
          <w:trHeight w:val="172"/>
        </w:trPr>
        <w:tc>
          <w:tcPr>
            <w:tcW w:w="3900" w:type="dxa"/>
            <w:vAlign w:val="bottom"/>
          </w:tcPr>
          <w:p>
            <w:pPr>
              <w:ind w:left="20"/>
              <w:spacing w:after="0"/>
              <w:rPr>
                <w:sz w:val="20"/>
                <w:szCs w:val="20"/>
                <w:color w:val="auto"/>
              </w:rPr>
            </w:pPr>
            <w:r>
              <w:rPr>
                <w:rFonts w:ascii="Arial" w:cs="Arial" w:eastAsia="Arial" w:hAnsi="Arial"/>
                <w:sz w:val="13"/>
                <w:szCs w:val="13"/>
                <w:color w:val="auto"/>
              </w:rPr>
              <w:t>Average portable storage monthly rental rate</w:t>
            </w:r>
          </w:p>
        </w:tc>
        <w:tc>
          <w:tcPr>
            <w:tcW w:w="22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34"/>
              <w:spacing w:after="0"/>
              <w:rPr>
                <w:sz w:val="20"/>
                <w:szCs w:val="20"/>
                <w:color w:val="auto"/>
              </w:rPr>
            </w:pPr>
            <w:r>
              <w:rPr>
                <w:rFonts w:ascii="Arial" w:cs="Arial" w:eastAsia="Arial" w:hAnsi="Arial"/>
                <w:sz w:val="13"/>
                <w:szCs w:val="13"/>
                <w:color w:val="auto"/>
              </w:rPr>
              <w:t>122</w:t>
            </w: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34"/>
              <w:spacing w:after="0"/>
              <w:rPr>
                <w:sz w:val="20"/>
                <w:szCs w:val="20"/>
                <w:color w:val="auto"/>
              </w:rPr>
            </w:pPr>
            <w:r>
              <w:rPr>
                <w:rFonts w:ascii="Arial" w:cs="Arial" w:eastAsia="Arial" w:hAnsi="Arial"/>
                <w:sz w:val="13"/>
                <w:szCs w:val="13"/>
                <w:color w:val="auto"/>
              </w:rPr>
              <w:t>147</w:t>
            </w: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54"/>
              <w:spacing w:after="0"/>
              <w:rPr>
                <w:sz w:val="20"/>
                <w:szCs w:val="20"/>
                <w:color w:val="auto"/>
              </w:rPr>
            </w:pPr>
            <w:r>
              <w:rPr>
                <w:rFonts w:ascii="Arial" w:cs="Arial" w:eastAsia="Arial" w:hAnsi="Arial"/>
                <w:sz w:val="13"/>
                <w:szCs w:val="13"/>
                <w:color w:val="auto"/>
              </w:rPr>
              <w:t>76</w:t>
            </w: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94"/>
              <w:spacing w:after="0"/>
              <w:rPr>
                <w:sz w:val="20"/>
                <w:szCs w:val="20"/>
                <w:color w:val="auto"/>
              </w:rPr>
            </w:pPr>
            <w:r>
              <w:rPr>
                <w:rFonts w:ascii="Arial" w:cs="Arial" w:eastAsia="Arial" w:hAnsi="Arial"/>
                <w:sz w:val="13"/>
                <w:szCs w:val="13"/>
                <w:color w:val="auto"/>
              </w:rPr>
              <w:t>132</w:t>
            </w:r>
          </w:p>
        </w:tc>
      </w:tr>
      <w:tr>
        <w:trPr>
          <w:trHeight w:val="146"/>
        </w:trPr>
        <w:tc>
          <w:tcPr>
            <w:tcW w:w="3900" w:type="dxa"/>
            <w:vAlign w:val="bottom"/>
            <w:shd w:val="clear" w:color="auto" w:fill="E7E7E8"/>
          </w:tcPr>
          <w:p>
            <w:pPr>
              <w:ind w:left="20"/>
              <w:spacing w:after="0" w:line="147" w:lineRule="exact"/>
              <w:rPr>
                <w:sz w:val="20"/>
                <w:szCs w:val="20"/>
                <w:color w:val="auto"/>
              </w:rPr>
            </w:pPr>
            <w:r>
              <w:rPr>
                <w:rFonts w:ascii="Arial" w:cs="Arial" w:eastAsia="Arial" w:hAnsi="Arial"/>
                <w:sz w:val="13"/>
                <w:szCs w:val="13"/>
                <w:color w:val="auto"/>
              </w:rPr>
              <w:t>Average tank and pump solutions rental fleet utilization based on</w:t>
            </w:r>
          </w:p>
        </w:tc>
        <w:tc>
          <w:tcPr>
            <w:tcW w:w="220" w:type="dxa"/>
            <w:vAlign w:val="bottom"/>
            <w:shd w:val="clear" w:color="auto" w:fill="E7E7E8"/>
          </w:tcPr>
          <w:p>
            <w:pPr>
              <w:spacing w:after="0"/>
              <w:rPr>
                <w:sz w:val="12"/>
                <w:szCs w:val="12"/>
                <w:color w:val="auto"/>
              </w:rPr>
            </w:pPr>
          </w:p>
        </w:tc>
        <w:tc>
          <w:tcPr>
            <w:tcW w:w="1220" w:type="dxa"/>
            <w:vAlign w:val="bottom"/>
            <w:shd w:val="clear" w:color="auto" w:fill="E7E7E8"/>
          </w:tcPr>
          <w:p>
            <w:pPr>
              <w:spacing w:after="0"/>
              <w:rPr>
                <w:sz w:val="12"/>
                <w:szCs w:val="12"/>
                <w:color w:val="auto"/>
              </w:rPr>
            </w:pPr>
          </w:p>
        </w:tc>
        <w:tc>
          <w:tcPr>
            <w:tcW w:w="280" w:type="dxa"/>
            <w:vAlign w:val="bottom"/>
            <w:shd w:val="clear" w:color="auto" w:fill="E7E7E8"/>
          </w:tcPr>
          <w:p>
            <w:pPr>
              <w:spacing w:after="0"/>
              <w:rPr>
                <w:sz w:val="12"/>
                <w:szCs w:val="12"/>
                <w:color w:val="auto"/>
              </w:rPr>
            </w:pPr>
          </w:p>
        </w:tc>
        <w:tc>
          <w:tcPr>
            <w:tcW w:w="1220" w:type="dxa"/>
            <w:vAlign w:val="bottom"/>
            <w:shd w:val="clear" w:color="auto" w:fill="E7E7E8"/>
          </w:tcPr>
          <w:p>
            <w:pPr>
              <w:spacing w:after="0"/>
              <w:rPr>
                <w:sz w:val="12"/>
                <w:szCs w:val="12"/>
                <w:color w:val="auto"/>
              </w:rPr>
            </w:pPr>
          </w:p>
        </w:tc>
        <w:tc>
          <w:tcPr>
            <w:tcW w:w="260" w:type="dxa"/>
            <w:vAlign w:val="bottom"/>
            <w:shd w:val="clear" w:color="auto" w:fill="E7E7E8"/>
          </w:tcPr>
          <w:p>
            <w:pPr>
              <w:spacing w:after="0"/>
              <w:rPr>
                <w:sz w:val="12"/>
                <w:szCs w:val="12"/>
                <w:color w:val="auto"/>
              </w:rPr>
            </w:pPr>
          </w:p>
        </w:tc>
        <w:tc>
          <w:tcPr>
            <w:tcW w:w="1220" w:type="dxa"/>
            <w:vAlign w:val="bottom"/>
            <w:shd w:val="clear" w:color="auto" w:fill="E7E7E8"/>
          </w:tcPr>
          <w:p>
            <w:pPr>
              <w:spacing w:after="0"/>
              <w:rPr>
                <w:sz w:val="12"/>
                <w:szCs w:val="12"/>
                <w:color w:val="auto"/>
              </w:rPr>
            </w:pPr>
          </w:p>
        </w:tc>
        <w:tc>
          <w:tcPr>
            <w:tcW w:w="260" w:type="dxa"/>
            <w:vAlign w:val="bottom"/>
            <w:shd w:val="clear" w:color="auto" w:fill="E7E7E8"/>
          </w:tcPr>
          <w:p>
            <w:pPr>
              <w:spacing w:after="0"/>
              <w:rPr>
                <w:sz w:val="12"/>
                <w:szCs w:val="12"/>
                <w:color w:val="auto"/>
              </w:rPr>
            </w:pPr>
          </w:p>
        </w:tc>
        <w:tc>
          <w:tcPr>
            <w:tcW w:w="1240" w:type="dxa"/>
            <w:vAlign w:val="bottom"/>
            <w:shd w:val="clear" w:color="auto" w:fill="E7E7E8"/>
          </w:tcPr>
          <w:p>
            <w:pPr>
              <w:spacing w:after="0"/>
              <w:rPr>
                <w:sz w:val="12"/>
                <w:szCs w:val="12"/>
                <w:color w:val="auto"/>
              </w:rPr>
            </w:pPr>
          </w:p>
        </w:tc>
        <w:tc>
          <w:tcPr>
            <w:tcW w:w="360" w:type="dxa"/>
            <w:vAlign w:val="bottom"/>
            <w:shd w:val="clear" w:color="auto" w:fill="E7E7E8"/>
          </w:tcPr>
          <w:p>
            <w:pPr>
              <w:spacing w:after="0"/>
              <w:rPr>
                <w:sz w:val="12"/>
                <w:szCs w:val="12"/>
                <w:color w:val="auto"/>
              </w:rPr>
            </w:pPr>
          </w:p>
        </w:tc>
        <w:tc>
          <w:tcPr>
            <w:tcW w:w="1100" w:type="dxa"/>
            <w:vAlign w:val="bottom"/>
            <w:shd w:val="clear" w:color="auto" w:fill="E7E7E8"/>
          </w:tcPr>
          <w:p>
            <w:pPr>
              <w:spacing w:after="0"/>
              <w:rPr>
                <w:sz w:val="12"/>
                <w:szCs w:val="12"/>
                <w:color w:val="auto"/>
              </w:rPr>
            </w:pPr>
          </w:p>
        </w:tc>
      </w:tr>
      <w:tr>
        <w:trPr>
          <w:trHeight w:val="162"/>
        </w:trPr>
        <w:tc>
          <w:tcPr>
            <w:tcW w:w="3900" w:type="dxa"/>
            <w:vAlign w:val="bottom"/>
            <w:shd w:val="clear" w:color="auto" w:fill="E7E7E8"/>
          </w:tcPr>
          <w:p>
            <w:pPr>
              <w:ind w:left="20"/>
              <w:spacing w:after="0"/>
              <w:rPr>
                <w:sz w:val="20"/>
                <w:szCs w:val="20"/>
                <w:color w:val="auto"/>
              </w:rPr>
            </w:pPr>
            <w:r>
              <w:rPr>
                <w:rFonts w:ascii="Arial" w:cs="Arial" w:eastAsia="Arial" w:hAnsi="Arial"/>
                <w:sz w:val="13"/>
                <w:szCs w:val="13"/>
                <w:color w:val="auto"/>
              </w:rPr>
              <w:t>original equipment cost</w:t>
            </w:r>
          </w:p>
        </w:tc>
        <w:tc>
          <w:tcPr>
            <w:tcW w:w="220" w:type="dxa"/>
            <w:vAlign w:val="bottom"/>
            <w:shd w:val="clear" w:color="auto" w:fill="E7E7E8"/>
          </w:tcPr>
          <w:p>
            <w:pPr>
              <w:spacing w:after="0"/>
              <w:rPr>
                <w:sz w:val="14"/>
                <w:szCs w:val="14"/>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3"/>
                <w:szCs w:val="13"/>
                <w:color w:val="auto"/>
              </w:rPr>
              <w:t>N/A</w:t>
            </w:r>
          </w:p>
        </w:tc>
        <w:tc>
          <w:tcPr>
            <w:tcW w:w="280" w:type="dxa"/>
            <w:vAlign w:val="bottom"/>
            <w:shd w:val="clear" w:color="auto" w:fill="E7E7E8"/>
          </w:tcPr>
          <w:p>
            <w:pPr>
              <w:spacing w:after="0"/>
              <w:rPr>
                <w:sz w:val="14"/>
                <w:szCs w:val="14"/>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3"/>
                <w:szCs w:val="13"/>
                <w:color w:val="auto"/>
              </w:rPr>
              <w:t>N/A</w:t>
            </w:r>
          </w:p>
        </w:tc>
        <w:tc>
          <w:tcPr>
            <w:tcW w:w="260" w:type="dxa"/>
            <w:vAlign w:val="bottom"/>
            <w:shd w:val="clear" w:color="auto" w:fill="E7E7E8"/>
          </w:tcPr>
          <w:p>
            <w:pPr>
              <w:spacing w:after="0"/>
              <w:rPr>
                <w:sz w:val="14"/>
                <w:szCs w:val="14"/>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3"/>
                <w:szCs w:val="13"/>
                <w:color w:val="auto"/>
              </w:rPr>
              <w:t>N/A</w:t>
            </w:r>
          </w:p>
        </w:tc>
        <w:tc>
          <w:tcPr>
            <w:tcW w:w="260" w:type="dxa"/>
            <w:vAlign w:val="bottom"/>
            <w:shd w:val="clear" w:color="auto" w:fill="E7E7E8"/>
          </w:tcPr>
          <w:p>
            <w:pPr>
              <w:spacing w:after="0"/>
              <w:rPr>
                <w:sz w:val="14"/>
                <w:szCs w:val="14"/>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3"/>
                <w:szCs w:val="13"/>
                <w:color w:val="auto"/>
              </w:rPr>
              <w:t>61.7 %</w:t>
            </w:r>
          </w:p>
        </w:tc>
        <w:tc>
          <w:tcPr>
            <w:tcW w:w="360" w:type="dxa"/>
            <w:vAlign w:val="bottom"/>
            <w:shd w:val="clear" w:color="auto" w:fill="E7E7E8"/>
          </w:tcPr>
          <w:p>
            <w:pPr>
              <w:spacing w:after="0"/>
              <w:rPr>
                <w:sz w:val="14"/>
                <w:szCs w:val="14"/>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3"/>
                <w:szCs w:val="13"/>
                <w:color w:val="auto"/>
              </w:rPr>
              <w:t>61.7 %</w:t>
            </w:r>
          </w:p>
        </w:tc>
      </w:tr>
    </w:tbl>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20" w:type="dxa"/>
            <w:vAlign w:val="bottom"/>
            <w:shd w:val="clear" w:color="auto" w:fill="1D2758"/>
          </w:tcPr>
          <w:p>
            <w:pPr>
              <w:spacing w:after="0"/>
              <w:rPr>
                <w:sz w:val="15"/>
                <w:szCs w:val="15"/>
                <w:color w:val="auto"/>
              </w:rPr>
            </w:pPr>
          </w:p>
        </w:tc>
        <w:tc>
          <w:tcPr>
            <w:tcW w:w="200" w:type="dxa"/>
            <w:vAlign w:val="bottom"/>
            <w:shd w:val="clear" w:color="auto" w:fill="1D2758"/>
          </w:tcPr>
          <w:p>
            <w:pPr>
              <w:spacing w:after="0"/>
              <w:rPr>
                <w:sz w:val="15"/>
                <w:szCs w:val="15"/>
                <w:color w:val="auto"/>
              </w:rPr>
            </w:pPr>
          </w:p>
        </w:tc>
        <w:tc>
          <w:tcPr>
            <w:tcW w:w="1240" w:type="dxa"/>
            <w:vAlign w:val="bottom"/>
            <w:shd w:val="clear" w:color="auto" w:fill="1D2758"/>
          </w:tcPr>
          <w:p>
            <w:pPr>
              <w:spacing w:after="0"/>
              <w:rPr>
                <w:sz w:val="15"/>
                <w:szCs w:val="15"/>
                <w:color w:val="auto"/>
              </w:rPr>
            </w:pPr>
          </w:p>
        </w:tc>
        <w:tc>
          <w:tcPr>
            <w:tcW w:w="260" w:type="dxa"/>
            <w:vAlign w:val="bottom"/>
            <w:shd w:val="clear" w:color="auto" w:fill="1D2758"/>
          </w:tcPr>
          <w:p>
            <w:pPr>
              <w:spacing w:after="0"/>
              <w:rPr>
                <w:sz w:val="15"/>
                <w:szCs w:val="15"/>
                <w:color w:val="auto"/>
              </w:rPr>
            </w:pPr>
          </w:p>
        </w:tc>
        <w:tc>
          <w:tcPr>
            <w:tcW w:w="2960" w:type="dxa"/>
            <w:vAlign w:val="bottom"/>
            <w:gridSpan w:val="4"/>
            <w:shd w:val="clear" w:color="auto" w:fill="1D2758"/>
          </w:tcPr>
          <w:p>
            <w:pPr>
              <w:ind w:left="1020"/>
              <w:spacing w:after="0"/>
              <w:rPr>
                <w:sz w:val="20"/>
                <w:szCs w:val="20"/>
                <w:color w:val="auto"/>
              </w:rPr>
            </w:pPr>
            <w:r>
              <w:rPr>
                <w:rFonts w:ascii="Arial" w:cs="Arial" w:eastAsia="Arial" w:hAnsi="Arial"/>
                <w:sz w:val="13"/>
                <w:szCs w:val="13"/>
                <w:b w:val="1"/>
                <w:bCs w:val="1"/>
                <w:color w:val="FFFFFF"/>
                <w:w w:val="99"/>
              </w:rPr>
              <w:t>Year Ended December 31, 2019</w:t>
            </w:r>
          </w:p>
        </w:tc>
        <w:tc>
          <w:tcPr>
            <w:tcW w:w="1220" w:type="dxa"/>
            <w:vAlign w:val="bottom"/>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1100" w:type="dxa"/>
            <w:vAlign w:val="bottom"/>
            <w:shd w:val="clear" w:color="auto" w:fill="1D2758"/>
          </w:tcPr>
          <w:p>
            <w:pPr>
              <w:spacing w:after="0"/>
              <w:rPr>
                <w:sz w:val="15"/>
                <w:szCs w:val="15"/>
                <w:color w:val="auto"/>
              </w:rPr>
            </w:pPr>
          </w:p>
        </w:tc>
      </w:tr>
      <w:tr>
        <w:trPr>
          <w:trHeight w:val="175"/>
        </w:trPr>
        <w:tc>
          <w:tcPr>
            <w:tcW w:w="392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 except for units on rent and rates)</w:t>
            </w:r>
          </w:p>
        </w:tc>
        <w:tc>
          <w:tcPr>
            <w:tcW w:w="200" w:type="dxa"/>
            <w:vAlign w:val="bottom"/>
            <w:shd w:val="clear" w:color="auto" w:fill="1D2758"/>
          </w:tcPr>
          <w:p>
            <w:pPr>
              <w:spacing w:after="0"/>
              <w:rPr>
                <w:sz w:val="15"/>
                <w:szCs w:val="15"/>
                <w:color w:val="auto"/>
              </w:rPr>
            </w:pPr>
          </w:p>
        </w:tc>
        <w:tc>
          <w:tcPr>
            <w:tcW w:w="1240" w:type="dxa"/>
            <w:vAlign w:val="bottom"/>
            <w:shd w:val="clear" w:color="auto" w:fill="1D2758"/>
          </w:tcPr>
          <w:p>
            <w:pPr>
              <w:jc w:val="right"/>
              <w:ind w:right="314"/>
              <w:spacing w:after="0"/>
              <w:rPr>
                <w:sz w:val="20"/>
                <w:szCs w:val="20"/>
                <w:color w:val="auto"/>
              </w:rPr>
            </w:pPr>
            <w:r>
              <w:rPr>
                <w:rFonts w:ascii="Arial" w:cs="Arial" w:eastAsia="Arial" w:hAnsi="Arial"/>
                <w:sz w:val="13"/>
                <w:szCs w:val="13"/>
                <w:b w:val="1"/>
                <w:bCs w:val="1"/>
                <w:color w:val="FFFFFF"/>
              </w:rPr>
              <w:t>NA Modular</w:t>
            </w:r>
          </w:p>
        </w:tc>
        <w:tc>
          <w:tcPr>
            <w:tcW w:w="260" w:type="dxa"/>
            <w:vAlign w:val="bottom"/>
            <w:shd w:val="clear" w:color="auto" w:fill="1D2758"/>
          </w:tcPr>
          <w:p>
            <w:pPr>
              <w:spacing w:after="0"/>
              <w:rPr>
                <w:sz w:val="15"/>
                <w:szCs w:val="15"/>
                <w:color w:val="auto"/>
              </w:rPr>
            </w:pPr>
          </w:p>
        </w:tc>
        <w:tc>
          <w:tcPr>
            <w:tcW w:w="1240" w:type="dxa"/>
            <w:vAlign w:val="bottom"/>
            <w:shd w:val="clear" w:color="auto" w:fill="1D2758"/>
          </w:tcPr>
          <w:p>
            <w:pPr>
              <w:ind w:left="140"/>
              <w:spacing w:after="0"/>
              <w:rPr>
                <w:sz w:val="20"/>
                <w:szCs w:val="20"/>
                <w:color w:val="auto"/>
              </w:rPr>
            </w:pPr>
            <w:r>
              <w:rPr>
                <w:rFonts w:ascii="Arial" w:cs="Arial" w:eastAsia="Arial" w:hAnsi="Arial"/>
                <w:sz w:val="13"/>
                <w:szCs w:val="13"/>
                <w:b w:val="1"/>
                <w:bCs w:val="1"/>
                <w:color w:val="FFFFFF"/>
              </w:rPr>
              <w:t>NA Storage</w:t>
            </w:r>
          </w:p>
        </w:tc>
        <w:tc>
          <w:tcPr>
            <w:tcW w:w="260" w:type="dxa"/>
            <w:vAlign w:val="bottom"/>
            <w:shd w:val="clear" w:color="auto" w:fill="1D2758"/>
          </w:tcPr>
          <w:p>
            <w:pPr>
              <w:spacing w:after="0"/>
              <w:rPr>
                <w:sz w:val="15"/>
                <w:szCs w:val="15"/>
                <w:color w:val="auto"/>
              </w:rPr>
            </w:pPr>
          </w:p>
        </w:tc>
        <w:tc>
          <w:tcPr>
            <w:tcW w:w="1220" w:type="dxa"/>
            <w:vAlign w:val="bottom"/>
            <w:shd w:val="clear" w:color="auto" w:fill="1D2758"/>
          </w:tcPr>
          <w:p>
            <w:pPr>
              <w:ind w:left="120"/>
              <w:spacing w:after="0"/>
              <w:rPr>
                <w:sz w:val="20"/>
                <w:szCs w:val="20"/>
                <w:color w:val="auto"/>
              </w:rPr>
            </w:pPr>
            <w:r>
              <w:rPr>
                <w:rFonts w:ascii="Arial" w:cs="Arial" w:eastAsia="Arial" w:hAnsi="Arial"/>
                <w:sz w:val="13"/>
                <w:szCs w:val="13"/>
                <w:b w:val="1"/>
                <w:bCs w:val="1"/>
                <w:color w:val="FFFFFF"/>
              </w:rPr>
              <w:t>UK Storage</w:t>
            </w:r>
          </w:p>
        </w:tc>
        <w:tc>
          <w:tcPr>
            <w:tcW w:w="240" w:type="dxa"/>
            <w:vAlign w:val="bottom"/>
            <w:shd w:val="clear" w:color="auto" w:fill="1D2758"/>
          </w:tcPr>
          <w:p>
            <w:pPr>
              <w:spacing w:after="0"/>
              <w:rPr>
                <w:sz w:val="15"/>
                <w:szCs w:val="15"/>
                <w:color w:val="auto"/>
              </w:rPr>
            </w:pPr>
          </w:p>
        </w:tc>
        <w:tc>
          <w:tcPr>
            <w:tcW w:w="1220" w:type="dxa"/>
            <w:vAlign w:val="bottom"/>
            <w:shd w:val="clear" w:color="auto" w:fill="1D2758"/>
          </w:tcPr>
          <w:p>
            <w:pPr>
              <w:spacing w:after="0"/>
              <w:rPr>
                <w:sz w:val="20"/>
                <w:szCs w:val="20"/>
                <w:color w:val="auto"/>
              </w:rPr>
            </w:pPr>
            <w:r>
              <w:rPr>
                <w:rFonts w:ascii="Arial" w:cs="Arial" w:eastAsia="Arial" w:hAnsi="Arial"/>
                <w:sz w:val="13"/>
                <w:szCs w:val="13"/>
                <w:b w:val="1"/>
                <w:bCs w:val="1"/>
                <w:color w:val="FFFFFF"/>
              </w:rPr>
              <w:t>Tank and Pump</w:t>
            </w:r>
          </w:p>
        </w:tc>
        <w:tc>
          <w:tcPr>
            <w:tcW w:w="380" w:type="dxa"/>
            <w:vAlign w:val="bottom"/>
            <w:shd w:val="clear" w:color="auto" w:fill="1D2758"/>
          </w:tcPr>
          <w:p>
            <w:pPr>
              <w:spacing w:after="0"/>
              <w:rPr>
                <w:sz w:val="15"/>
                <w:szCs w:val="15"/>
                <w:color w:val="auto"/>
              </w:rPr>
            </w:pPr>
          </w:p>
        </w:tc>
        <w:tc>
          <w:tcPr>
            <w:tcW w:w="1100" w:type="dxa"/>
            <w:vAlign w:val="bottom"/>
            <w:shd w:val="clear" w:color="auto" w:fill="1D2758"/>
          </w:tcPr>
          <w:p>
            <w:pPr>
              <w:jc w:val="right"/>
              <w:ind w:right="494"/>
              <w:spacing w:after="0"/>
              <w:rPr>
                <w:sz w:val="20"/>
                <w:szCs w:val="20"/>
                <w:color w:val="auto"/>
              </w:rPr>
            </w:pPr>
            <w:r>
              <w:rPr>
                <w:rFonts w:ascii="Arial" w:cs="Arial" w:eastAsia="Arial" w:hAnsi="Arial"/>
                <w:sz w:val="13"/>
                <w:szCs w:val="13"/>
                <w:b w:val="1"/>
                <w:bCs w:val="1"/>
                <w:color w:val="FFFFFF"/>
              </w:rPr>
              <w:t>Total</w:t>
            </w:r>
          </w:p>
        </w:tc>
      </w:tr>
      <w:tr>
        <w:trPr>
          <w:trHeight w:val="175"/>
        </w:trPr>
        <w:tc>
          <w:tcPr>
            <w:tcW w:w="3920" w:type="dxa"/>
            <w:vAlign w:val="bottom"/>
            <w:shd w:val="clear" w:color="auto" w:fill="E7E7E8"/>
          </w:tcPr>
          <w:p>
            <w:pPr>
              <w:ind w:left="20"/>
              <w:spacing w:after="0"/>
              <w:rPr>
                <w:sz w:val="20"/>
                <w:szCs w:val="20"/>
                <w:color w:val="auto"/>
              </w:rPr>
            </w:pPr>
            <w:r>
              <w:rPr>
                <w:rFonts w:ascii="Arial" w:cs="Arial" w:eastAsia="Arial" w:hAnsi="Arial"/>
                <w:sz w:val="13"/>
                <w:szCs w:val="13"/>
                <w:color w:val="auto"/>
              </w:rPr>
              <w:t>Revenue</w:t>
            </w:r>
          </w:p>
        </w:tc>
        <w:tc>
          <w:tcPr>
            <w:tcW w:w="200" w:type="dxa"/>
            <w:vAlign w:val="bottom"/>
            <w:shd w:val="clear" w:color="auto" w:fill="E7E7E8"/>
          </w:tcPr>
          <w:p>
            <w:pPr>
              <w:jc w:val="right"/>
              <w:ind w:right="54"/>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E7E7E8"/>
          </w:tcPr>
          <w:p>
            <w:pPr>
              <w:jc w:val="right"/>
              <w:ind w:right="154"/>
              <w:spacing w:after="0"/>
              <w:rPr>
                <w:sz w:val="20"/>
                <w:szCs w:val="20"/>
                <w:color w:val="auto"/>
              </w:rPr>
            </w:pPr>
            <w:r>
              <w:rPr>
                <w:rFonts w:ascii="Arial" w:cs="Arial" w:eastAsia="Arial" w:hAnsi="Arial"/>
                <w:sz w:val="13"/>
                <w:szCs w:val="13"/>
                <w:color w:val="auto"/>
              </w:rPr>
              <w:t>1,063,665</w:t>
            </w:r>
          </w:p>
        </w:tc>
        <w:tc>
          <w:tcPr>
            <w:tcW w:w="260" w:type="dxa"/>
            <w:vAlign w:val="bottom"/>
            <w:shd w:val="clear" w:color="auto" w:fill="E7E7E8"/>
          </w:tcPr>
          <w:p>
            <w:pPr>
              <w:jc w:val="right"/>
              <w:ind w:right="54"/>
              <w:spacing w:after="0"/>
              <w:rPr>
                <w:sz w:val="20"/>
                <w:szCs w:val="20"/>
                <w:color w:val="auto"/>
              </w:rPr>
            </w:pPr>
            <w:r>
              <w:rPr>
                <w:rFonts w:ascii="Arial" w:cs="Arial" w:eastAsia="Arial" w:hAnsi="Arial"/>
                <w:sz w:val="13"/>
                <w:szCs w:val="13"/>
                <w:color w:val="auto"/>
              </w:rPr>
              <w:t>$</w:t>
            </w:r>
          </w:p>
        </w:tc>
        <w:tc>
          <w:tcPr>
            <w:tcW w:w="1240" w:type="dxa"/>
            <w:vAlign w:val="bottom"/>
            <w:shd w:val="clear" w:color="auto" w:fill="E7E7E8"/>
          </w:tcPr>
          <w:p>
            <w:pPr>
              <w:ind w:left="900"/>
              <w:spacing w:after="0"/>
              <w:rPr>
                <w:sz w:val="20"/>
                <w:szCs w:val="20"/>
                <w:color w:val="auto"/>
              </w:rPr>
            </w:pPr>
            <w:r>
              <w:rPr>
                <w:rFonts w:ascii="Arial" w:cs="Arial" w:eastAsia="Arial" w:hAnsi="Arial"/>
                <w:sz w:val="13"/>
                <w:szCs w:val="13"/>
                <w:color w:val="auto"/>
              </w:rPr>
              <w:t>—</w:t>
            </w:r>
          </w:p>
        </w:tc>
        <w:tc>
          <w:tcPr>
            <w:tcW w:w="260" w:type="dxa"/>
            <w:vAlign w:val="bottom"/>
            <w:shd w:val="clear" w:color="auto" w:fill="E7E7E8"/>
          </w:tcPr>
          <w:p>
            <w:pPr>
              <w:jc w:val="right"/>
              <w:ind w:right="74"/>
              <w:spacing w:after="0"/>
              <w:rPr>
                <w:sz w:val="20"/>
                <w:szCs w:val="20"/>
                <w:color w:val="auto"/>
              </w:rPr>
            </w:pPr>
            <w:r>
              <w:rPr>
                <w:rFonts w:ascii="Arial" w:cs="Arial" w:eastAsia="Arial" w:hAnsi="Arial"/>
                <w:sz w:val="13"/>
                <w:szCs w:val="13"/>
                <w:color w:val="auto"/>
              </w:rPr>
              <w:t>$</w:t>
            </w:r>
          </w:p>
        </w:tc>
        <w:tc>
          <w:tcPr>
            <w:tcW w:w="1220" w:type="dxa"/>
            <w:vAlign w:val="bottom"/>
            <w:shd w:val="clear" w:color="auto" w:fill="E7E7E8"/>
          </w:tcPr>
          <w:p>
            <w:pPr>
              <w:ind w:left="860"/>
              <w:spacing w:after="0"/>
              <w:rPr>
                <w:sz w:val="20"/>
                <w:szCs w:val="20"/>
                <w:color w:val="auto"/>
              </w:rPr>
            </w:pPr>
            <w:r>
              <w:rPr>
                <w:rFonts w:ascii="Arial" w:cs="Arial" w:eastAsia="Arial" w:hAnsi="Arial"/>
                <w:sz w:val="13"/>
                <w:szCs w:val="13"/>
                <w:color w:val="auto"/>
              </w:rPr>
              <w:t>—</w:t>
            </w:r>
          </w:p>
        </w:tc>
        <w:tc>
          <w:tcPr>
            <w:tcW w:w="240" w:type="dxa"/>
            <w:vAlign w:val="bottom"/>
            <w:shd w:val="clear" w:color="auto" w:fill="E7E7E8"/>
          </w:tcPr>
          <w:p>
            <w:pPr>
              <w:jc w:val="right"/>
              <w:ind w:right="54"/>
              <w:spacing w:after="0"/>
              <w:rPr>
                <w:sz w:val="20"/>
                <w:szCs w:val="20"/>
                <w:color w:val="auto"/>
              </w:rPr>
            </w:pPr>
            <w:r>
              <w:rPr>
                <w:rFonts w:ascii="Arial" w:cs="Arial" w:eastAsia="Arial" w:hAnsi="Arial"/>
                <w:sz w:val="13"/>
                <w:szCs w:val="13"/>
                <w:color w:val="auto"/>
              </w:rPr>
              <w:t>$</w:t>
            </w:r>
          </w:p>
        </w:tc>
        <w:tc>
          <w:tcPr>
            <w:tcW w:w="1220" w:type="dxa"/>
            <w:vAlign w:val="bottom"/>
            <w:shd w:val="clear" w:color="auto" w:fill="E7E7E8"/>
          </w:tcPr>
          <w:p>
            <w:pPr>
              <w:ind w:left="880"/>
              <w:spacing w:after="0"/>
              <w:rPr>
                <w:sz w:val="20"/>
                <w:szCs w:val="20"/>
                <w:color w:val="auto"/>
              </w:rPr>
            </w:pPr>
            <w:r>
              <w:rPr>
                <w:rFonts w:ascii="Arial" w:cs="Arial" w:eastAsia="Arial" w:hAnsi="Arial"/>
                <w:sz w:val="13"/>
                <w:szCs w:val="13"/>
                <w:color w:val="auto"/>
              </w:rPr>
              <w:t>—</w:t>
            </w:r>
          </w:p>
        </w:tc>
        <w:tc>
          <w:tcPr>
            <w:tcW w:w="380" w:type="dxa"/>
            <w:vAlign w:val="bottom"/>
            <w:shd w:val="clear" w:color="auto" w:fill="E7E7E8"/>
          </w:tcPr>
          <w:p>
            <w:pPr>
              <w:jc w:val="right"/>
              <w:ind w:right="174"/>
              <w:spacing w:after="0"/>
              <w:rPr>
                <w:sz w:val="20"/>
                <w:szCs w:val="20"/>
                <w:color w:val="auto"/>
              </w:rPr>
            </w:pPr>
            <w:r>
              <w:rPr>
                <w:rFonts w:ascii="Arial" w:cs="Arial" w:eastAsia="Arial" w:hAnsi="Arial"/>
                <w:sz w:val="13"/>
                <w:szCs w:val="13"/>
                <w:color w:val="auto"/>
              </w:rPr>
              <w:t>$</w:t>
            </w:r>
          </w:p>
        </w:tc>
        <w:tc>
          <w:tcPr>
            <w:tcW w:w="1100" w:type="dxa"/>
            <w:vAlign w:val="bottom"/>
            <w:shd w:val="clear" w:color="auto" w:fill="E7E7E8"/>
          </w:tcPr>
          <w:p>
            <w:pPr>
              <w:jc w:val="right"/>
              <w:ind w:right="94"/>
              <w:spacing w:after="0"/>
              <w:rPr>
                <w:sz w:val="20"/>
                <w:szCs w:val="20"/>
                <w:color w:val="auto"/>
              </w:rPr>
            </w:pPr>
            <w:r>
              <w:rPr>
                <w:rFonts w:ascii="Arial" w:cs="Arial" w:eastAsia="Arial" w:hAnsi="Arial"/>
                <w:sz w:val="13"/>
                <w:szCs w:val="13"/>
                <w:color w:val="auto"/>
              </w:rPr>
              <w:t>1,063,665</w:t>
            </w:r>
          </w:p>
        </w:tc>
      </w:tr>
      <w:tr>
        <w:trPr>
          <w:trHeight w:val="172"/>
        </w:trPr>
        <w:tc>
          <w:tcPr>
            <w:tcW w:w="3920" w:type="dxa"/>
            <w:vAlign w:val="bottom"/>
          </w:tcPr>
          <w:p>
            <w:pPr>
              <w:ind w:left="20"/>
              <w:spacing w:after="0"/>
              <w:rPr>
                <w:sz w:val="20"/>
                <w:szCs w:val="20"/>
                <w:color w:val="auto"/>
              </w:rPr>
            </w:pPr>
            <w:r>
              <w:rPr>
                <w:rFonts w:ascii="Arial" w:cs="Arial" w:eastAsia="Arial" w:hAnsi="Arial"/>
                <w:sz w:val="13"/>
                <w:szCs w:val="13"/>
                <w:color w:val="auto"/>
              </w:rPr>
              <w:t>Gross profit</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240" w:type="dxa"/>
            <w:vAlign w:val="bottom"/>
          </w:tcPr>
          <w:p>
            <w:pPr>
              <w:jc w:val="right"/>
              <w:ind w:right="154"/>
              <w:spacing w:after="0"/>
              <w:rPr>
                <w:sz w:val="20"/>
                <w:szCs w:val="20"/>
                <w:color w:val="auto"/>
              </w:rPr>
            </w:pPr>
            <w:r>
              <w:rPr>
                <w:rFonts w:ascii="Arial" w:cs="Arial" w:eastAsia="Arial" w:hAnsi="Arial"/>
                <w:sz w:val="13"/>
                <w:szCs w:val="13"/>
                <w:color w:val="auto"/>
              </w:rPr>
              <w:t>413,313</w:t>
            </w: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40" w:type="dxa"/>
            <w:vAlign w:val="bottom"/>
          </w:tcPr>
          <w:p>
            <w:pPr>
              <w:ind w:left="90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20" w:type="dxa"/>
            <w:vAlign w:val="bottom"/>
          </w:tcPr>
          <w:p>
            <w:pPr>
              <w:ind w:left="86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20" w:type="dxa"/>
            <w:vAlign w:val="bottom"/>
          </w:tcPr>
          <w:p>
            <w:pPr>
              <w:ind w:left="880"/>
              <w:spacing w:after="0"/>
              <w:rPr>
                <w:sz w:val="20"/>
                <w:szCs w:val="20"/>
                <w:color w:val="auto"/>
              </w:rPr>
            </w:pPr>
            <w:r>
              <w:rPr>
                <w:rFonts w:ascii="Arial" w:cs="Arial" w:eastAsia="Arial" w:hAnsi="Arial"/>
                <w:sz w:val="13"/>
                <w:szCs w:val="13"/>
                <w:color w:val="auto"/>
              </w:rPr>
              <w:t>—</w:t>
            </w:r>
          </w:p>
        </w:tc>
        <w:tc>
          <w:tcPr>
            <w:tcW w:w="38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94"/>
              <w:spacing w:after="0"/>
              <w:rPr>
                <w:sz w:val="20"/>
                <w:szCs w:val="20"/>
                <w:color w:val="auto"/>
              </w:rPr>
            </w:pPr>
            <w:r>
              <w:rPr>
                <w:rFonts w:ascii="Arial" w:cs="Arial" w:eastAsia="Arial" w:hAnsi="Arial"/>
                <w:sz w:val="13"/>
                <w:szCs w:val="13"/>
                <w:color w:val="auto"/>
              </w:rPr>
              <w:t>413,313</w:t>
            </w:r>
          </w:p>
        </w:tc>
      </w:tr>
      <w:tr>
        <w:trPr>
          <w:trHeight w:val="178"/>
        </w:trPr>
        <w:tc>
          <w:tcPr>
            <w:tcW w:w="3920" w:type="dxa"/>
            <w:vAlign w:val="bottom"/>
            <w:shd w:val="clear" w:color="auto" w:fill="E7E7E8"/>
          </w:tcPr>
          <w:p>
            <w:pPr>
              <w:ind w:left="20"/>
              <w:spacing w:after="0"/>
              <w:rPr>
                <w:sz w:val="20"/>
                <w:szCs w:val="20"/>
                <w:color w:val="auto"/>
              </w:rPr>
            </w:pPr>
            <w:r>
              <w:rPr>
                <w:rFonts w:ascii="Arial" w:cs="Arial" w:eastAsia="Arial" w:hAnsi="Arial"/>
                <w:sz w:val="13"/>
                <w:szCs w:val="13"/>
                <w:color w:val="auto"/>
              </w:rPr>
              <w:t>Adjusted EBITDA</w:t>
            </w:r>
          </w:p>
        </w:tc>
        <w:tc>
          <w:tcPr>
            <w:tcW w:w="200" w:type="dxa"/>
            <w:vAlign w:val="bottom"/>
            <w:shd w:val="clear" w:color="auto" w:fill="E7E7E8"/>
          </w:tcPr>
          <w:p>
            <w:pPr>
              <w:jc w:val="right"/>
              <w:ind w:right="54"/>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E7E7E8"/>
          </w:tcPr>
          <w:p>
            <w:pPr>
              <w:jc w:val="right"/>
              <w:ind w:right="154"/>
              <w:spacing w:after="0"/>
              <w:rPr>
                <w:sz w:val="20"/>
                <w:szCs w:val="20"/>
                <w:color w:val="auto"/>
              </w:rPr>
            </w:pPr>
            <w:r>
              <w:rPr>
                <w:rFonts w:ascii="Arial" w:cs="Arial" w:eastAsia="Arial" w:hAnsi="Arial"/>
                <w:sz w:val="13"/>
                <w:szCs w:val="13"/>
                <w:color w:val="auto"/>
              </w:rPr>
              <w:t>356,548</w:t>
            </w:r>
          </w:p>
        </w:tc>
        <w:tc>
          <w:tcPr>
            <w:tcW w:w="260" w:type="dxa"/>
            <w:vAlign w:val="bottom"/>
            <w:shd w:val="clear" w:color="auto" w:fill="E7E7E8"/>
          </w:tcPr>
          <w:p>
            <w:pPr>
              <w:jc w:val="right"/>
              <w:ind w:right="54"/>
              <w:spacing w:after="0"/>
              <w:rPr>
                <w:sz w:val="20"/>
                <w:szCs w:val="20"/>
                <w:color w:val="auto"/>
              </w:rPr>
            </w:pPr>
            <w:r>
              <w:rPr>
                <w:rFonts w:ascii="Arial" w:cs="Arial" w:eastAsia="Arial" w:hAnsi="Arial"/>
                <w:sz w:val="13"/>
                <w:szCs w:val="13"/>
                <w:color w:val="auto"/>
              </w:rPr>
              <w:t>$</w:t>
            </w:r>
          </w:p>
        </w:tc>
        <w:tc>
          <w:tcPr>
            <w:tcW w:w="1240" w:type="dxa"/>
            <w:vAlign w:val="bottom"/>
            <w:shd w:val="clear" w:color="auto" w:fill="E7E7E8"/>
          </w:tcPr>
          <w:p>
            <w:pPr>
              <w:ind w:left="900"/>
              <w:spacing w:after="0"/>
              <w:rPr>
                <w:sz w:val="20"/>
                <w:szCs w:val="20"/>
                <w:color w:val="auto"/>
              </w:rPr>
            </w:pPr>
            <w:r>
              <w:rPr>
                <w:rFonts w:ascii="Arial" w:cs="Arial" w:eastAsia="Arial" w:hAnsi="Arial"/>
                <w:sz w:val="13"/>
                <w:szCs w:val="13"/>
                <w:color w:val="auto"/>
              </w:rPr>
              <w:t>—</w:t>
            </w:r>
          </w:p>
        </w:tc>
        <w:tc>
          <w:tcPr>
            <w:tcW w:w="260" w:type="dxa"/>
            <w:vAlign w:val="bottom"/>
            <w:shd w:val="clear" w:color="auto" w:fill="E7E7E8"/>
          </w:tcPr>
          <w:p>
            <w:pPr>
              <w:jc w:val="right"/>
              <w:ind w:right="74"/>
              <w:spacing w:after="0"/>
              <w:rPr>
                <w:sz w:val="20"/>
                <w:szCs w:val="20"/>
                <w:color w:val="auto"/>
              </w:rPr>
            </w:pPr>
            <w:r>
              <w:rPr>
                <w:rFonts w:ascii="Arial" w:cs="Arial" w:eastAsia="Arial" w:hAnsi="Arial"/>
                <w:sz w:val="13"/>
                <w:szCs w:val="13"/>
                <w:color w:val="auto"/>
              </w:rPr>
              <w:t>$</w:t>
            </w:r>
          </w:p>
        </w:tc>
        <w:tc>
          <w:tcPr>
            <w:tcW w:w="1220" w:type="dxa"/>
            <w:vAlign w:val="bottom"/>
            <w:shd w:val="clear" w:color="auto" w:fill="E7E7E8"/>
          </w:tcPr>
          <w:p>
            <w:pPr>
              <w:ind w:left="860"/>
              <w:spacing w:after="0"/>
              <w:rPr>
                <w:sz w:val="20"/>
                <w:szCs w:val="20"/>
                <w:color w:val="auto"/>
              </w:rPr>
            </w:pPr>
            <w:r>
              <w:rPr>
                <w:rFonts w:ascii="Arial" w:cs="Arial" w:eastAsia="Arial" w:hAnsi="Arial"/>
                <w:sz w:val="13"/>
                <w:szCs w:val="13"/>
                <w:color w:val="auto"/>
              </w:rPr>
              <w:t>—</w:t>
            </w:r>
          </w:p>
        </w:tc>
        <w:tc>
          <w:tcPr>
            <w:tcW w:w="240" w:type="dxa"/>
            <w:vAlign w:val="bottom"/>
            <w:shd w:val="clear" w:color="auto" w:fill="E7E7E8"/>
          </w:tcPr>
          <w:p>
            <w:pPr>
              <w:jc w:val="right"/>
              <w:ind w:right="54"/>
              <w:spacing w:after="0"/>
              <w:rPr>
                <w:sz w:val="20"/>
                <w:szCs w:val="20"/>
                <w:color w:val="auto"/>
              </w:rPr>
            </w:pPr>
            <w:r>
              <w:rPr>
                <w:rFonts w:ascii="Arial" w:cs="Arial" w:eastAsia="Arial" w:hAnsi="Arial"/>
                <w:sz w:val="13"/>
                <w:szCs w:val="13"/>
                <w:color w:val="auto"/>
              </w:rPr>
              <w:t>$</w:t>
            </w:r>
          </w:p>
        </w:tc>
        <w:tc>
          <w:tcPr>
            <w:tcW w:w="1220" w:type="dxa"/>
            <w:vAlign w:val="bottom"/>
            <w:shd w:val="clear" w:color="auto" w:fill="E7E7E8"/>
          </w:tcPr>
          <w:p>
            <w:pPr>
              <w:ind w:left="880"/>
              <w:spacing w:after="0"/>
              <w:rPr>
                <w:sz w:val="20"/>
                <w:szCs w:val="20"/>
                <w:color w:val="auto"/>
              </w:rPr>
            </w:pPr>
            <w:r>
              <w:rPr>
                <w:rFonts w:ascii="Arial" w:cs="Arial" w:eastAsia="Arial" w:hAnsi="Arial"/>
                <w:sz w:val="13"/>
                <w:szCs w:val="13"/>
                <w:color w:val="auto"/>
              </w:rPr>
              <w:t>—</w:t>
            </w:r>
          </w:p>
        </w:tc>
        <w:tc>
          <w:tcPr>
            <w:tcW w:w="380" w:type="dxa"/>
            <w:vAlign w:val="bottom"/>
            <w:shd w:val="clear" w:color="auto" w:fill="E7E7E8"/>
          </w:tcPr>
          <w:p>
            <w:pPr>
              <w:jc w:val="right"/>
              <w:ind w:right="174"/>
              <w:spacing w:after="0"/>
              <w:rPr>
                <w:sz w:val="20"/>
                <w:szCs w:val="20"/>
                <w:color w:val="auto"/>
              </w:rPr>
            </w:pPr>
            <w:r>
              <w:rPr>
                <w:rFonts w:ascii="Arial" w:cs="Arial" w:eastAsia="Arial" w:hAnsi="Arial"/>
                <w:sz w:val="13"/>
                <w:szCs w:val="13"/>
                <w:color w:val="auto"/>
              </w:rPr>
              <w:t>$</w:t>
            </w:r>
          </w:p>
        </w:tc>
        <w:tc>
          <w:tcPr>
            <w:tcW w:w="1100" w:type="dxa"/>
            <w:vAlign w:val="bottom"/>
            <w:shd w:val="clear" w:color="auto" w:fill="E7E7E8"/>
          </w:tcPr>
          <w:p>
            <w:pPr>
              <w:jc w:val="right"/>
              <w:ind w:right="94"/>
              <w:spacing w:after="0"/>
              <w:rPr>
                <w:sz w:val="20"/>
                <w:szCs w:val="20"/>
                <w:color w:val="auto"/>
              </w:rPr>
            </w:pPr>
            <w:r>
              <w:rPr>
                <w:rFonts w:ascii="Arial" w:cs="Arial" w:eastAsia="Arial" w:hAnsi="Arial"/>
                <w:sz w:val="13"/>
                <w:szCs w:val="13"/>
                <w:color w:val="auto"/>
              </w:rPr>
              <w:t>356,548</w:t>
            </w:r>
          </w:p>
        </w:tc>
      </w:tr>
      <w:tr>
        <w:trPr>
          <w:trHeight w:val="172"/>
        </w:trPr>
        <w:tc>
          <w:tcPr>
            <w:tcW w:w="3920" w:type="dxa"/>
            <w:vAlign w:val="bottom"/>
          </w:tcPr>
          <w:p>
            <w:pPr>
              <w:ind w:left="20"/>
              <w:spacing w:after="0"/>
              <w:rPr>
                <w:sz w:val="20"/>
                <w:szCs w:val="20"/>
                <w:color w:val="auto"/>
              </w:rPr>
            </w:pPr>
            <w:r>
              <w:rPr>
                <w:rFonts w:ascii="Arial" w:cs="Arial" w:eastAsia="Arial" w:hAnsi="Arial"/>
                <w:sz w:val="13"/>
                <w:szCs w:val="13"/>
                <w:color w:val="auto"/>
              </w:rPr>
              <w:t>Capex for rental equipment</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240" w:type="dxa"/>
            <w:vAlign w:val="bottom"/>
          </w:tcPr>
          <w:p>
            <w:pPr>
              <w:jc w:val="right"/>
              <w:ind w:right="154"/>
              <w:spacing w:after="0"/>
              <w:rPr>
                <w:sz w:val="20"/>
                <w:szCs w:val="20"/>
                <w:color w:val="auto"/>
              </w:rPr>
            </w:pPr>
            <w:r>
              <w:rPr>
                <w:rFonts w:ascii="Arial" w:cs="Arial" w:eastAsia="Arial" w:hAnsi="Arial"/>
                <w:sz w:val="13"/>
                <w:szCs w:val="13"/>
                <w:color w:val="auto"/>
              </w:rPr>
              <w:t>205,106</w:t>
            </w: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40" w:type="dxa"/>
            <w:vAlign w:val="bottom"/>
          </w:tcPr>
          <w:p>
            <w:pPr>
              <w:ind w:left="90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20" w:type="dxa"/>
            <w:vAlign w:val="bottom"/>
          </w:tcPr>
          <w:p>
            <w:pPr>
              <w:ind w:left="86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20" w:type="dxa"/>
            <w:vAlign w:val="bottom"/>
          </w:tcPr>
          <w:p>
            <w:pPr>
              <w:ind w:left="880"/>
              <w:spacing w:after="0"/>
              <w:rPr>
                <w:sz w:val="20"/>
                <w:szCs w:val="20"/>
                <w:color w:val="auto"/>
              </w:rPr>
            </w:pPr>
            <w:r>
              <w:rPr>
                <w:rFonts w:ascii="Arial" w:cs="Arial" w:eastAsia="Arial" w:hAnsi="Arial"/>
                <w:sz w:val="13"/>
                <w:szCs w:val="13"/>
                <w:color w:val="auto"/>
              </w:rPr>
              <w:t>—</w:t>
            </w:r>
          </w:p>
        </w:tc>
        <w:tc>
          <w:tcPr>
            <w:tcW w:w="38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94"/>
              <w:spacing w:after="0"/>
              <w:rPr>
                <w:sz w:val="20"/>
                <w:szCs w:val="20"/>
                <w:color w:val="auto"/>
              </w:rPr>
            </w:pPr>
            <w:r>
              <w:rPr>
                <w:rFonts w:ascii="Arial" w:cs="Arial" w:eastAsia="Arial" w:hAnsi="Arial"/>
                <w:sz w:val="13"/>
                <w:szCs w:val="13"/>
                <w:color w:val="auto"/>
              </w:rPr>
              <w:t>205,106</w:t>
            </w:r>
          </w:p>
        </w:tc>
      </w:tr>
      <w:tr>
        <w:trPr>
          <w:trHeight w:val="178"/>
        </w:trPr>
        <w:tc>
          <w:tcPr>
            <w:tcW w:w="3920" w:type="dxa"/>
            <w:vAlign w:val="bottom"/>
            <w:shd w:val="clear" w:color="auto" w:fill="E7E7E8"/>
          </w:tcPr>
          <w:p>
            <w:pPr>
              <w:ind w:left="20"/>
              <w:spacing w:after="0"/>
              <w:rPr>
                <w:sz w:val="20"/>
                <w:szCs w:val="20"/>
                <w:color w:val="auto"/>
              </w:rPr>
            </w:pPr>
            <w:r>
              <w:rPr>
                <w:rFonts w:ascii="Arial" w:cs="Arial" w:eastAsia="Arial" w:hAnsi="Arial"/>
                <w:sz w:val="13"/>
                <w:szCs w:val="13"/>
                <w:color w:val="auto"/>
              </w:rPr>
              <w:t>Average modular space units on rent</w:t>
            </w:r>
          </w:p>
        </w:tc>
        <w:tc>
          <w:tcPr>
            <w:tcW w:w="200" w:type="dxa"/>
            <w:vAlign w:val="bottom"/>
            <w:shd w:val="clear" w:color="auto" w:fill="E7E7E8"/>
          </w:tcPr>
          <w:p>
            <w:pPr>
              <w:spacing w:after="0"/>
              <w:rPr>
                <w:sz w:val="15"/>
                <w:szCs w:val="15"/>
                <w:color w:val="auto"/>
              </w:rPr>
            </w:pPr>
          </w:p>
        </w:tc>
        <w:tc>
          <w:tcPr>
            <w:tcW w:w="1240" w:type="dxa"/>
            <w:vAlign w:val="bottom"/>
            <w:shd w:val="clear" w:color="auto" w:fill="E7E7E8"/>
          </w:tcPr>
          <w:p>
            <w:pPr>
              <w:jc w:val="right"/>
              <w:ind w:right="154"/>
              <w:spacing w:after="0"/>
              <w:rPr>
                <w:sz w:val="20"/>
                <w:szCs w:val="20"/>
                <w:color w:val="auto"/>
              </w:rPr>
            </w:pPr>
            <w:r>
              <w:rPr>
                <w:rFonts w:ascii="Arial" w:cs="Arial" w:eastAsia="Arial" w:hAnsi="Arial"/>
                <w:sz w:val="13"/>
                <w:szCs w:val="13"/>
                <w:color w:val="auto"/>
              </w:rPr>
              <w:t>91,682</w:t>
            </w:r>
          </w:p>
        </w:tc>
        <w:tc>
          <w:tcPr>
            <w:tcW w:w="260" w:type="dxa"/>
            <w:vAlign w:val="bottom"/>
            <w:shd w:val="clear" w:color="auto" w:fill="E7E7E8"/>
          </w:tcPr>
          <w:p>
            <w:pPr>
              <w:spacing w:after="0"/>
              <w:rPr>
                <w:sz w:val="15"/>
                <w:szCs w:val="15"/>
                <w:color w:val="auto"/>
              </w:rPr>
            </w:pPr>
          </w:p>
        </w:tc>
        <w:tc>
          <w:tcPr>
            <w:tcW w:w="1240" w:type="dxa"/>
            <w:vAlign w:val="bottom"/>
            <w:shd w:val="clear" w:color="auto" w:fill="E7E7E8"/>
          </w:tcPr>
          <w:p>
            <w:pPr>
              <w:ind w:left="900"/>
              <w:spacing w:after="0"/>
              <w:rPr>
                <w:sz w:val="20"/>
                <w:szCs w:val="20"/>
                <w:color w:val="auto"/>
              </w:rPr>
            </w:pPr>
            <w:r>
              <w:rPr>
                <w:rFonts w:ascii="Arial" w:cs="Arial" w:eastAsia="Arial" w:hAnsi="Arial"/>
                <w:sz w:val="13"/>
                <w:szCs w:val="13"/>
                <w:color w:val="auto"/>
              </w:rPr>
              <w:t>—</w:t>
            </w:r>
          </w:p>
        </w:tc>
        <w:tc>
          <w:tcPr>
            <w:tcW w:w="260" w:type="dxa"/>
            <w:vAlign w:val="bottom"/>
            <w:shd w:val="clear" w:color="auto" w:fill="E7E7E8"/>
          </w:tcPr>
          <w:p>
            <w:pPr>
              <w:spacing w:after="0"/>
              <w:rPr>
                <w:sz w:val="15"/>
                <w:szCs w:val="15"/>
                <w:color w:val="auto"/>
              </w:rPr>
            </w:pPr>
          </w:p>
        </w:tc>
        <w:tc>
          <w:tcPr>
            <w:tcW w:w="1220" w:type="dxa"/>
            <w:vAlign w:val="bottom"/>
            <w:shd w:val="clear" w:color="auto" w:fill="E7E7E8"/>
          </w:tcPr>
          <w:p>
            <w:pPr>
              <w:ind w:left="860"/>
              <w:spacing w:after="0"/>
              <w:rPr>
                <w:sz w:val="20"/>
                <w:szCs w:val="20"/>
                <w:color w:val="auto"/>
              </w:rPr>
            </w:pPr>
            <w:r>
              <w:rPr>
                <w:rFonts w:ascii="Arial" w:cs="Arial" w:eastAsia="Arial" w:hAnsi="Arial"/>
                <w:sz w:val="13"/>
                <w:szCs w:val="13"/>
                <w:color w:val="auto"/>
              </w:rPr>
              <w:t>—</w:t>
            </w:r>
          </w:p>
        </w:tc>
        <w:tc>
          <w:tcPr>
            <w:tcW w:w="240" w:type="dxa"/>
            <w:vAlign w:val="bottom"/>
            <w:shd w:val="clear" w:color="auto" w:fill="E7E7E8"/>
          </w:tcPr>
          <w:p>
            <w:pPr>
              <w:spacing w:after="0"/>
              <w:rPr>
                <w:sz w:val="15"/>
                <w:szCs w:val="15"/>
                <w:color w:val="auto"/>
              </w:rPr>
            </w:pPr>
          </w:p>
        </w:tc>
        <w:tc>
          <w:tcPr>
            <w:tcW w:w="1220" w:type="dxa"/>
            <w:vAlign w:val="bottom"/>
            <w:shd w:val="clear" w:color="auto" w:fill="E7E7E8"/>
          </w:tcPr>
          <w:p>
            <w:pPr>
              <w:ind w:left="880"/>
              <w:spacing w:after="0"/>
              <w:rPr>
                <w:sz w:val="20"/>
                <w:szCs w:val="20"/>
                <w:color w:val="auto"/>
              </w:rPr>
            </w:pPr>
            <w:r>
              <w:rPr>
                <w:rFonts w:ascii="Arial" w:cs="Arial" w:eastAsia="Arial" w:hAnsi="Arial"/>
                <w:sz w:val="13"/>
                <w:szCs w:val="13"/>
                <w:color w:val="auto"/>
              </w:rPr>
              <w:t>—</w:t>
            </w:r>
          </w:p>
        </w:tc>
        <w:tc>
          <w:tcPr>
            <w:tcW w:w="380" w:type="dxa"/>
            <w:vAlign w:val="bottom"/>
            <w:shd w:val="clear" w:color="auto" w:fill="E7E7E8"/>
          </w:tcPr>
          <w:p>
            <w:pPr>
              <w:spacing w:after="0"/>
              <w:rPr>
                <w:sz w:val="15"/>
                <w:szCs w:val="15"/>
                <w:color w:val="auto"/>
              </w:rPr>
            </w:pPr>
          </w:p>
        </w:tc>
        <w:tc>
          <w:tcPr>
            <w:tcW w:w="1100" w:type="dxa"/>
            <w:vAlign w:val="bottom"/>
            <w:shd w:val="clear" w:color="auto" w:fill="E7E7E8"/>
          </w:tcPr>
          <w:p>
            <w:pPr>
              <w:jc w:val="right"/>
              <w:ind w:right="94"/>
              <w:spacing w:after="0"/>
              <w:rPr>
                <w:sz w:val="20"/>
                <w:szCs w:val="20"/>
                <w:color w:val="auto"/>
              </w:rPr>
            </w:pPr>
            <w:r>
              <w:rPr>
                <w:rFonts w:ascii="Arial" w:cs="Arial" w:eastAsia="Arial" w:hAnsi="Arial"/>
                <w:sz w:val="13"/>
                <w:szCs w:val="13"/>
                <w:color w:val="auto"/>
              </w:rPr>
              <w:t>91,682</w:t>
            </w:r>
          </w:p>
        </w:tc>
      </w:tr>
      <w:tr>
        <w:trPr>
          <w:trHeight w:val="172"/>
        </w:trPr>
        <w:tc>
          <w:tcPr>
            <w:tcW w:w="3920" w:type="dxa"/>
            <w:vAlign w:val="bottom"/>
          </w:tcPr>
          <w:p>
            <w:pPr>
              <w:ind w:left="20"/>
              <w:spacing w:after="0"/>
              <w:rPr>
                <w:sz w:val="20"/>
                <w:szCs w:val="20"/>
                <w:color w:val="auto"/>
              </w:rPr>
            </w:pPr>
            <w:r>
              <w:rPr>
                <w:rFonts w:ascii="Arial" w:cs="Arial" w:eastAsia="Arial" w:hAnsi="Arial"/>
                <w:sz w:val="13"/>
                <w:szCs w:val="13"/>
                <w:color w:val="auto"/>
              </w:rPr>
              <w:t>Average modular space utilization rate</w:t>
            </w: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72.0 %</w:t>
            </w:r>
          </w:p>
        </w:tc>
        <w:tc>
          <w:tcPr>
            <w:tcW w:w="260" w:type="dxa"/>
            <w:vAlign w:val="bottom"/>
          </w:tcPr>
          <w:p>
            <w:pPr>
              <w:spacing w:after="0"/>
              <w:rPr>
                <w:sz w:val="14"/>
                <w:szCs w:val="14"/>
                <w:color w:val="auto"/>
              </w:rPr>
            </w:pPr>
          </w:p>
        </w:tc>
        <w:tc>
          <w:tcPr>
            <w:tcW w:w="1240" w:type="dxa"/>
            <w:vAlign w:val="bottom"/>
          </w:tcPr>
          <w:p>
            <w:pPr>
              <w:ind w:left="900"/>
              <w:spacing w:after="0"/>
              <w:rPr>
                <w:sz w:val="20"/>
                <w:szCs w:val="20"/>
                <w:color w:val="auto"/>
              </w:rPr>
            </w:pPr>
            <w:r>
              <w:rPr>
                <w:rFonts w:ascii="Arial" w:cs="Arial" w:eastAsia="Arial" w:hAnsi="Arial"/>
                <w:sz w:val="13"/>
                <w:szCs w:val="13"/>
                <w:color w:val="auto"/>
              </w:rPr>
              <w:t>— %</w:t>
            </w:r>
          </w:p>
        </w:tc>
        <w:tc>
          <w:tcPr>
            <w:tcW w:w="260" w:type="dxa"/>
            <w:vAlign w:val="bottom"/>
          </w:tcPr>
          <w:p>
            <w:pPr>
              <w:spacing w:after="0"/>
              <w:rPr>
                <w:sz w:val="14"/>
                <w:szCs w:val="14"/>
                <w:color w:val="auto"/>
              </w:rPr>
            </w:pPr>
          </w:p>
        </w:tc>
        <w:tc>
          <w:tcPr>
            <w:tcW w:w="1220" w:type="dxa"/>
            <w:vAlign w:val="bottom"/>
          </w:tcPr>
          <w:p>
            <w:pPr>
              <w:ind w:left="860"/>
              <w:spacing w:after="0"/>
              <w:rPr>
                <w:sz w:val="20"/>
                <w:szCs w:val="20"/>
                <w:color w:val="auto"/>
              </w:rPr>
            </w:pPr>
            <w:r>
              <w:rPr>
                <w:rFonts w:ascii="Arial" w:cs="Arial" w:eastAsia="Arial" w:hAnsi="Arial"/>
                <w:sz w:val="13"/>
                <w:szCs w:val="13"/>
                <w:color w:val="auto"/>
              </w:rPr>
              <w:t>— %</w:t>
            </w:r>
          </w:p>
        </w:tc>
        <w:tc>
          <w:tcPr>
            <w:tcW w:w="240" w:type="dxa"/>
            <w:vAlign w:val="bottom"/>
          </w:tcPr>
          <w:p>
            <w:pPr>
              <w:spacing w:after="0"/>
              <w:rPr>
                <w:sz w:val="14"/>
                <w:szCs w:val="14"/>
                <w:color w:val="auto"/>
              </w:rPr>
            </w:pPr>
          </w:p>
        </w:tc>
        <w:tc>
          <w:tcPr>
            <w:tcW w:w="1220" w:type="dxa"/>
            <w:vAlign w:val="bottom"/>
          </w:tcPr>
          <w:p>
            <w:pPr>
              <w:ind w:left="880"/>
              <w:spacing w:after="0"/>
              <w:rPr>
                <w:sz w:val="20"/>
                <w:szCs w:val="20"/>
                <w:color w:val="auto"/>
              </w:rPr>
            </w:pPr>
            <w:r>
              <w:rPr>
                <w:rFonts w:ascii="Arial" w:cs="Arial" w:eastAsia="Arial" w:hAnsi="Arial"/>
                <w:sz w:val="13"/>
                <w:szCs w:val="13"/>
                <w:color w:val="auto"/>
              </w:rPr>
              <w:t>— %</w:t>
            </w:r>
          </w:p>
        </w:tc>
        <w:tc>
          <w:tcPr>
            <w:tcW w:w="3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72.0 %</w:t>
            </w:r>
          </w:p>
        </w:tc>
      </w:tr>
      <w:tr>
        <w:trPr>
          <w:trHeight w:val="178"/>
        </w:trPr>
        <w:tc>
          <w:tcPr>
            <w:tcW w:w="3920" w:type="dxa"/>
            <w:vAlign w:val="bottom"/>
            <w:shd w:val="clear" w:color="auto" w:fill="E7E7E8"/>
          </w:tcPr>
          <w:p>
            <w:pPr>
              <w:ind w:left="20"/>
              <w:spacing w:after="0"/>
              <w:rPr>
                <w:sz w:val="20"/>
                <w:szCs w:val="20"/>
                <w:color w:val="auto"/>
              </w:rPr>
            </w:pPr>
            <w:r>
              <w:rPr>
                <w:rFonts w:ascii="Arial" w:cs="Arial" w:eastAsia="Arial" w:hAnsi="Arial"/>
                <w:sz w:val="13"/>
                <w:szCs w:val="13"/>
                <w:color w:val="auto"/>
              </w:rPr>
              <w:t>Average modular space monthly rental rate</w:t>
            </w:r>
          </w:p>
        </w:tc>
        <w:tc>
          <w:tcPr>
            <w:tcW w:w="200" w:type="dxa"/>
            <w:vAlign w:val="bottom"/>
            <w:shd w:val="clear" w:color="auto" w:fill="E7E7E8"/>
          </w:tcPr>
          <w:p>
            <w:pPr>
              <w:jc w:val="right"/>
              <w:ind w:right="54"/>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E7E7E8"/>
          </w:tcPr>
          <w:p>
            <w:pPr>
              <w:jc w:val="right"/>
              <w:ind w:right="154"/>
              <w:spacing w:after="0"/>
              <w:rPr>
                <w:sz w:val="20"/>
                <w:szCs w:val="20"/>
                <w:color w:val="auto"/>
              </w:rPr>
            </w:pPr>
            <w:r>
              <w:rPr>
                <w:rFonts w:ascii="Arial" w:cs="Arial" w:eastAsia="Arial" w:hAnsi="Arial"/>
                <w:sz w:val="13"/>
                <w:szCs w:val="13"/>
                <w:color w:val="auto"/>
              </w:rPr>
              <w:t>614</w:t>
            </w:r>
          </w:p>
        </w:tc>
        <w:tc>
          <w:tcPr>
            <w:tcW w:w="260" w:type="dxa"/>
            <w:vAlign w:val="bottom"/>
            <w:shd w:val="clear" w:color="auto" w:fill="E7E7E8"/>
          </w:tcPr>
          <w:p>
            <w:pPr>
              <w:jc w:val="right"/>
              <w:ind w:right="54"/>
              <w:spacing w:after="0"/>
              <w:rPr>
                <w:sz w:val="20"/>
                <w:szCs w:val="20"/>
                <w:color w:val="auto"/>
              </w:rPr>
            </w:pPr>
            <w:r>
              <w:rPr>
                <w:rFonts w:ascii="Arial" w:cs="Arial" w:eastAsia="Arial" w:hAnsi="Arial"/>
                <w:sz w:val="13"/>
                <w:szCs w:val="13"/>
                <w:color w:val="auto"/>
              </w:rPr>
              <w:t>$</w:t>
            </w:r>
          </w:p>
        </w:tc>
        <w:tc>
          <w:tcPr>
            <w:tcW w:w="1240" w:type="dxa"/>
            <w:vAlign w:val="bottom"/>
            <w:shd w:val="clear" w:color="auto" w:fill="E7E7E8"/>
          </w:tcPr>
          <w:p>
            <w:pPr>
              <w:ind w:left="900"/>
              <w:spacing w:after="0"/>
              <w:rPr>
                <w:sz w:val="20"/>
                <w:szCs w:val="20"/>
                <w:color w:val="auto"/>
              </w:rPr>
            </w:pPr>
            <w:r>
              <w:rPr>
                <w:rFonts w:ascii="Arial" w:cs="Arial" w:eastAsia="Arial" w:hAnsi="Arial"/>
                <w:sz w:val="13"/>
                <w:szCs w:val="13"/>
                <w:color w:val="auto"/>
              </w:rPr>
              <w:t>—</w:t>
            </w:r>
          </w:p>
        </w:tc>
        <w:tc>
          <w:tcPr>
            <w:tcW w:w="260" w:type="dxa"/>
            <w:vAlign w:val="bottom"/>
            <w:shd w:val="clear" w:color="auto" w:fill="E7E7E8"/>
          </w:tcPr>
          <w:p>
            <w:pPr>
              <w:jc w:val="right"/>
              <w:ind w:right="74"/>
              <w:spacing w:after="0"/>
              <w:rPr>
                <w:sz w:val="20"/>
                <w:szCs w:val="20"/>
                <w:color w:val="auto"/>
              </w:rPr>
            </w:pPr>
            <w:r>
              <w:rPr>
                <w:rFonts w:ascii="Arial" w:cs="Arial" w:eastAsia="Arial" w:hAnsi="Arial"/>
                <w:sz w:val="13"/>
                <w:szCs w:val="13"/>
                <w:color w:val="auto"/>
              </w:rPr>
              <w:t>$</w:t>
            </w:r>
          </w:p>
        </w:tc>
        <w:tc>
          <w:tcPr>
            <w:tcW w:w="1220" w:type="dxa"/>
            <w:vAlign w:val="bottom"/>
            <w:shd w:val="clear" w:color="auto" w:fill="E7E7E8"/>
          </w:tcPr>
          <w:p>
            <w:pPr>
              <w:ind w:left="860"/>
              <w:spacing w:after="0"/>
              <w:rPr>
                <w:sz w:val="20"/>
                <w:szCs w:val="20"/>
                <w:color w:val="auto"/>
              </w:rPr>
            </w:pPr>
            <w:r>
              <w:rPr>
                <w:rFonts w:ascii="Arial" w:cs="Arial" w:eastAsia="Arial" w:hAnsi="Arial"/>
                <w:sz w:val="13"/>
                <w:szCs w:val="13"/>
                <w:color w:val="auto"/>
              </w:rPr>
              <w:t>—</w:t>
            </w:r>
          </w:p>
        </w:tc>
        <w:tc>
          <w:tcPr>
            <w:tcW w:w="240" w:type="dxa"/>
            <w:vAlign w:val="bottom"/>
            <w:shd w:val="clear" w:color="auto" w:fill="E7E7E8"/>
          </w:tcPr>
          <w:p>
            <w:pPr>
              <w:jc w:val="right"/>
              <w:ind w:right="54"/>
              <w:spacing w:after="0"/>
              <w:rPr>
                <w:sz w:val="20"/>
                <w:szCs w:val="20"/>
                <w:color w:val="auto"/>
              </w:rPr>
            </w:pPr>
            <w:r>
              <w:rPr>
                <w:rFonts w:ascii="Arial" w:cs="Arial" w:eastAsia="Arial" w:hAnsi="Arial"/>
                <w:sz w:val="13"/>
                <w:szCs w:val="13"/>
                <w:color w:val="auto"/>
              </w:rPr>
              <w:t>$</w:t>
            </w:r>
          </w:p>
        </w:tc>
        <w:tc>
          <w:tcPr>
            <w:tcW w:w="1220" w:type="dxa"/>
            <w:vAlign w:val="bottom"/>
            <w:shd w:val="clear" w:color="auto" w:fill="E7E7E8"/>
          </w:tcPr>
          <w:p>
            <w:pPr>
              <w:ind w:left="880"/>
              <w:spacing w:after="0"/>
              <w:rPr>
                <w:sz w:val="20"/>
                <w:szCs w:val="20"/>
                <w:color w:val="auto"/>
              </w:rPr>
            </w:pPr>
            <w:r>
              <w:rPr>
                <w:rFonts w:ascii="Arial" w:cs="Arial" w:eastAsia="Arial" w:hAnsi="Arial"/>
                <w:sz w:val="13"/>
                <w:szCs w:val="13"/>
                <w:color w:val="auto"/>
              </w:rPr>
              <w:t>—</w:t>
            </w:r>
          </w:p>
        </w:tc>
        <w:tc>
          <w:tcPr>
            <w:tcW w:w="380" w:type="dxa"/>
            <w:vAlign w:val="bottom"/>
            <w:shd w:val="clear" w:color="auto" w:fill="E7E7E8"/>
          </w:tcPr>
          <w:p>
            <w:pPr>
              <w:jc w:val="right"/>
              <w:ind w:right="174"/>
              <w:spacing w:after="0"/>
              <w:rPr>
                <w:sz w:val="20"/>
                <w:szCs w:val="20"/>
                <w:color w:val="auto"/>
              </w:rPr>
            </w:pPr>
            <w:r>
              <w:rPr>
                <w:rFonts w:ascii="Arial" w:cs="Arial" w:eastAsia="Arial" w:hAnsi="Arial"/>
                <w:sz w:val="13"/>
                <w:szCs w:val="13"/>
                <w:color w:val="auto"/>
              </w:rPr>
              <w:t>$</w:t>
            </w:r>
          </w:p>
        </w:tc>
        <w:tc>
          <w:tcPr>
            <w:tcW w:w="1100" w:type="dxa"/>
            <w:vAlign w:val="bottom"/>
            <w:shd w:val="clear" w:color="auto" w:fill="E7E7E8"/>
          </w:tcPr>
          <w:p>
            <w:pPr>
              <w:jc w:val="right"/>
              <w:ind w:right="94"/>
              <w:spacing w:after="0"/>
              <w:rPr>
                <w:sz w:val="20"/>
                <w:szCs w:val="20"/>
                <w:color w:val="auto"/>
              </w:rPr>
            </w:pPr>
            <w:r>
              <w:rPr>
                <w:rFonts w:ascii="Arial" w:cs="Arial" w:eastAsia="Arial" w:hAnsi="Arial"/>
                <w:sz w:val="13"/>
                <w:szCs w:val="13"/>
                <w:color w:val="auto"/>
              </w:rPr>
              <w:t>614</w:t>
            </w:r>
          </w:p>
        </w:tc>
      </w:tr>
      <w:tr>
        <w:trPr>
          <w:trHeight w:val="172"/>
        </w:trPr>
        <w:tc>
          <w:tcPr>
            <w:tcW w:w="3920" w:type="dxa"/>
            <w:vAlign w:val="bottom"/>
          </w:tcPr>
          <w:p>
            <w:pPr>
              <w:ind w:left="20"/>
              <w:spacing w:after="0"/>
              <w:rPr>
                <w:sz w:val="20"/>
                <w:szCs w:val="20"/>
                <w:color w:val="auto"/>
              </w:rPr>
            </w:pPr>
            <w:r>
              <w:rPr>
                <w:rFonts w:ascii="Arial" w:cs="Arial" w:eastAsia="Arial" w:hAnsi="Arial"/>
                <w:sz w:val="13"/>
                <w:szCs w:val="13"/>
                <w:color w:val="auto"/>
              </w:rPr>
              <w:t>Average portable storage units on rent</w:t>
            </w:r>
          </w:p>
        </w:tc>
        <w:tc>
          <w:tcPr>
            <w:tcW w:w="200" w:type="dxa"/>
            <w:vAlign w:val="bottom"/>
          </w:tcPr>
          <w:p>
            <w:pPr>
              <w:spacing w:after="0"/>
              <w:rPr>
                <w:sz w:val="14"/>
                <w:szCs w:val="14"/>
                <w:color w:val="auto"/>
              </w:rPr>
            </w:pPr>
          </w:p>
        </w:tc>
        <w:tc>
          <w:tcPr>
            <w:tcW w:w="1240" w:type="dxa"/>
            <w:vAlign w:val="bottom"/>
          </w:tcPr>
          <w:p>
            <w:pPr>
              <w:jc w:val="right"/>
              <w:ind w:right="154"/>
              <w:spacing w:after="0"/>
              <w:rPr>
                <w:sz w:val="20"/>
                <w:szCs w:val="20"/>
                <w:color w:val="auto"/>
              </w:rPr>
            </w:pPr>
            <w:r>
              <w:rPr>
                <w:rFonts w:ascii="Arial" w:cs="Arial" w:eastAsia="Arial" w:hAnsi="Arial"/>
                <w:sz w:val="13"/>
                <w:szCs w:val="13"/>
                <w:color w:val="auto"/>
              </w:rPr>
              <w:t>16,878</w:t>
            </w:r>
          </w:p>
        </w:tc>
        <w:tc>
          <w:tcPr>
            <w:tcW w:w="260" w:type="dxa"/>
            <w:vAlign w:val="bottom"/>
          </w:tcPr>
          <w:p>
            <w:pPr>
              <w:spacing w:after="0"/>
              <w:rPr>
                <w:sz w:val="14"/>
                <w:szCs w:val="14"/>
                <w:color w:val="auto"/>
              </w:rPr>
            </w:pPr>
          </w:p>
        </w:tc>
        <w:tc>
          <w:tcPr>
            <w:tcW w:w="1240" w:type="dxa"/>
            <w:vAlign w:val="bottom"/>
          </w:tcPr>
          <w:p>
            <w:pPr>
              <w:ind w:left="9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220" w:type="dxa"/>
            <w:vAlign w:val="bottom"/>
          </w:tcPr>
          <w:p>
            <w:pPr>
              <w:ind w:left="8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220" w:type="dxa"/>
            <w:vAlign w:val="bottom"/>
          </w:tcPr>
          <w:p>
            <w:pPr>
              <w:ind w:left="88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1100" w:type="dxa"/>
            <w:vAlign w:val="bottom"/>
          </w:tcPr>
          <w:p>
            <w:pPr>
              <w:jc w:val="right"/>
              <w:ind w:right="94"/>
              <w:spacing w:after="0"/>
              <w:rPr>
                <w:sz w:val="20"/>
                <w:szCs w:val="20"/>
                <w:color w:val="auto"/>
              </w:rPr>
            </w:pPr>
            <w:r>
              <w:rPr>
                <w:rFonts w:ascii="Arial" w:cs="Arial" w:eastAsia="Arial" w:hAnsi="Arial"/>
                <w:sz w:val="13"/>
                <w:szCs w:val="13"/>
                <w:color w:val="auto"/>
              </w:rPr>
              <w:t>16,878</w:t>
            </w:r>
          </w:p>
        </w:tc>
      </w:tr>
      <w:tr>
        <w:trPr>
          <w:trHeight w:val="178"/>
        </w:trPr>
        <w:tc>
          <w:tcPr>
            <w:tcW w:w="3920" w:type="dxa"/>
            <w:vAlign w:val="bottom"/>
            <w:shd w:val="clear" w:color="auto" w:fill="E7E7E8"/>
          </w:tcPr>
          <w:p>
            <w:pPr>
              <w:ind w:left="20"/>
              <w:spacing w:after="0"/>
              <w:rPr>
                <w:sz w:val="20"/>
                <w:szCs w:val="20"/>
                <w:color w:val="auto"/>
              </w:rPr>
            </w:pPr>
            <w:r>
              <w:rPr>
                <w:rFonts w:ascii="Arial" w:cs="Arial" w:eastAsia="Arial" w:hAnsi="Arial"/>
                <w:sz w:val="13"/>
                <w:szCs w:val="13"/>
                <w:color w:val="auto"/>
              </w:rPr>
              <w:t>Average portable storage utilization rate</w:t>
            </w:r>
          </w:p>
        </w:tc>
        <w:tc>
          <w:tcPr>
            <w:tcW w:w="200" w:type="dxa"/>
            <w:vAlign w:val="bottom"/>
            <w:shd w:val="clear" w:color="auto" w:fill="E7E7E8"/>
          </w:tcPr>
          <w:p>
            <w:pPr>
              <w:spacing w:after="0"/>
              <w:rPr>
                <w:sz w:val="15"/>
                <w:szCs w:val="15"/>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3"/>
                <w:szCs w:val="13"/>
                <w:color w:val="auto"/>
              </w:rPr>
              <w:t>65.8 %</w:t>
            </w:r>
          </w:p>
        </w:tc>
        <w:tc>
          <w:tcPr>
            <w:tcW w:w="260" w:type="dxa"/>
            <w:vAlign w:val="bottom"/>
            <w:shd w:val="clear" w:color="auto" w:fill="E7E7E8"/>
          </w:tcPr>
          <w:p>
            <w:pPr>
              <w:spacing w:after="0"/>
              <w:rPr>
                <w:sz w:val="15"/>
                <w:szCs w:val="15"/>
                <w:color w:val="auto"/>
              </w:rPr>
            </w:pPr>
          </w:p>
        </w:tc>
        <w:tc>
          <w:tcPr>
            <w:tcW w:w="1240" w:type="dxa"/>
            <w:vAlign w:val="bottom"/>
            <w:shd w:val="clear" w:color="auto" w:fill="E7E7E8"/>
          </w:tcPr>
          <w:p>
            <w:pPr>
              <w:ind w:left="900"/>
              <w:spacing w:after="0"/>
              <w:rPr>
                <w:sz w:val="20"/>
                <w:szCs w:val="20"/>
                <w:color w:val="auto"/>
              </w:rPr>
            </w:pPr>
            <w:r>
              <w:rPr>
                <w:rFonts w:ascii="Arial" w:cs="Arial" w:eastAsia="Arial" w:hAnsi="Arial"/>
                <w:sz w:val="13"/>
                <w:szCs w:val="13"/>
                <w:color w:val="auto"/>
              </w:rPr>
              <w:t>— %</w:t>
            </w:r>
          </w:p>
        </w:tc>
        <w:tc>
          <w:tcPr>
            <w:tcW w:w="260" w:type="dxa"/>
            <w:vAlign w:val="bottom"/>
            <w:shd w:val="clear" w:color="auto" w:fill="E7E7E8"/>
          </w:tcPr>
          <w:p>
            <w:pPr>
              <w:spacing w:after="0"/>
              <w:rPr>
                <w:sz w:val="15"/>
                <w:szCs w:val="15"/>
                <w:color w:val="auto"/>
              </w:rPr>
            </w:pPr>
          </w:p>
        </w:tc>
        <w:tc>
          <w:tcPr>
            <w:tcW w:w="1220" w:type="dxa"/>
            <w:vAlign w:val="bottom"/>
            <w:shd w:val="clear" w:color="auto" w:fill="E7E7E8"/>
          </w:tcPr>
          <w:p>
            <w:pPr>
              <w:ind w:left="860"/>
              <w:spacing w:after="0"/>
              <w:rPr>
                <w:sz w:val="20"/>
                <w:szCs w:val="20"/>
                <w:color w:val="auto"/>
              </w:rPr>
            </w:pPr>
            <w:r>
              <w:rPr>
                <w:rFonts w:ascii="Arial" w:cs="Arial" w:eastAsia="Arial" w:hAnsi="Arial"/>
                <w:sz w:val="13"/>
                <w:szCs w:val="13"/>
                <w:color w:val="auto"/>
              </w:rPr>
              <w:t>— %</w:t>
            </w:r>
          </w:p>
        </w:tc>
        <w:tc>
          <w:tcPr>
            <w:tcW w:w="240" w:type="dxa"/>
            <w:vAlign w:val="bottom"/>
            <w:shd w:val="clear" w:color="auto" w:fill="E7E7E8"/>
          </w:tcPr>
          <w:p>
            <w:pPr>
              <w:spacing w:after="0"/>
              <w:rPr>
                <w:sz w:val="15"/>
                <w:szCs w:val="15"/>
                <w:color w:val="auto"/>
              </w:rPr>
            </w:pPr>
          </w:p>
        </w:tc>
        <w:tc>
          <w:tcPr>
            <w:tcW w:w="1220" w:type="dxa"/>
            <w:vAlign w:val="bottom"/>
            <w:shd w:val="clear" w:color="auto" w:fill="E7E7E8"/>
          </w:tcPr>
          <w:p>
            <w:pPr>
              <w:ind w:left="880"/>
              <w:spacing w:after="0"/>
              <w:rPr>
                <w:sz w:val="20"/>
                <w:szCs w:val="20"/>
                <w:color w:val="auto"/>
              </w:rPr>
            </w:pPr>
            <w:r>
              <w:rPr>
                <w:rFonts w:ascii="Arial" w:cs="Arial" w:eastAsia="Arial" w:hAnsi="Arial"/>
                <w:sz w:val="13"/>
                <w:szCs w:val="13"/>
                <w:color w:val="auto"/>
              </w:rPr>
              <w:t>— %</w:t>
            </w:r>
          </w:p>
        </w:tc>
        <w:tc>
          <w:tcPr>
            <w:tcW w:w="380" w:type="dxa"/>
            <w:vAlign w:val="bottom"/>
            <w:shd w:val="clear" w:color="auto" w:fill="E7E7E8"/>
          </w:tcPr>
          <w:p>
            <w:pPr>
              <w:spacing w:after="0"/>
              <w:rPr>
                <w:sz w:val="15"/>
                <w:szCs w:val="15"/>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3"/>
                <w:szCs w:val="13"/>
                <w:color w:val="auto"/>
              </w:rPr>
              <w:t>65.8 %</w:t>
            </w:r>
          </w:p>
        </w:tc>
      </w:tr>
      <w:tr>
        <w:trPr>
          <w:trHeight w:val="172"/>
        </w:trPr>
        <w:tc>
          <w:tcPr>
            <w:tcW w:w="3920" w:type="dxa"/>
            <w:vAlign w:val="bottom"/>
          </w:tcPr>
          <w:p>
            <w:pPr>
              <w:ind w:left="20"/>
              <w:spacing w:after="0"/>
              <w:rPr>
                <w:sz w:val="20"/>
                <w:szCs w:val="20"/>
                <w:color w:val="auto"/>
              </w:rPr>
            </w:pPr>
            <w:r>
              <w:rPr>
                <w:rFonts w:ascii="Arial" w:cs="Arial" w:eastAsia="Arial" w:hAnsi="Arial"/>
                <w:sz w:val="13"/>
                <w:szCs w:val="13"/>
                <w:color w:val="auto"/>
              </w:rPr>
              <w:t>Average portable storage monthly rental rate</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240" w:type="dxa"/>
            <w:vAlign w:val="bottom"/>
          </w:tcPr>
          <w:p>
            <w:pPr>
              <w:jc w:val="right"/>
              <w:ind w:right="154"/>
              <w:spacing w:after="0"/>
              <w:rPr>
                <w:sz w:val="20"/>
                <w:szCs w:val="20"/>
                <w:color w:val="auto"/>
              </w:rPr>
            </w:pPr>
            <w:r>
              <w:rPr>
                <w:rFonts w:ascii="Arial" w:cs="Arial" w:eastAsia="Arial" w:hAnsi="Arial"/>
                <w:sz w:val="13"/>
                <w:szCs w:val="13"/>
                <w:color w:val="auto"/>
              </w:rPr>
              <w:t>120</w:t>
            </w: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40" w:type="dxa"/>
            <w:vAlign w:val="bottom"/>
          </w:tcPr>
          <w:p>
            <w:pPr>
              <w:ind w:left="90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220" w:type="dxa"/>
            <w:vAlign w:val="bottom"/>
          </w:tcPr>
          <w:p>
            <w:pPr>
              <w:ind w:left="86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20" w:type="dxa"/>
            <w:vAlign w:val="bottom"/>
          </w:tcPr>
          <w:p>
            <w:pPr>
              <w:ind w:left="880"/>
              <w:spacing w:after="0"/>
              <w:rPr>
                <w:sz w:val="20"/>
                <w:szCs w:val="20"/>
                <w:color w:val="auto"/>
              </w:rPr>
            </w:pPr>
            <w:r>
              <w:rPr>
                <w:rFonts w:ascii="Arial" w:cs="Arial" w:eastAsia="Arial" w:hAnsi="Arial"/>
                <w:sz w:val="13"/>
                <w:szCs w:val="13"/>
                <w:color w:val="auto"/>
              </w:rPr>
              <w:t>—</w:t>
            </w:r>
          </w:p>
        </w:tc>
        <w:tc>
          <w:tcPr>
            <w:tcW w:w="38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94"/>
              <w:spacing w:after="0"/>
              <w:rPr>
                <w:sz w:val="20"/>
                <w:szCs w:val="20"/>
                <w:color w:val="auto"/>
              </w:rPr>
            </w:pPr>
            <w:r>
              <w:rPr>
                <w:rFonts w:ascii="Arial" w:cs="Arial" w:eastAsia="Arial" w:hAnsi="Arial"/>
                <w:sz w:val="13"/>
                <w:szCs w:val="13"/>
                <w:color w:val="auto"/>
              </w:rPr>
              <w:t>120</w:t>
            </w:r>
          </w:p>
        </w:tc>
      </w:tr>
      <w:tr>
        <w:trPr>
          <w:trHeight w:val="146"/>
        </w:trPr>
        <w:tc>
          <w:tcPr>
            <w:tcW w:w="3920" w:type="dxa"/>
            <w:vAlign w:val="bottom"/>
            <w:shd w:val="clear" w:color="auto" w:fill="E7E7E8"/>
          </w:tcPr>
          <w:p>
            <w:pPr>
              <w:ind w:left="20"/>
              <w:spacing w:after="0" w:line="147" w:lineRule="exact"/>
              <w:rPr>
                <w:sz w:val="20"/>
                <w:szCs w:val="20"/>
                <w:color w:val="auto"/>
              </w:rPr>
            </w:pPr>
            <w:r>
              <w:rPr>
                <w:rFonts w:ascii="Arial" w:cs="Arial" w:eastAsia="Arial" w:hAnsi="Arial"/>
                <w:sz w:val="13"/>
                <w:szCs w:val="13"/>
                <w:color w:val="auto"/>
              </w:rPr>
              <w:t>Average tank and pump solutions rental fleet utilization based on</w:t>
            </w:r>
          </w:p>
        </w:tc>
        <w:tc>
          <w:tcPr>
            <w:tcW w:w="200" w:type="dxa"/>
            <w:vAlign w:val="bottom"/>
            <w:shd w:val="clear" w:color="auto" w:fill="E7E7E8"/>
          </w:tcPr>
          <w:p>
            <w:pPr>
              <w:spacing w:after="0"/>
              <w:rPr>
                <w:sz w:val="12"/>
                <w:szCs w:val="12"/>
                <w:color w:val="auto"/>
              </w:rPr>
            </w:pPr>
          </w:p>
        </w:tc>
        <w:tc>
          <w:tcPr>
            <w:tcW w:w="1240" w:type="dxa"/>
            <w:vAlign w:val="bottom"/>
            <w:shd w:val="clear" w:color="auto" w:fill="E7E7E8"/>
          </w:tcPr>
          <w:p>
            <w:pPr>
              <w:spacing w:after="0"/>
              <w:rPr>
                <w:sz w:val="12"/>
                <w:szCs w:val="12"/>
                <w:color w:val="auto"/>
              </w:rPr>
            </w:pPr>
          </w:p>
        </w:tc>
        <w:tc>
          <w:tcPr>
            <w:tcW w:w="260" w:type="dxa"/>
            <w:vAlign w:val="bottom"/>
            <w:shd w:val="clear" w:color="auto" w:fill="E7E7E8"/>
          </w:tcPr>
          <w:p>
            <w:pPr>
              <w:spacing w:after="0"/>
              <w:rPr>
                <w:sz w:val="12"/>
                <w:szCs w:val="12"/>
                <w:color w:val="auto"/>
              </w:rPr>
            </w:pPr>
          </w:p>
        </w:tc>
        <w:tc>
          <w:tcPr>
            <w:tcW w:w="1240" w:type="dxa"/>
            <w:vAlign w:val="bottom"/>
            <w:shd w:val="clear" w:color="auto" w:fill="E7E7E8"/>
          </w:tcPr>
          <w:p>
            <w:pPr>
              <w:spacing w:after="0"/>
              <w:rPr>
                <w:sz w:val="12"/>
                <w:szCs w:val="12"/>
                <w:color w:val="auto"/>
              </w:rPr>
            </w:pPr>
          </w:p>
        </w:tc>
        <w:tc>
          <w:tcPr>
            <w:tcW w:w="260" w:type="dxa"/>
            <w:vAlign w:val="bottom"/>
            <w:shd w:val="clear" w:color="auto" w:fill="E7E7E8"/>
          </w:tcPr>
          <w:p>
            <w:pPr>
              <w:spacing w:after="0"/>
              <w:rPr>
                <w:sz w:val="12"/>
                <w:szCs w:val="12"/>
                <w:color w:val="auto"/>
              </w:rPr>
            </w:pPr>
          </w:p>
        </w:tc>
        <w:tc>
          <w:tcPr>
            <w:tcW w:w="1220" w:type="dxa"/>
            <w:vAlign w:val="bottom"/>
            <w:shd w:val="clear" w:color="auto" w:fill="E7E7E8"/>
          </w:tcPr>
          <w:p>
            <w:pPr>
              <w:spacing w:after="0"/>
              <w:rPr>
                <w:sz w:val="12"/>
                <w:szCs w:val="12"/>
                <w:color w:val="auto"/>
              </w:rPr>
            </w:pPr>
          </w:p>
        </w:tc>
        <w:tc>
          <w:tcPr>
            <w:tcW w:w="240" w:type="dxa"/>
            <w:vAlign w:val="bottom"/>
            <w:shd w:val="clear" w:color="auto" w:fill="E7E7E8"/>
          </w:tcPr>
          <w:p>
            <w:pPr>
              <w:spacing w:after="0"/>
              <w:rPr>
                <w:sz w:val="12"/>
                <w:szCs w:val="12"/>
                <w:color w:val="auto"/>
              </w:rPr>
            </w:pPr>
          </w:p>
        </w:tc>
        <w:tc>
          <w:tcPr>
            <w:tcW w:w="1220" w:type="dxa"/>
            <w:vAlign w:val="bottom"/>
            <w:shd w:val="clear" w:color="auto" w:fill="E7E7E8"/>
          </w:tcPr>
          <w:p>
            <w:pPr>
              <w:spacing w:after="0"/>
              <w:rPr>
                <w:sz w:val="12"/>
                <w:szCs w:val="12"/>
                <w:color w:val="auto"/>
              </w:rPr>
            </w:pPr>
          </w:p>
        </w:tc>
        <w:tc>
          <w:tcPr>
            <w:tcW w:w="380" w:type="dxa"/>
            <w:vAlign w:val="bottom"/>
            <w:shd w:val="clear" w:color="auto" w:fill="E7E7E8"/>
          </w:tcPr>
          <w:p>
            <w:pPr>
              <w:spacing w:after="0"/>
              <w:rPr>
                <w:sz w:val="12"/>
                <w:szCs w:val="12"/>
                <w:color w:val="auto"/>
              </w:rPr>
            </w:pPr>
          </w:p>
        </w:tc>
        <w:tc>
          <w:tcPr>
            <w:tcW w:w="1100" w:type="dxa"/>
            <w:vAlign w:val="bottom"/>
            <w:shd w:val="clear" w:color="auto" w:fill="E7E7E8"/>
          </w:tcPr>
          <w:p>
            <w:pPr>
              <w:spacing w:after="0"/>
              <w:rPr>
                <w:sz w:val="12"/>
                <w:szCs w:val="12"/>
                <w:color w:val="auto"/>
              </w:rPr>
            </w:pPr>
          </w:p>
        </w:tc>
      </w:tr>
      <w:tr>
        <w:trPr>
          <w:trHeight w:val="162"/>
        </w:trPr>
        <w:tc>
          <w:tcPr>
            <w:tcW w:w="3920" w:type="dxa"/>
            <w:vAlign w:val="bottom"/>
            <w:shd w:val="clear" w:color="auto" w:fill="E7E7E8"/>
          </w:tcPr>
          <w:p>
            <w:pPr>
              <w:ind w:left="20"/>
              <w:spacing w:after="0"/>
              <w:rPr>
                <w:sz w:val="20"/>
                <w:szCs w:val="20"/>
                <w:color w:val="auto"/>
              </w:rPr>
            </w:pPr>
            <w:r>
              <w:rPr>
                <w:rFonts w:ascii="Arial" w:cs="Arial" w:eastAsia="Arial" w:hAnsi="Arial"/>
                <w:sz w:val="13"/>
                <w:szCs w:val="13"/>
                <w:color w:val="auto"/>
              </w:rPr>
              <w:t>original equipment cost</w:t>
            </w:r>
          </w:p>
        </w:tc>
        <w:tc>
          <w:tcPr>
            <w:tcW w:w="200" w:type="dxa"/>
            <w:vAlign w:val="bottom"/>
            <w:shd w:val="clear" w:color="auto" w:fill="E7E7E8"/>
          </w:tcPr>
          <w:p>
            <w:pPr>
              <w:spacing w:after="0"/>
              <w:rPr>
                <w:sz w:val="14"/>
                <w:szCs w:val="14"/>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3"/>
                <w:szCs w:val="13"/>
                <w:color w:val="auto"/>
              </w:rPr>
              <w:t>N/A</w:t>
            </w:r>
          </w:p>
        </w:tc>
        <w:tc>
          <w:tcPr>
            <w:tcW w:w="260" w:type="dxa"/>
            <w:vAlign w:val="bottom"/>
            <w:shd w:val="clear" w:color="auto" w:fill="E7E7E8"/>
          </w:tcPr>
          <w:p>
            <w:pPr>
              <w:spacing w:after="0"/>
              <w:rPr>
                <w:sz w:val="14"/>
                <w:szCs w:val="14"/>
                <w:color w:val="auto"/>
              </w:rPr>
            </w:pPr>
          </w:p>
        </w:tc>
        <w:tc>
          <w:tcPr>
            <w:tcW w:w="1240" w:type="dxa"/>
            <w:vAlign w:val="bottom"/>
            <w:shd w:val="clear" w:color="auto" w:fill="E7E7E8"/>
          </w:tcPr>
          <w:p>
            <w:pPr>
              <w:ind w:left="960"/>
              <w:spacing w:after="0"/>
              <w:rPr>
                <w:sz w:val="20"/>
                <w:szCs w:val="20"/>
                <w:color w:val="auto"/>
              </w:rPr>
            </w:pPr>
            <w:r>
              <w:rPr>
                <w:rFonts w:ascii="Arial" w:cs="Arial" w:eastAsia="Arial" w:hAnsi="Arial"/>
                <w:sz w:val="13"/>
                <w:szCs w:val="13"/>
                <w:color w:val="auto"/>
              </w:rPr>
              <w:t>N/A</w:t>
            </w:r>
          </w:p>
        </w:tc>
        <w:tc>
          <w:tcPr>
            <w:tcW w:w="260" w:type="dxa"/>
            <w:vAlign w:val="bottom"/>
            <w:shd w:val="clear" w:color="auto" w:fill="E7E7E8"/>
          </w:tcPr>
          <w:p>
            <w:pPr>
              <w:spacing w:after="0"/>
              <w:rPr>
                <w:sz w:val="14"/>
                <w:szCs w:val="14"/>
                <w:color w:val="auto"/>
              </w:rPr>
            </w:pPr>
          </w:p>
        </w:tc>
        <w:tc>
          <w:tcPr>
            <w:tcW w:w="1220" w:type="dxa"/>
            <w:vAlign w:val="bottom"/>
            <w:shd w:val="clear" w:color="auto" w:fill="E7E7E8"/>
          </w:tcPr>
          <w:p>
            <w:pPr>
              <w:ind w:left="940"/>
              <w:spacing w:after="0"/>
              <w:rPr>
                <w:sz w:val="20"/>
                <w:szCs w:val="20"/>
                <w:color w:val="auto"/>
              </w:rPr>
            </w:pPr>
            <w:r>
              <w:rPr>
                <w:rFonts w:ascii="Arial" w:cs="Arial" w:eastAsia="Arial" w:hAnsi="Arial"/>
                <w:sz w:val="13"/>
                <w:szCs w:val="13"/>
                <w:color w:val="auto"/>
              </w:rPr>
              <w:t>N/A</w:t>
            </w:r>
          </w:p>
        </w:tc>
        <w:tc>
          <w:tcPr>
            <w:tcW w:w="240" w:type="dxa"/>
            <w:vAlign w:val="bottom"/>
            <w:shd w:val="clear" w:color="auto" w:fill="E7E7E8"/>
          </w:tcPr>
          <w:p>
            <w:pPr>
              <w:spacing w:after="0"/>
              <w:rPr>
                <w:sz w:val="14"/>
                <w:szCs w:val="14"/>
                <w:color w:val="auto"/>
              </w:rPr>
            </w:pPr>
          </w:p>
        </w:tc>
        <w:tc>
          <w:tcPr>
            <w:tcW w:w="1220" w:type="dxa"/>
            <w:vAlign w:val="bottom"/>
            <w:shd w:val="clear" w:color="auto" w:fill="E7E7E8"/>
          </w:tcPr>
          <w:p>
            <w:pPr>
              <w:ind w:left="880"/>
              <w:spacing w:after="0"/>
              <w:rPr>
                <w:sz w:val="20"/>
                <w:szCs w:val="20"/>
                <w:color w:val="auto"/>
              </w:rPr>
            </w:pPr>
            <w:r>
              <w:rPr>
                <w:rFonts w:ascii="Arial" w:cs="Arial" w:eastAsia="Arial" w:hAnsi="Arial"/>
                <w:sz w:val="13"/>
                <w:szCs w:val="13"/>
                <w:color w:val="auto"/>
              </w:rPr>
              <w:t>— %</w:t>
            </w:r>
          </w:p>
        </w:tc>
        <w:tc>
          <w:tcPr>
            <w:tcW w:w="380" w:type="dxa"/>
            <w:vAlign w:val="bottom"/>
            <w:shd w:val="clear" w:color="auto" w:fill="E7E7E8"/>
          </w:tcPr>
          <w:p>
            <w:pPr>
              <w:spacing w:after="0"/>
              <w:rPr>
                <w:sz w:val="14"/>
                <w:szCs w:val="14"/>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3"/>
                <w:szCs w:val="13"/>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50" w:name="page51"/>
    <w:bookmarkEnd w:id="50"/>
    <w:p>
      <w:pPr>
        <w:spacing w:after="0"/>
        <w:rPr>
          <w:sz w:val="20"/>
          <w:szCs w:val="20"/>
          <w:color w:val="auto"/>
        </w:rPr>
      </w:pPr>
      <w:r>
        <w:rPr>
          <w:rFonts w:ascii="Arial" w:cs="Arial" w:eastAsia="Arial" w:hAnsi="Arial"/>
          <w:sz w:val="15"/>
          <w:szCs w:val="15"/>
          <w:b w:val="1"/>
          <w:bCs w:val="1"/>
          <w:color w:val="auto"/>
        </w:rPr>
        <w:t>NA Modular Segment</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Comparison of Years Ended December 31, 2021 and 2020</w:t>
      </w:r>
    </w:p>
    <w:p>
      <w:pPr>
        <w:spacing w:after="0" w:line="47" w:lineRule="exact"/>
        <w:rPr>
          <w:sz w:val="20"/>
          <w:szCs w:val="20"/>
          <w:color w:val="auto"/>
        </w:rPr>
      </w:pPr>
    </w:p>
    <w:p>
      <w:pPr>
        <w:jc w:val="both"/>
        <w:ind w:firstLine="524"/>
        <w:spacing w:after="0" w:line="254" w:lineRule="auto"/>
        <w:rPr>
          <w:sz w:val="20"/>
          <w:szCs w:val="20"/>
          <w:color w:val="auto"/>
        </w:rPr>
      </w:pPr>
      <w:r>
        <w:rPr>
          <w:rFonts w:ascii="Arial" w:cs="Arial" w:eastAsia="Arial" w:hAnsi="Arial"/>
          <w:sz w:val="13"/>
          <w:szCs w:val="13"/>
          <w:b w:val="1"/>
          <w:bCs w:val="1"/>
          <w:i w:val="1"/>
          <w:iCs w:val="1"/>
          <w:color w:val="auto"/>
        </w:rPr>
        <w:t xml:space="preserve">Revenue: </w:t>
      </w:r>
      <w:r>
        <w:rPr>
          <w:rFonts w:ascii="Arial" w:cs="Arial" w:eastAsia="Arial" w:hAnsi="Arial"/>
          <w:sz w:val="13"/>
          <w:szCs w:val="13"/>
          <w:color w:val="auto"/>
        </w:rPr>
        <w:t>Total revenue increased $113.0 million, or 10.7%, to $1,164.2 million for the year ended December 31, 2021 from $1,051.2 million for the year ended December 31, 2020.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increase was primarily driven by increased leasing revenue of $94.6 million, or 12.3%, compared to 2020, increased delivery and installation revenue of $11.3 million, or 5.4% compared to 2020 and increased sales revenue of $7.1 million, or 9.8% compared to 2020. Average modular space monthly rental rates increased 18.1% for the year ended December 31, 2021 to $809 driven by continuation of the long-term price optimization and VAPS penetration opportunities across our portfolio. Improved pricing was partially offset by lower volumes as average modular space units on rent decreased by 2,350 units, or 2.7%, year over year. The decrease was driven primarily by lower delivery volumes in the first half of the year.</w:t>
      </w:r>
    </w:p>
    <w:p>
      <w:pPr>
        <w:spacing w:after="0" w:line="17" w:lineRule="exact"/>
        <w:rPr>
          <w:sz w:val="20"/>
          <w:szCs w:val="20"/>
          <w:color w:val="auto"/>
        </w:rPr>
      </w:pPr>
    </w:p>
    <w:p>
      <w:pPr>
        <w:jc w:val="both"/>
        <w:ind w:firstLine="524"/>
        <w:spacing w:after="0" w:line="257" w:lineRule="auto"/>
        <w:rPr>
          <w:sz w:val="20"/>
          <w:szCs w:val="20"/>
          <w:color w:val="auto"/>
        </w:rPr>
      </w:pPr>
      <w:r>
        <w:rPr>
          <w:rFonts w:ascii="Arial" w:cs="Arial" w:eastAsia="Arial" w:hAnsi="Arial"/>
          <w:sz w:val="13"/>
          <w:szCs w:val="13"/>
          <w:b w:val="1"/>
          <w:bCs w:val="1"/>
          <w:i w:val="1"/>
          <w:iCs w:val="1"/>
          <w:color w:val="auto"/>
        </w:rPr>
        <w:t xml:space="preserve">Gross Profit: </w:t>
      </w:r>
      <w:r>
        <w:rPr>
          <w:rFonts w:ascii="Arial" w:cs="Arial" w:eastAsia="Arial" w:hAnsi="Arial"/>
          <w:sz w:val="13"/>
          <w:szCs w:val="13"/>
          <w:color w:val="auto"/>
        </w:rPr>
        <w:t>Gross profit increased $44.8 million, or 9.9%, to $496.4 million for the year ended December 31, 2021 from $451.6 million for the year ended December 31, 2020.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increase in gross profit was driven by a $59.9 million increase in leasing gross profit driven by improved pricing and VAPS. The increase in gross profit from leasing revenues was partially offset by an $11.9 million increase in depreciation of rental equipment primarily as a result of capital investments made over the past twelve months in our existing rental equipment for the year ended December 31, 2021.</w:t>
      </w:r>
    </w:p>
    <w:p>
      <w:pPr>
        <w:spacing w:after="0" w:line="59" w:lineRule="exact"/>
        <w:rPr>
          <w:sz w:val="20"/>
          <w:szCs w:val="20"/>
          <w:color w:val="auto"/>
        </w:rPr>
      </w:pPr>
    </w:p>
    <w:p>
      <w:pPr>
        <w:jc w:val="both"/>
        <w:ind w:firstLine="524"/>
        <w:spacing w:after="0" w:line="264" w:lineRule="auto"/>
        <w:rPr>
          <w:sz w:val="20"/>
          <w:szCs w:val="20"/>
          <w:color w:val="auto"/>
        </w:rPr>
      </w:pPr>
      <w:r>
        <w:rPr>
          <w:rFonts w:ascii="Arial" w:cs="Arial" w:eastAsia="Arial" w:hAnsi="Arial"/>
          <w:sz w:val="13"/>
          <w:szCs w:val="13"/>
          <w:b w:val="1"/>
          <w:bCs w:val="1"/>
          <w:i w:val="1"/>
          <w:iCs w:val="1"/>
          <w:color w:val="auto"/>
        </w:rPr>
        <w:t xml:space="preserve">Adjusted EBITDA: </w:t>
      </w:r>
      <w:r>
        <w:rPr>
          <w:rFonts w:ascii="Arial" w:cs="Arial" w:eastAsia="Arial" w:hAnsi="Arial"/>
          <w:sz w:val="13"/>
          <w:szCs w:val="13"/>
          <w:color w:val="auto"/>
        </w:rPr>
        <w:t>Adjusted EBITDA increased $28.2 million, or 7.1%, to $423.0 million for the year ended December 31, 2021 from $394.8 million for the year ended December 31,</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2020. The increase was driven by higher leasing gross profits discussed above, partially offset by increases in SG&amp;A, excluding discrete and other items of $24.2 million. SG&amp;A increases were primarily related to increases in variable compensation of $8.5 million, occupancy costs of $4.3 million and office costs of $4.0 million.</w:t>
      </w:r>
    </w:p>
    <w:p>
      <w:pPr>
        <w:spacing w:after="0" w:line="53" w:lineRule="exact"/>
        <w:rPr>
          <w:sz w:val="20"/>
          <w:szCs w:val="20"/>
          <w:color w:val="auto"/>
        </w:rPr>
      </w:pPr>
    </w:p>
    <w:p>
      <w:pPr>
        <w:jc w:val="both"/>
        <w:ind w:firstLine="524"/>
        <w:spacing w:after="0" w:line="282" w:lineRule="auto"/>
        <w:rPr>
          <w:sz w:val="20"/>
          <w:szCs w:val="20"/>
          <w:color w:val="auto"/>
        </w:rPr>
      </w:pPr>
      <w:r>
        <w:rPr>
          <w:rFonts w:ascii="Arial" w:cs="Arial" w:eastAsia="Arial" w:hAnsi="Arial"/>
          <w:sz w:val="13"/>
          <w:szCs w:val="13"/>
          <w:b w:val="1"/>
          <w:bCs w:val="1"/>
          <w:i w:val="1"/>
          <w:iCs w:val="1"/>
          <w:color w:val="auto"/>
        </w:rPr>
        <w:t xml:space="preserve">Capex for rental equipment: </w:t>
      </w:r>
      <w:r>
        <w:rPr>
          <w:rFonts w:ascii="Arial" w:cs="Arial" w:eastAsia="Arial" w:hAnsi="Arial"/>
          <w:sz w:val="13"/>
          <w:szCs w:val="13"/>
          <w:color w:val="auto"/>
        </w:rPr>
        <w:t>Capex for rental equipment increased $34.2 million, or 22.3%, to $187.5 million for the year ended December 31, 2021 from $153.3 million for the year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ended December 31, 2020. Net CAPEX increased $21.1 million, or 17.4%, to $142.4 million. The increase was mainly driven by fleet and VAPS purchases, as well as refurbishments.</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Comparison of Years Ended December 31, 2020 and 2019</w:t>
      </w:r>
    </w:p>
    <w:p>
      <w:pPr>
        <w:spacing w:after="0" w:line="91"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b w:val="1"/>
          <w:bCs w:val="1"/>
          <w:i w:val="1"/>
          <w:iCs w:val="1"/>
          <w:color w:val="auto"/>
        </w:rPr>
        <w:t xml:space="preserve">Revenue: </w:t>
      </w:r>
      <w:r>
        <w:rPr>
          <w:rFonts w:ascii="Arial" w:cs="Arial" w:eastAsia="Arial" w:hAnsi="Arial"/>
          <w:sz w:val="13"/>
          <w:szCs w:val="13"/>
          <w:color w:val="auto"/>
        </w:rPr>
        <w:t>Total revenue decreased $12.5 million, or 1.2%, to $1,051.2 million for the year ended December 31, 2020 from $1,063.7 million for the year ended December 31, 2019.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decrease was primarily driven by declines in new unit sales revenue, which decreased $17.2 million, or 29.1%, compared to 2019, and by declines in rental unit sales revenue, which decreased $9.4 million, or 23.3%. Additionally, delivery and installation revenues declined $12.0 million, or 5.5%, driven by lower delivery volumes related to the impact of new project cancellations and delays as a result of COVID-19 global pandemic disruption on social and business activities. These declines were partially offset by an increase in leasing revenue of $26.1 million, or 3.5%. Average modular space monthly rental rates increased 11.6% for the year ended December 31, 2020 to $685 driven by continuation of the long-term price optimization and VAPS penetration opportunities across our portfolio. Improved pricing was partially offset by lower volumes as average modular space units on rent decreased by 4,808 units, or 5.2% year over year. The decrease was driven primarily by lower delivery volumes, including reduced demand for new projects since mid- March of 2020 as a result of COVID-19.</w:t>
      </w:r>
    </w:p>
    <w:p>
      <w:pPr>
        <w:spacing w:after="0" w:line="63" w:lineRule="exact"/>
        <w:rPr>
          <w:sz w:val="20"/>
          <w:szCs w:val="20"/>
          <w:color w:val="auto"/>
        </w:rPr>
      </w:pPr>
    </w:p>
    <w:p>
      <w:pPr>
        <w:jc w:val="both"/>
        <w:ind w:firstLine="524"/>
        <w:spacing w:after="0" w:line="257" w:lineRule="auto"/>
        <w:rPr>
          <w:sz w:val="20"/>
          <w:szCs w:val="20"/>
          <w:color w:val="auto"/>
        </w:rPr>
      </w:pPr>
      <w:r>
        <w:rPr>
          <w:rFonts w:ascii="Arial" w:cs="Arial" w:eastAsia="Arial" w:hAnsi="Arial"/>
          <w:sz w:val="13"/>
          <w:szCs w:val="13"/>
          <w:b w:val="1"/>
          <w:bCs w:val="1"/>
          <w:i w:val="1"/>
          <w:iCs w:val="1"/>
          <w:color w:val="auto"/>
        </w:rPr>
        <w:t xml:space="preserve">Gross Profit: </w:t>
      </w:r>
      <w:r>
        <w:rPr>
          <w:rFonts w:ascii="Arial" w:cs="Arial" w:eastAsia="Arial" w:hAnsi="Arial"/>
          <w:sz w:val="13"/>
          <w:szCs w:val="13"/>
          <w:color w:val="auto"/>
        </w:rPr>
        <w:t>Gross profit increased $38.3 million, or 9.3%, to $451.6 million for the year ended December 31, 2020 from $413.3 million for the year ended December 31, 2019.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increase in gross profit was driven by a $44.9 million increase in leasing gross profit driven by improved pricing and VAPS, as well as by lower modular leasing cost due to lower delivery demand in the second and third quarter of 2020 and reduced variable costs. The increase in gross profit from leasing revenues was partially offset by a $7.9 million increase in depreciation of rental equipment primarily as a result of capital investments made over the past twelve months in our existing rental equipment for the year ended December 31, 2020.</w:t>
      </w:r>
    </w:p>
    <w:p>
      <w:pPr>
        <w:spacing w:after="0" w:line="59" w:lineRule="exact"/>
        <w:rPr>
          <w:sz w:val="20"/>
          <w:szCs w:val="20"/>
          <w:color w:val="auto"/>
        </w:rPr>
      </w:pPr>
    </w:p>
    <w:p>
      <w:pPr>
        <w:jc w:val="both"/>
        <w:ind w:firstLine="524"/>
        <w:spacing w:after="0" w:line="257" w:lineRule="auto"/>
        <w:rPr>
          <w:sz w:val="20"/>
          <w:szCs w:val="20"/>
          <w:color w:val="auto"/>
        </w:rPr>
      </w:pPr>
      <w:r>
        <w:rPr>
          <w:rFonts w:ascii="Arial" w:cs="Arial" w:eastAsia="Arial" w:hAnsi="Arial"/>
          <w:sz w:val="13"/>
          <w:szCs w:val="13"/>
          <w:b w:val="1"/>
          <w:bCs w:val="1"/>
          <w:i w:val="1"/>
          <w:iCs w:val="1"/>
          <w:color w:val="auto"/>
        </w:rPr>
        <w:t xml:space="preserve">Adjusted EBITDA: </w:t>
      </w:r>
      <w:r>
        <w:rPr>
          <w:rFonts w:ascii="Arial" w:cs="Arial" w:eastAsia="Arial" w:hAnsi="Arial"/>
          <w:sz w:val="13"/>
          <w:szCs w:val="13"/>
          <w:color w:val="auto"/>
        </w:rPr>
        <w:t>Adjusted EBITDA increased $38.3 million, or 10.7%, to $394.8 million for the year ended December 31, 2020 from $356.5 million for the year ended December 31,</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2019. The increase was driven by higher leasing gross profits discussed above, partially offset by increases in SG&amp;A, excluding discrete and other items, of $6.8 million. SG&amp;A increases were primarily related to increases in occupancy and office costs, insurance costs, and increased bad debt expense, partially offset by decreased travel and entertainment costs due to the COVID-19 pandemic.</w:t>
      </w:r>
    </w:p>
    <w:p>
      <w:pPr>
        <w:spacing w:after="0" w:line="59" w:lineRule="exact"/>
        <w:rPr>
          <w:sz w:val="20"/>
          <w:szCs w:val="20"/>
          <w:color w:val="auto"/>
        </w:rPr>
      </w:pPr>
    </w:p>
    <w:p>
      <w:pPr>
        <w:jc w:val="both"/>
        <w:ind w:firstLine="524"/>
        <w:spacing w:after="0" w:line="257" w:lineRule="auto"/>
        <w:rPr>
          <w:sz w:val="20"/>
          <w:szCs w:val="20"/>
          <w:color w:val="auto"/>
        </w:rPr>
      </w:pPr>
      <w:r>
        <w:rPr>
          <w:rFonts w:ascii="Arial" w:cs="Arial" w:eastAsia="Arial" w:hAnsi="Arial"/>
          <w:sz w:val="13"/>
          <w:szCs w:val="13"/>
          <w:b w:val="1"/>
          <w:bCs w:val="1"/>
          <w:i w:val="1"/>
          <w:iCs w:val="1"/>
          <w:color w:val="auto"/>
        </w:rPr>
        <w:t xml:space="preserve">Capex for rental equipment: </w:t>
      </w:r>
      <w:r>
        <w:rPr>
          <w:rFonts w:ascii="Arial" w:cs="Arial" w:eastAsia="Arial" w:hAnsi="Arial"/>
          <w:sz w:val="13"/>
          <w:szCs w:val="13"/>
          <w:color w:val="auto"/>
        </w:rPr>
        <w:t>Capex for rental equipment decreased $51.8 million, or 25.3%, to $153.3 million for the year ended December 31, 2020 from $205.1 million for the year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ended December 31, 2019. Net CAPEX also decreased $31.3 million, or 20.5%, to $121.3 million. The decreases for both were driven by decreased spend for refurbishments and VAPS due to less constrained fleet and reduced demand as a result of the COVID-19 pandemic, and cost improvements experienced over the prior year related to better unit selection and scoping on refurbishments. Decrease to Net CAPEX was also partially driven by lower demand for sales of rental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95" w:right="319" w:bottom="1440" w:gutter="0" w:footer="0" w:header="0"/>
        </w:sectPr>
      </w:pPr>
    </w:p>
    <w:bookmarkStart w:id="51" w:name="page52"/>
    <w:bookmarkEnd w:id="51"/>
    <w:p>
      <w:pPr>
        <w:spacing w:after="0"/>
        <w:rPr>
          <w:sz w:val="20"/>
          <w:szCs w:val="20"/>
          <w:color w:val="auto"/>
        </w:rPr>
      </w:pPr>
      <w:r>
        <w:rPr>
          <w:rFonts w:ascii="Arial" w:cs="Arial" w:eastAsia="Arial" w:hAnsi="Arial"/>
          <w:sz w:val="19"/>
          <w:szCs w:val="19"/>
          <w:color w:val="1D2758"/>
        </w:rPr>
        <w:t>Reconciliation of non-GAAP Financial Measures</w:t>
      </w:r>
    </w:p>
    <w:p>
      <w:pPr>
        <w:spacing w:after="0" w:line="42" w:lineRule="exact"/>
        <w:rPr>
          <w:sz w:val="20"/>
          <w:szCs w:val="20"/>
          <w:color w:val="auto"/>
        </w:rPr>
      </w:pPr>
    </w:p>
    <w:p>
      <w:pPr>
        <w:jc w:val="both"/>
        <w:ind w:firstLine="524"/>
        <w:spacing w:after="0" w:line="248" w:lineRule="auto"/>
        <w:rPr>
          <w:sz w:val="20"/>
          <w:szCs w:val="20"/>
          <w:color w:val="auto"/>
        </w:rPr>
      </w:pPr>
      <w:r>
        <w:rPr>
          <w:rFonts w:ascii="Arial" w:cs="Arial" w:eastAsia="Arial" w:hAnsi="Arial"/>
          <w:sz w:val="13"/>
          <w:szCs w:val="13"/>
          <w:color w:val="auto"/>
        </w:rPr>
        <w:t>In addition to using GAAP financial measurements, we use certain non-GAAP financial measures to evaluate our operating results. As such, we include in this Annual Report on Form 10-K reconciliations to their most directly comparable GAAP financial measures. Set forth below are definitions and reconciliations to the nearest comparable GAAP measure of certain non-GAAP financial measures used in this Annual Report on Form 10-K along with descriptions of why we believe these measures provide useful information to investors as well as a description of the limitations of these measures. Each of these non-GAAP financial measures has limitations as an analytical tool and should not be considered in isolation from, or as a substitute for analysis of, results reported under GAAP. Our measurements of these metrics may not be comparable to similarly titled measures of other companies.</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Adjusted EBITDA</w:t>
      </w:r>
    </w:p>
    <w:p>
      <w:pPr>
        <w:spacing w:after="0" w:line="66"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We define EBITDA as net income (loss) plus interest (income) expense, income tax expense (benefit), depreciation and amortization. Our adjusted EBITDA ("Adjusted EBITDA") reflects the following further adjustments to EBITDA to exclude certain non-cash items and the effect of what we consider transactions or events not related to our core business operations:</w:t>
      </w:r>
    </w:p>
    <w:p>
      <w:pPr>
        <w:spacing w:after="0" w:line="31" w:lineRule="exact"/>
        <w:rPr>
          <w:sz w:val="20"/>
          <w:szCs w:val="20"/>
          <w:color w:val="auto"/>
        </w:rPr>
      </w:pPr>
    </w:p>
    <w:p>
      <w:pPr>
        <w:ind w:left="1060" w:hanging="266"/>
        <w:spacing w:after="0" w:line="256" w:lineRule="auto"/>
        <w:tabs>
          <w:tab w:leader="none" w:pos="1051" w:val="left"/>
        </w:tabs>
        <w:numPr>
          <w:ilvl w:val="0"/>
          <w:numId w:val="20"/>
        </w:numPr>
        <w:rPr>
          <w:rFonts w:ascii="Arial" w:cs="Arial" w:eastAsia="Arial" w:hAnsi="Arial"/>
          <w:sz w:val="13"/>
          <w:szCs w:val="13"/>
          <w:color w:val="auto"/>
        </w:rPr>
      </w:pPr>
      <w:r>
        <w:rPr>
          <w:rFonts w:ascii="Arial" w:cs="Arial" w:eastAsia="Arial" w:hAnsi="Arial"/>
          <w:sz w:val="13"/>
          <w:szCs w:val="13"/>
          <w:color w:val="auto"/>
        </w:rPr>
        <w:t>Currency (gains) losses, net: on monetary assets and liabilities denominated in foreign currencies other than the subsidiaries’ functional currency. Substantially all such currency gains (losses) are unrealized and attributable to financings due to and from affiliated companies.</w:t>
      </w:r>
    </w:p>
    <w:p>
      <w:pPr>
        <w:spacing w:after="0" w:line="30" w:lineRule="exact"/>
        <w:rPr>
          <w:rFonts w:ascii="Arial" w:cs="Arial" w:eastAsia="Arial" w:hAnsi="Arial"/>
          <w:sz w:val="13"/>
          <w:szCs w:val="13"/>
          <w:color w:val="auto"/>
        </w:rPr>
      </w:pPr>
    </w:p>
    <w:p>
      <w:pPr>
        <w:ind w:left="1060" w:hanging="266"/>
        <w:spacing w:after="0" w:line="256" w:lineRule="auto"/>
        <w:tabs>
          <w:tab w:leader="none" w:pos="1051" w:val="left"/>
        </w:tabs>
        <w:numPr>
          <w:ilvl w:val="0"/>
          <w:numId w:val="20"/>
        </w:numPr>
        <w:rPr>
          <w:rFonts w:ascii="Arial" w:cs="Arial" w:eastAsia="Arial" w:hAnsi="Arial"/>
          <w:sz w:val="13"/>
          <w:szCs w:val="13"/>
          <w:color w:val="auto"/>
        </w:rPr>
      </w:pPr>
      <w:r>
        <w:rPr>
          <w:rFonts w:ascii="Arial" w:cs="Arial" w:eastAsia="Arial" w:hAnsi="Arial"/>
          <w:sz w:val="13"/>
          <w:szCs w:val="13"/>
          <w:color w:val="auto"/>
        </w:rPr>
        <w:t>Goodwill and other impairment charges related to non-cash costs associated with impairment charges to goodwill, other intangibles, rental fleet and property, plant and equipment.</w:t>
      </w:r>
    </w:p>
    <w:p>
      <w:pPr>
        <w:spacing w:after="0" w:line="30" w:lineRule="exact"/>
        <w:rPr>
          <w:rFonts w:ascii="Arial" w:cs="Arial" w:eastAsia="Arial" w:hAnsi="Arial"/>
          <w:sz w:val="13"/>
          <w:szCs w:val="13"/>
          <w:color w:val="auto"/>
        </w:rPr>
      </w:pPr>
    </w:p>
    <w:p>
      <w:pPr>
        <w:ind w:left="1060" w:hanging="266"/>
        <w:spacing w:after="0" w:line="256" w:lineRule="auto"/>
        <w:tabs>
          <w:tab w:leader="none" w:pos="1051" w:val="left"/>
        </w:tabs>
        <w:numPr>
          <w:ilvl w:val="0"/>
          <w:numId w:val="20"/>
        </w:numPr>
        <w:rPr>
          <w:rFonts w:ascii="Arial" w:cs="Arial" w:eastAsia="Arial" w:hAnsi="Arial"/>
          <w:sz w:val="13"/>
          <w:szCs w:val="13"/>
          <w:color w:val="auto"/>
        </w:rPr>
      </w:pPr>
      <w:r>
        <w:rPr>
          <w:rFonts w:ascii="Arial" w:cs="Arial" w:eastAsia="Arial" w:hAnsi="Arial"/>
          <w:sz w:val="13"/>
          <w:szCs w:val="13"/>
          <w:color w:val="auto"/>
        </w:rPr>
        <w:t>Restructuring costs, lease impairment expense, and other related charges associated with restructuring plans designed to streamline operations and reduce costs including employee and lease termination costs.</w:t>
      </w:r>
    </w:p>
    <w:p>
      <w:pPr>
        <w:spacing w:after="0" w:line="30" w:lineRule="exact"/>
        <w:rPr>
          <w:rFonts w:ascii="Arial" w:cs="Arial" w:eastAsia="Arial" w:hAnsi="Arial"/>
          <w:sz w:val="13"/>
          <w:szCs w:val="13"/>
          <w:color w:val="auto"/>
        </w:rPr>
      </w:pPr>
    </w:p>
    <w:p>
      <w:pPr>
        <w:ind w:left="1040" w:hanging="246"/>
        <w:spacing w:after="0"/>
        <w:tabs>
          <w:tab w:leader="none" w:pos="10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Transaction costs including legal and professional fees and other transaction specific related costs.</w:t>
      </w:r>
    </w:p>
    <w:p>
      <w:pPr>
        <w:spacing w:after="0" w:line="47" w:lineRule="exact"/>
        <w:rPr>
          <w:rFonts w:ascii="Arial" w:cs="Arial" w:eastAsia="Arial" w:hAnsi="Arial"/>
          <w:sz w:val="13"/>
          <w:szCs w:val="13"/>
          <w:color w:val="auto"/>
        </w:rPr>
      </w:pPr>
    </w:p>
    <w:p>
      <w:pPr>
        <w:ind w:left="1060" w:hanging="266"/>
        <w:spacing w:after="0" w:line="256" w:lineRule="auto"/>
        <w:tabs>
          <w:tab w:leader="none" w:pos="1051" w:val="left"/>
        </w:tabs>
        <w:numPr>
          <w:ilvl w:val="0"/>
          <w:numId w:val="20"/>
        </w:numPr>
        <w:rPr>
          <w:rFonts w:ascii="Arial" w:cs="Arial" w:eastAsia="Arial" w:hAnsi="Arial"/>
          <w:sz w:val="13"/>
          <w:szCs w:val="13"/>
          <w:color w:val="auto"/>
        </w:rPr>
      </w:pPr>
      <w:r>
        <w:rPr>
          <w:rFonts w:ascii="Arial" w:cs="Arial" w:eastAsia="Arial" w:hAnsi="Arial"/>
          <w:sz w:val="13"/>
          <w:szCs w:val="13"/>
          <w:color w:val="auto"/>
        </w:rPr>
        <w:t>Costs to integrate acquired companies, including outside professional fees, non-capitalized costs associated with system integrations, non-lease branch and fleet relocation expenses, employee training costs, and other costs required to realize cost or revenue synergies.</w:t>
      </w:r>
    </w:p>
    <w:p>
      <w:pPr>
        <w:spacing w:after="0" w:line="30" w:lineRule="exact"/>
        <w:rPr>
          <w:rFonts w:ascii="Arial" w:cs="Arial" w:eastAsia="Arial" w:hAnsi="Arial"/>
          <w:sz w:val="13"/>
          <w:szCs w:val="13"/>
          <w:color w:val="auto"/>
        </w:rPr>
      </w:pPr>
    </w:p>
    <w:p>
      <w:pPr>
        <w:ind w:left="1040" w:hanging="246"/>
        <w:spacing w:after="0"/>
        <w:tabs>
          <w:tab w:leader="none" w:pos="10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Non-cash charges for stock compensation plans.</w:t>
      </w:r>
    </w:p>
    <w:p>
      <w:pPr>
        <w:spacing w:after="0" w:line="47" w:lineRule="exact"/>
        <w:rPr>
          <w:rFonts w:ascii="Arial" w:cs="Arial" w:eastAsia="Arial" w:hAnsi="Arial"/>
          <w:sz w:val="13"/>
          <w:szCs w:val="13"/>
          <w:color w:val="auto"/>
        </w:rPr>
      </w:pPr>
    </w:p>
    <w:p>
      <w:pPr>
        <w:ind w:left="1040" w:hanging="246"/>
        <w:spacing w:after="0"/>
        <w:tabs>
          <w:tab w:leader="none" w:pos="10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Gains and losses resulting from changes in fair value and extinguishment of common stock warrant liabilities.</w:t>
      </w:r>
    </w:p>
    <w:p>
      <w:pPr>
        <w:spacing w:after="0" w:line="47" w:lineRule="exact"/>
        <w:rPr>
          <w:rFonts w:ascii="Arial" w:cs="Arial" w:eastAsia="Arial" w:hAnsi="Arial"/>
          <w:sz w:val="13"/>
          <w:szCs w:val="13"/>
          <w:color w:val="auto"/>
        </w:rPr>
      </w:pPr>
    </w:p>
    <w:p>
      <w:pPr>
        <w:ind w:left="1060" w:hanging="266"/>
        <w:spacing w:after="0" w:line="256" w:lineRule="auto"/>
        <w:tabs>
          <w:tab w:leader="none" w:pos="1051" w:val="left"/>
        </w:tabs>
        <w:numPr>
          <w:ilvl w:val="0"/>
          <w:numId w:val="20"/>
        </w:numPr>
        <w:rPr>
          <w:rFonts w:ascii="Arial" w:cs="Arial" w:eastAsia="Arial" w:hAnsi="Arial"/>
          <w:sz w:val="13"/>
          <w:szCs w:val="13"/>
          <w:color w:val="auto"/>
        </w:rPr>
      </w:pPr>
      <w:r>
        <w:rPr>
          <w:rFonts w:ascii="Arial" w:cs="Arial" w:eastAsia="Arial" w:hAnsi="Arial"/>
          <w:sz w:val="13"/>
          <w:szCs w:val="13"/>
          <w:color w:val="auto"/>
        </w:rPr>
        <w:t>Other expense, including consulting expenses related to certain one-time projects, financing costs not classified as interest expense, and gains and losses on disposals of property, plant, and equipment.</w:t>
      </w:r>
    </w:p>
    <w:p>
      <w:pPr>
        <w:spacing w:after="0" w:line="74"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Our Chief Operating Decision Maker ("CODM") evaluates business segment performance utilizing Adjusted EBITDA as shown in the reconciliation of the Company’s consolidated net income (loss) to Adjusted EBITDA below. Management believes that evaluating segment performance excluding such items is meaningful because it provides insight with respect to the intrinsic and ongoing operating results of the Company and captures the business performance of the segments, inclusive of indirect costs.</w:t>
      </w:r>
    </w:p>
    <w:p>
      <w:pPr>
        <w:spacing w:after="0" w:line="33"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Adjusted EBITDA has limitations as an analytical tool, and you should not consider the measure in isolation or as a substitute for net income (loss), cash flow from operations or other methods of analyzing WillScot Mobile Mini’s results as reported under US GAAP. Some of these limitations are:</w:t>
      </w:r>
    </w:p>
    <w:p>
      <w:pPr>
        <w:spacing w:after="0" w:line="31" w:lineRule="exact"/>
        <w:rPr>
          <w:sz w:val="20"/>
          <w:szCs w:val="20"/>
          <w:color w:val="auto"/>
        </w:rPr>
      </w:pPr>
    </w:p>
    <w:p>
      <w:pPr>
        <w:ind w:left="1040" w:hanging="246"/>
        <w:spacing w:after="0"/>
        <w:tabs>
          <w:tab w:leader="none" w:pos="10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Adjusted EBITDA does not reflect changes in, or cash requirements for our working capital needs;</w:t>
      </w:r>
    </w:p>
    <w:p>
      <w:pPr>
        <w:spacing w:after="0" w:line="47" w:lineRule="exact"/>
        <w:rPr>
          <w:rFonts w:ascii="Arial" w:cs="Arial" w:eastAsia="Arial" w:hAnsi="Arial"/>
          <w:sz w:val="13"/>
          <w:szCs w:val="13"/>
          <w:color w:val="auto"/>
        </w:rPr>
      </w:pPr>
    </w:p>
    <w:p>
      <w:pPr>
        <w:ind w:left="1040" w:hanging="246"/>
        <w:spacing w:after="0"/>
        <w:tabs>
          <w:tab w:leader="none" w:pos="10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Adjusted EBITDA does not reflect our interest expense, or the cash requirements necessary to service interest or principal payments, on our indebtedness;</w:t>
      </w:r>
    </w:p>
    <w:p>
      <w:pPr>
        <w:spacing w:after="0" w:line="47" w:lineRule="exact"/>
        <w:rPr>
          <w:rFonts w:ascii="Arial" w:cs="Arial" w:eastAsia="Arial" w:hAnsi="Arial"/>
          <w:sz w:val="13"/>
          <w:szCs w:val="13"/>
          <w:color w:val="auto"/>
        </w:rPr>
      </w:pPr>
    </w:p>
    <w:p>
      <w:pPr>
        <w:ind w:left="1040" w:hanging="246"/>
        <w:spacing w:after="0"/>
        <w:tabs>
          <w:tab w:leader="none" w:pos="10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Adjusted EBITDA does not reflect our tax expense or the cash requirements to pay our taxes;</w:t>
      </w:r>
    </w:p>
    <w:p>
      <w:pPr>
        <w:spacing w:after="0" w:line="47" w:lineRule="exact"/>
        <w:rPr>
          <w:rFonts w:ascii="Arial" w:cs="Arial" w:eastAsia="Arial" w:hAnsi="Arial"/>
          <w:sz w:val="13"/>
          <w:szCs w:val="13"/>
          <w:color w:val="auto"/>
        </w:rPr>
      </w:pPr>
    </w:p>
    <w:p>
      <w:pPr>
        <w:ind w:left="1040" w:hanging="246"/>
        <w:spacing w:after="0"/>
        <w:tabs>
          <w:tab w:leader="none" w:pos="10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Adjusted EBITDA does not reflect historical cash expenditures or future requirements for capital expenditures or contractual commitments;</w:t>
      </w:r>
    </w:p>
    <w:p>
      <w:pPr>
        <w:spacing w:after="0" w:line="47" w:lineRule="exact"/>
        <w:rPr>
          <w:rFonts w:ascii="Arial" w:cs="Arial" w:eastAsia="Arial" w:hAnsi="Arial"/>
          <w:sz w:val="13"/>
          <w:szCs w:val="13"/>
          <w:color w:val="auto"/>
        </w:rPr>
      </w:pPr>
    </w:p>
    <w:p>
      <w:pPr>
        <w:ind w:left="1040" w:hanging="246"/>
        <w:spacing w:after="0"/>
        <w:tabs>
          <w:tab w:leader="none" w:pos="10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Adjusted EBITDA does not reflect the impact on earnings or changes resulting from matters that we consider not to be indicative of our future operations;</w:t>
      </w:r>
    </w:p>
    <w:p>
      <w:pPr>
        <w:spacing w:after="0" w:line="47" w:lineRule="exact"/>
        <w:rPr>
          <w:rFonts w:ascii="Arial" w:cs="Arial" w:eastAsia="Arial" w:hAnsi="Arial"/>
          <w:sz w:val="13"/>
          <w:szCs w:val="13"/>
          <w:color w:val="auto"/>
        </w:rPr>
      </w:pPr>
    </w:p>
    <w:p>
      <w:pPr>
        <w:ind w:left="1060" w:hanging="266"/>
        <w:spacing w:after="0" w:line="256" w:lineRule="auto"/>
        <w:tabs>
          <w:tab w:leader="none" w:pos="1051" w:val="left"/>
        </w:tabs>
        <w:numPr>
          <w:ilvl w:val="0"/>
          <w:numId w:val="21"/>
        </w:numPr>
        <w:rPr>
          <w:rFonts w:ascii="Arial" w:cs="Arial" w:eastAsia="Arial" w:hAnsi="Arial"/>
          <w:sz w:val="13"/>
          <w:szCs w:val="13"/>
          <w:color w:val="auto"/>
        </w:rPr>
      </w:pPr>
      <w:r>
        <w:rPr>
          <w:rFonts w:ascii="Arial" w:cs="Arial" w:eastAsia="Arial" w:hAnsi="Arial"/>
          <w:sz w:val="13"/>
          <w:szCs w:val="13"/>
          <w:color w:val="auto"/>
        </w:rPr>
        <w:t>although depreciation and amortization are non-cash charges, the assets being depreciated and amortized will often have to be replaced in the future and Adjusted EBITDA does not reflect any cash requirements for such replacements; and</w:t>
      </w:r>
    </w:p>
    <w:p>
      <w:pPr>
        <w:spacing w:after="0" w:line="30" w:lineRule="exact"/>
        <w:rPr>
          <w:rFonts w:ascii="Arial" w:cs="Arial" w:eastAsia="Arial" w:hAnsi="Arial"/>
          <w:sz w:val="13"/>
          <w:szCs w:val="13"/>
          <w:color w:val="auto"/>
        </w:rPr>
      </w:pPr>
    </w:p>
    <w:p>
      <w:pPr>
        <w:ind w:left="1040" w:hanging="246"/>
        <w:spacing w:after="0"/>
        <w:tabs>
          <w:tab w:leader="none" w:pos="10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other companies in our industry may calculate Adjusted EBITDA differently, limiting its usefulness as a comparative measure.</w:t>
      </w:r>
    </w:p>
    <w:p>
      <w:pPr>
        <w:spacing w:after="0" w:line="47" w:lineRule="exact"/>
        <w:rPr>
          <w:sz w:val="20"/>
          <w:szCs w:val="20"/>
          <w:color w:val="auto"/>
        </w:rPr>
      </w:pPr>
    </w:p>
    <w:p>
      <w:pPr>
        <w:ind w:firstLine="524"/>
        <w:spacing w:after="0" w:line="256" w:lineRule="auto"/>
        <w:rPr>
          <w:sz w:val="20"/>
          <w:szCs w:val="20"/>
          <w:color w:val="auto"/>
        </w:rPr>
      </w:pPr>
      <w:r>
        <w:rPr>
          <w:rFonts w:ascii="Arial" w:cs="Arial" w:eastAsia="Arial" w:hAnsi="Arial"/>
          <w:sz w:val="13"/>
          <w:szCs w:val="13"/>
          <w:color w:val="auto"/>
        </w:rPr>
        <w:t>Because of these limitations, Adjusted EBITDA should not be considered as discretionary cash available to reinvest in the growth of our business or as measures of cash that will be available to meet our obligations.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52" w:name="page53"/>
    <w:bookmarkEnd w:id="52"/>
    <w:p>
      <w:pPr>
        <w:ind w:left="540"/>
        <w:spacing w:after="0"/>
        <w:rPr>
          <w:sz w:val="20"/>
          <w:szCs w:val="20"/>
          <w:color w:val="auto"/>
        </w:rPr>
      </w:pPr>
      <w:r>
        <w:rPr>
          <w:rFonts w:ascii="Arial" w:cs="Arial" w:eastAsia="Arial" w:hAnsi="Arial"/>
          <w:sz w:val="13"/>
          <w:szCs w:val="13"/>
          <w:color w:val="auto"/>
        </w:rPr>
        <w:t>The following tables provide an unaudited reconciliation of Net income (loss) to Adjusted EBITDA:</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180" w:type="dxa"/>
            <w:vAlign w:val="bottom"/>
            <w:shd w:val="clear" w:color="auto" w:fill="1D2758"/>
          </w:tcPr>
          <w:p>
            <w:pPr>
              <w:ind w:left="20"/>
              <w:spacing w:after="0"/>
              <w:rPr>
                <w:sz w:val="20"/>
                <w:szCs w:val="20"/>
                <w:color w:val="auto"/>
              </w:rPr>
            </w:pPr>
            <w:r>
              <w:rPr>
                <w:rFonts w:ascii="Arial" w:cs="Arial" w:eastAsia="Arial" w:hAnsi="Arial"/>
                <w:sz w:val="13"/>
                <w:szCs w:val="13"/>
                <w:b w:val="1"/>
                <w:bCs w:val="1"/>
                <w:color w:val="FFFFFF"/>
              </w:rPr>
              <w:t>2021</w:t>
            </w:r>
          </w:p>
        </w:tc>
        <w:tc>
          <w:tcPr>
            <w:tcW w:w="940" w:type="dxa"/>
            <w:vAlign w:val="bottom"/>
            <w:shd w:val="clear" w:color="auto" w:fill="1D2758"/>
          </w:tcPr>
          <w:p>
            <w:pPr>
              <w:spacing w:after="0"/>
              <w:rPr>
                <w:sz w:val="15"/>
                <w:szCs w:val="15"/>
                <w:color w:val="auto"/>
              </w:rPr>
            </w:pPr>
          </w:p>
        </w:tc>
        <w:tc>
          <w:tcPr>
            <w:tcW w:w="600" w:type="dxa"/>
            <w:vAlign w:val="bottom"/>
            <w:shd w:val="clear" w:color="auto" w:fill="1D2758"/>
          </w:tcPr>
          <w:p>
            <w:pPr>
              <w:spacing w:after="0"/>
              <w:rPr>
                <w:sz w:val="15"/>
                <w:szCs w:val="15"/>
                <w:color w:val="auto"/>
              </w:rPr>
            </w:pPr>
          </w:p>
        </w:tc>
        <w:tc>
          <w:tcPr>
            <w:tcW w:w="100" w:type="dxa"/>
            <w:vAlign w:val="bottom"/>
            <w:shd w:val="clear" w:color="auto" w:fill="1D2758"/>
          </w:tcPr>
          <w:p>
            <w:pPr>
              <w:spacing w:after="0"/>
              <w:rPr>
                <w:sz w:val="15"/>
                <w:szCs w:val="15"/>
                <w:color w:val="auto"/>
              </w:rPr>
            </w:pPr>
          </w:p>
        </w:tc>
        <w:tc>
          <w:tcPr>
            <w:tcW w:w="940" w:type="dxa"/>
            <w:vAlign w:val="bottom"/>
            <w:shd w:val="clear" w:color="auto" w:fill="1D2758"/>
          </w:tcPr>
          <w:p>
            <w:pPr>
              <w:spacing w:after="0"/>
              <w:rPr>
                <w:sz w:val="15"/>
                <w:szCs w:val="15"/>
                <w:color w:val="auto"/>
              </w:rPr>
            </w:pPr>
          </w:p>
        </w:tc>
        <w:tc>
          <w:tcPr>
            <w:tcW w:w="600" w:type="dxa"/>
            <w:vAlign w:val="bottom"/>
            <w:shd w:val="clear" w:color="auto" w:fill="1D2758"/>
          </w:tcPr>
          <w:p>
            <w:pPr>
              <w:spacing w:after="0"/>
              <w:rPr>
                <w:sz w:val="15"/>
                <w:szCs w:val="15"/>
                <w:color w:val="auto"/>
              </w:rPr>
            </w:pPr>
          </w:p>
        </w:tc>
        <w:tc>
          <w:tcPr>
            <w:tcW w:w="100" w:type="dxa"/>
            <w:vAlign w:val="bottom"/>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1160" w:type="dxa"/>
            <w:vAlign w:val="bottom"/>
            <w:shd w:val="clear" w:color="auto" w:fill="1D2758"/>
          </w:tcPr>
          <w:p>
            <w:pPr>
              <w:spacing w:after="0"/>
              <w:rPr>
                <w:sz w:val="15"/>
                <w:szCs w:val="15"/>
                <w:color w:val="auto"/>
              </w:rPr>
            </w:pPr>
          </w:p>
        </w:tc>
        <w:tc>
          <w:tcPr>
            <w:tcW w:w="100" w:type="dxa"/>
            <w:vAlign w:val="bottom"/>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116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300" w:type="dxa"/>
            <w:vAlign w:val="bottom"/>
            <w:shd w:val="clear" w:color="auto" w:fill="1D2758"/>
          </w:tcPr>
          <w:p>
            <w:pPr>
              <w:spacing w:after="0"/>
              <w:rPr>
                <w:sz w:val="15"/>
                <w:szCs w:val="15"/>
                <w:color w:val="auto"/>
              </w:rPr>
            </w:pPr>
          </w:p>
        </w:tc>
        <w:tc>
          <w:tcPr>
            <w:tcW w:w="1260" w:type="dxa"/>
            <w:vAlign w:val="bottom"/>
            <w:shd w:val="clear" w:color="auto" w:fill="1D2758"/>
          </w:tcPr>
          <w:p>
            <w:pPr>
              <w:spacing w:after="0"/>
              <w:rPr>
                <w:sz w:val="15"/>
                <w:szCs w:val="15"/>
                <w:color w:val="auto"/>
              </w:rPr>
            </w:pPr>
          </w:p>
        </w:tc>
      </w:tr>
      <w:tr>
        <w:trPr>
          <w:trHeight w:val="175"/>
        </w:trPr>
        <w:tc>
          <w:tcPr>
            <w:tcW w:w="318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940" w:type="dxa"/>
            <w:vAlign w:val="bottom"/>
            <w:shd w:val="clear" w:color="auto" w:fill="1D2758"/>
          </w:tcPr>
          <w:p>
            <w:pPr>
              <w:jc w:val="right"/>
              <w:ind w:right="14"/>
              <w:spacing w:after="0"/>
              <w:rPr>
                <w:sz w:val="20"/>
                <w:szCs w:val="20"/>
                <w:color w:val="auto"/>
              </w:rPr>
            </w:pPr>
            <w:r>
              <w:rPr>
                <w:rFonts w:ascii="Arial" w:cs="Arial" w:eastAsia="Arial" w:hAnsi="Arial"/>
                <w:sz w:val="13"/>
                <w:szCs w:val="13"/>
                <w:b w:val="1"/>
                <w:bCs w:val="1"/>
                <w:color w:val="FFFFFF"/>
              </w:rPr>
              <w:t>Q1</w:t>
            </w:r>
          </w:p>
        </w:tc>
        <w:tc>
          <w:tcPr>
            <w:tcW w:w="600" w:type="dxa"/>
            <w:vAlign w:val="bottom"/>
            <w:shd w:val="clear" w:color="auto" w:fill="1D2758"/>
          </w:tcPr>
          <w:p>
            <w:pPr>
              <w:spacing w:after="0"/>
              <w:rPr>
                <w:sz w:val="15"/>
                <w:szCs w:val="15"/>
                <w:color w:val="auto"/>
              </w:rPr>
            </w:pPr>
          </w:p>
        </w:tc>
        <w:tc>
          <w:tcPr>
            <w:tcW w:w="100" w:type="dxa"/>
            <w:vAlign w:val="bottom"/>
            <w:shd w:val="clear" w:color="auto" w:fill="1D2758"/>
          </w:tcPr>
          <w:p>
            <w:pPr>
              <w:spacing w:after="0"/>
              <w:rPr>
                <w:sz w:val="15"/>
                <w:szCs w:val="15"/>
                <w:color w:val="auto"/>
              </w:rPr>
            </w:pPr>
          </w:p>
        </w:tc>
        <w:tc>
          <w:tcPr>
            <w:tcW w:w="940" w:type="dxa"/>
            <w:vAlign w:val="bottom"/>
            <w:shd w:val="clear" w:color="auto" w:fill="1D2758"/>
          </w:tcPr>
          <w:p>
            <w:pPr>
              <w:jc w:val="right"/>
              <w:ind w:right="14"/>
              <w:spacing w:after="0"/>
              <w:rPr>
                <w:sz w:val="20"/>
                <w:szCs w:val="20"/>
                <w:color w:val="auto"/>
              </w:rPr>
            </w:pPr>
            <w:r>
              <w:rPr>
                <w:rFonts w:ascii="Arial" w:cs="Arial" w:eastAsia="Arial" w:hAnsi="Arial"/>
                <w:sz w:val="13"/>
                <w:szCs w:val="13"/>
                <w:b w:val="1"/>
                <w:bCs w:val="1"/>
                <w:color w:val="FFFFFF"/>
              </w:rPr>
              <w:t>Q2</w:t>
            </w:r>
          </w:p>
        </w:tc>
        <w:tc>
          <w:tcPr>
            <w:tcW w:w="600" w:type="dxa"/>
            <w:vAlign w:val="bottom"/>
            <w:shd w:val="clear" w:color="auto" w:fill="1D2758"/>
          </w:tcPr>
          <w:p>
            <w:pPr>
              <w:spacing w:after="0"/>
              <w:rPr>
                <w:sz w:val="15"/>
                <w:szCs w:val="15"/>
                <w:color w:val="auto"/>
              </w:rPr>
            </w:pPr>
          </w:p>
        </w:tc>
        <w:tc>
          <w:tcPr>
            <w:tcW w:w="100" w:type="dxa"/>
            <w:vAlign w:val="bottom"/>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1260" w:type="dxa"/>
            <w:vAlign w:val="bottom"/>
            <w:gridSpan w:val="2"/>
            <w:shd w:val="clear" w:color="auto" w:fill="1D2758"/>
          </w:tcPr>
          <w:p>
            <w:pPr>
              <w:ind w:left="300"/>
              <w:spacing w:after="0"/>
              <w:rPr>
                <w:sz w:val="20"/>
                <w:szCs w:val="20"/>
                <w:color w:val="auto"/>
              </w:rPr>
            </w:pPr>
            <w:r>
              <w:rPr>
                <w:rFonts w:ascii="Arial" w:cs="Arial" w:eastAsia="Arial" w:hAnsi="Arial"/>
                <w:sz w:val="13"/>
                <w:szCs w:val="13"/>
                <w:b w:val="1"/>
                <w:bCs w:val="1"/>
                <w:color w:val="FFFFFF"/>
              </w:rPr>
              <w:t>Q3</w:t>
            </w:r>
          </w:p>
        </w:tc>
        <w:tc>
          <w:tcPr>
            <w:tcW w:w="380" w:type="dxa"/>
            <w:vAlign w:val="bottom"/>
            <w:shd w:val="clear" w:color="auto" w:fill="1D2758"/>
          </w:tcPr>
          <w:p>
            <w:pPr>
              <w:spacing w:after="0"/>
              <w:rPr>
                <w:sz w:val="15"/>
                <w:szCs w:val="15"/>
                <w:color w:val="auto"/>
              </w:rPr>
            </w:pPr>
          </w:p>
        </w:tc>
        <w:tc>
          <w:tcPr>
            <w:tcW w:w="1240" w:type="dxa"/>
            <w:vAlign w:val="bottom"/>
            <w:gridSpan w:val="2"/>
            <w:shd w:val="clear" w:color="auto" w:fill="1D2758"/>
          </w:tcPr>
          <w:p>
            <w:pPr>
              <w:ind w:left="300"/>
              <w:spacing w:after="0"/>
              <w:rPr>
                <w:sz w:val="20"/>
                <w:szCs w:val="20"/>
                <w:color w:val="auto"/>
              </w:rPr>
            </w:pPr>
            <w:r>
              <w:rPr>
                <w:rFonts w:ascii="Arial" w:cs="Arial" w:eastAsia="Arial" w:hAnsi="Arial"/>
                <w:sz w:val="13"/>
                <w:szCs w:val="13"/>
                <w:b w:val="1"/>
                <w:bCs w:val="1"/>
                <w:color w:val="FFFFFF"/>
              </w:rPr>
              <w:t>Q4</w:t>
            </w:r>
          </w:p>
        </w:tc>
        <w:tc>
          <w:tcPr>
            <w:tcW w:w="300" w:type="dxa"/>
            <w:vAlign w:val="bottom"/>
            <w:shd w:val="clear" w:color="auto" w:fill="1D2758"/>
          </w:tcPr>
          <w:p>
            <w:pPr>
              <w:spacing w:after="0"/>
              <w:rPr>
                <w:sz w:val="15"/>
                <w:szCs w:val="15"/>
                <w:color w:val="auto"/>
              </w:rPr>
            </w:pPr>
          </w:p>
        </w:tc>
        <w:tc>
          <w:tcPr>
            <w:tcW w:w="1260" w:type="dxa"/>
            <w:vAlign w:val="bottom"/>
            <w:shd w:val="clear" w:color="auto" w:fill="1D2758"/>
          </w:tcPr>
          <w:p>
            <w:pPr>
              <w:jc w:val="right"/>
              <w:ind w:right="434"/>
              <w:spacing w:after="0"/>
              <w:rPr>
                <w:sz w:val="20"/>
                <w:szCs w:val="20"/>
                <w:color w:val="auto"/>
              </w:rPr>
            </w:pPr>
            <w:r>
              <w:rPr>
                <w:rFonts w:ascii="Arial" w:cs="Arial" w:eastAsia="Arial" w:hAnsi="Arial"/>
                <w:sz w:val="13"/>
                <w:szCs w:val="13"/>
                <w:b w:val="1"/>
                <w:bCs w:val="1"/>
                <w:color w:val="FFFFFF"/>
              </w:rPr>
              <w:t>Full Year</w:t>
            </w:r>
          </w:p>
        </w:tc>
      </w:tr>
      <w:tr>
        <w:trPr>
          <w:trHeight w:val="175"/>
        </w:trPr>
        <w:tc>
          <w:tcPr>
            <w:tcW w:w="3180" w:type="dxa"/>
            <w:vAlign w:val="bottom"/>
            <w:shd w:val="clear" w:color="auto" w:fill="DBDBDB"/>
          </w:tcPr>
          <w:p>
            <w:pPr>
              <w:ind w:left="20"/>
              <w:spacing w:after="0"/>
              <w:rPr>
                <w:sz w:val="20"/>
                <w:szCs w:val="20"/>
                <w:color w:val="auto"/>
              </w:rPr>
            </w:pPr>
            <w:r>
              <w:rPr>
                <w:rFonts w:ascii="Arial" w:cs="Arial" w:eastAsia="Arial" w:hAnsi="Arial"/>
                <w:sz w:val="13"/>
                <w:szCs w:val="13"/>
                <w:color w:val="auto"/>
              </w:rPr>
              <w:t>Net income</w:t>
            </w:r>
          </w:p>
        </w:tc>
        <w:tc>
          <w:tcPr>
            <w:tcW w:w="940" w:type="dxa"/>
            <w:vAlign w:val="bottom"/>
            <w:shd w:val="clear" w:color="auto" w:fill="DBDBDB"/>
          </w:tcPr>
          <w:p>
            <w:pPr>
              <w:jc w:val="right"/>
              <w:ind w:right="794"/>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4,447</w:t>
            </w:r>
          </w:p>
        </w:tc>
        <w:tc>
          <w:tcPr>
            <w:tcW w:w="100" w:type="dxa"/>
            <w:vAlign w:val="bottom"/>
            <w:shd w:val="clear" w:color="auto" w:fill="DBDBDB"/>
          </w:tcPr>
          <w:p>
            <w:pPr>
              <w:spacing w:after="0"/>
              <w:rPr>
                <w:sz w:val="15"/>
                <w:szCs w:val="15"/>
                <w:color w:val="auto"/>
              </w:rPr>
            </w:pPr>
          </w:p>
        </w:tc>
        <w:tc>
          <w:tcPr>
            <w:tcW w:w="940" w:type="dxa"/>
            <w:vAlign w:val="bottom"/>
            <w:shd w:val="clear" w:color="auto" w:fill="DBDBDB"/>
          </w:tcPr>
          <w:p>
            <w:pPr>
              <w:jc w:val="right"/>
              <w:ind w:right="794"/>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20,371</w:t>
            </w:r>
          </w:p>
        </w:tc>
        <w:tc>
          <w:tcPr>
            <w:tcW w:w="100" w:type="dxa"/>
            <w:vAlign w:val="bottom"/>
            <w:shd w:val="clear" w:color="auto" w:fill="DBDBDB"/>
          </w:tcPr>
          <w:p>
            <w:pPr>
              <w:spacing w:after="0"/>
              <w:rPr>
                <w:sz w:val="15"/>
                <w:szCs w:val="15"/>
                <w:color w:val="auto"/>
              </w:rPr>
            </w:pPr>
          </w:p>
        </w:tc>
        <w:tc>
          <w:tcPr>
            <w:tcW w:w="380" w:type="dxa"/>
            <w:vAlign w:val="bottom"/>
            <w:shd w:val="clear" w:color="auto" w:fill="DBDBDB"/>
          </w:tcPr>
          <w:p>
            <w:pPr>
              <w:jc w:val="right"/>
              <w:ind w:right="234"/>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61,103</w:t>
            </w:r>
          </w:p>
        </w:tc>
        <w:tc>
          <w:tcPr>
            <w:tcW w:w="100" w:type="dxa"/>
            <w:vAlign w:val="bottom"/>
            <w:shd w:val="clear" w:color="auto" w:fill="DBDBDB"/>
          </w:tcPr>
          <w:p>
            <w:pPr>
              <w:spacing w:after="0"/>
              <w:rPr>
                <w:sz w:val="15"/>
                <w:szCs w:val="15"/>
                <w:color w:val="auto"/>
              </w:rPr>
            </w:pPr>
          </w:p>
        </w:tc>
        <w:tc>
          <w:tcPr>
            <w:tcW w:w="380" w:type="dxa"/>
            <w:vAlign w:val="bottom"/>
            <w:shd w:val="clear" w:color="auto" w:fill="DBDBDB"/>
          </w:tcPr>
          <w:p>
            <w:pPr>
              <w:jc w:val="right"/>
              <w:ind w:right="234"/>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74,223</w:t>
            </w:r>
          </w:p>
        </w:tc>
        <w:tc>
          <w:tcPr>
            <w:tcW w:w="80" w:type="dxa"/>
            <w:vAlign w:val="bottom"/>
            <w:shd w:val="clear" w:color="auto" w:fill="DBDBDB"/>
          </w:tcPr>
          <w:p>
            <w:pPr>
              <w:spacing w:after="0"/>
              <w:rPr>
                <w:sz w:val="15"/>
                <w:szCs w:val="15"/>
                <w:color w:val="auto"/>
              </w:rPr>
            </w:pPr>
          </w:p>
        </w:tc>
        <w:tc>
          <w:tcPr>
            <w:tcW w:w="30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160,144</w:t>
            </w:r>
          </w:p>
        </w:tc>
      </w:tr>
      <w:tr>
        <w:trPr>
          <w:trHeight w:val="172"/>
        </w:trPr>
        <w:tc>
          <w:tcPr>
            <w:tcW w:w="3180" w:type="dxa"/>
            <w:vAlign w:val="bottom"/>
            <w:tcBorders>
              <w:bottom w:val="single" w:sz="8" w:color="DBDBDB"/>
            </w:tcBorders>
          </w:tcPr>
          <w:p>
            <w:pPr>
              <w:ind w:left="200"/>
              <w:spacing w:after="0"/>
              <w:rPr>
                <w:sz w:val="20"/>
                <w:szCs w:val="20"/>
                <w:color w:val="auto"/>
              </w:rPr>
            </w:pPr>
            <w:r>
              <w:rPr>
                <w:rFonts w:ascii="Arial" w:cs="Arial" w:eastAsia="Arial" w:hAnsi="Arial"/>
                <w:sz w:val="13"/>
                <w:szCs w:val="13"/>
                <w:color w:val="auto"/>
              </w:rPr>
              <w:t>Income tax expense</w:t>
            </w:r>
          </w:p>
        </w:tc>
        <w:tc>
          <w:tcPr>
            <w:tcW w:w="9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10,481</w:t>
            </w:r>
          </w:p>
        </w:tc>
        <w:tc>
          <w:tcPr>
            <w:tcW w:w="100" w:type="dxa"/>
            <w:vAlign w:val="bottom"/>
            <w:tcBorders>
              <w:bottom w:val="single" w:sz="8" w:color="DBDBDB"/>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18,828</w:t>
            </w:r>
          </w:p>
        </w:tc>
        <w:tc>
          <w:tcPr>
            <w:tcW w:w="100" w:type="dxa"/>
            <w:vAlign w:val="bottom"/>
            <w:tcBorders>
              <w:bottom w:val="single" w:sz="8" w:color="DBDBDB"/>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6,644</w:t>
            </w:r>
          </w:p>
        </w:tc>
        <w:tc>
          <w:tcPr>
            <w:tcW w:w="100" w:type="dxa"/>
            <w:vAlign w:val="bottom"/>
            <w:tcBorders>
              <w:bottom w:val="single" w:sz="8" w:color="DBDBDB"/>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13,593</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49,546</w:t>
            </w:r>
          </w:p>
        </w:tc>
      </w:tr>
      <w:tr>
        <w:trPr>
          <w:trHeight w:val="169"/>
        </w:trPr>
        <w:tc>
          <w:tcPr>
            <w:tcW w:w="3180" w:type="dxa"/>
            <w:vAlign w:val="bottom"/>
            <w:shd w:val="clear" w:color="auto" w:fill="DBDBDB"/>
          </w:tcPr>
          <w:p>
            <w:pPr>
              <w:ind w:left="20"/>
              <w:spacing w:after="0"/>
              <w:rPr>
                <w:sz w:val="20"/>
                <w:szCs w:val="20"/>
                <w:color w:val="auto"/>
              </w:rPr>
            </w:pPr>
            <w:r>
              <w:rPr>
                <w:rFonts w:ascii="Arial" w:cs="Arial" w:eastAsia="Arial" w:hAnsi="Arial"/>
                <w:sz w:val="13"/>
                <w:szCs w:val="13"/>
                <w:color w:val="auto"/>
              </w:rPr>
              <w:t>Income before income tax</w:t>
            </w:r>
          </w:p>
        </w:tc>
        <w:tc>
          <w:tcPr>
            <w:tcW w:w="940" w:type="dxa"/>
            <w:vAlign w:val="bottom"/>
            <w:shd w:val="clear" w:color="auto" w:fill="DBDBDB"/>
          </w:tcPr>
          <w:p>
            <w:pPr>
              <w:spacing w:after="0"/>
              <w:rPr>
                <w:sz w:val="14"/>
                <w:szCs w:val="14"/>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14,928</w:t>
            </w:r>
          </w:p>
        </w:tc>
        <w:tc>
          <w:tcPr>
            <w:tcW w:w="100" w:type="dxa"/>
            <w:vAlign w:val="bottom"/>
            <w:shd w:val="clear" w:color="auto" w:fill="DBDBDB"/>
          </w:tcPr>
          <w:p>
            <w:pPr>
              <w:spacing w:after="0"/>
              <w:rPr>
                <w:sz w:val="14"/>
                <w:szCs w:val="14"/>
                <w:color w:val="auto"/>
              </w:rPr>
            </w:pPr>
          </w:p>
        </w:tc>
        <w:tc>
          <w:tcPr>
            <w:tcW w:w="940" w:type="dxa"/>
            <w:vAlign w:val="bottom"/>
            <w:shd w:val="clear" w:color="auto" w:fill="DBDBDB"/>
          </w:tcPr>
          <w:p>
            <w:pPr>
              <w:spacing w:after="0"/>
              <w:rPr>
                <w:sz w:val="14"/>
                <w:szCs w:val="14"/>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39,199</w:t>
            </w:r>
          </w:p>
        </w:tc>
        <w:tc>
          <w:tcPr>
            <w:tcW w:w="10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67,747</w:t>
            </w:r>
          </w:p>
        </w:tc>
        <w:tc>
          <w:tcPr>
            <w:tcW w:w="10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87,816</w:t>
            </w:r>
          </w:p>
        </w:tc>
        <w:tc>
          <w:tcPr>
            <w:tcW w:w="80" w:type="dxa"/>
            <w:vAlign w:val="bottom"/>
            <w:shd w:val="clear" w:color="auto" w:fill="DBDBDB"/>
          </w:tcPr>
          <w:p>
            <w:pPr>
              <w:spacing w:after="0"/>
              <w:rPr>
                <w:sz w:val="14"/>
                <w:szCs w:val="14"/>
                <w:color w:val="auto"/>
              </w:rPr>
            </w:pPr>
          </w:p>
        </w:tc>
        <w:tc>
          <w:tcPr>
            <w:tcW w:w="300" w:type="dxa"/>
            <w:vAlign w:val="bottom"/>
            <w:shd w:val="clear" w:color="auto" w:fill="DBDBDB"/>
          </w:tcPr>
          <w:p>
            <w:pPr>
              <w:spacing w:after="0"/>
              <w:rPr>
                <w:sz w:val="14"/>
                <w:szCs w:val="14"/>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209,690</w:t>
            </w:r>
          </w:p>
        </w:tc>
      </w:tr>
      <w:tr>
        <w:trPr>
          <w:trHeight w:val="172"/>
        </w:trPr>
        <w:tc>
          <w:tcPr>
            <w:tcW w:w="3180" w:type="dxa"/>
            <w:vAlign w:val="bottom"/>
          </w:tcPr>
          <w:p>
            <w:pPr>
              <w:ind w:left="200"/>
              <w:spacing w:after="0"/>
              <w:rPr>
                <w:sz w:val="20"/>
                <w:szCs w:val="20"/>
                <w:color w:val="auto"/>
              </w:rPr>
            </w:pPr>
            <w:r>
              <w:rPr>
                <w:rFonts w:ascii="Arial" w:cs="Arial" w:eastAsia="Arial" w:hAnsi="Arial"/>
                <w:sz w:val="13"/>
                <w:szCs w:val="13"/>
                <w:color w:val="auto"/>
              </w:rPr>
              <w:t>Loss on extinguishment of debt</w:t>
            </w:r>
          </w:p>
        </w:tc>
        <w:tc>
          <w:tcPr>
            <w:tcW w:w="9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3,185</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2,814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5,999</w:t>
            </w:r>
          </w:p>
        </w:tc>
      </w:tr>
      <w:tr>
        <w:trPr>
          <w:trHeight w:val="178"/>
        </w:trPr>
        <w:tc>
          <w:tcPr>
            <w:tcW w:w="3180" w:type="dxa"/>
            <w:vAlign w:val="bottom"/>
            <w:shd w:val="clear" w:color="auto" w:fill="DBDBDB"/>
          </w:tcPr>
          <w:p>
            <w:pPr>
              <w:ind w:left="200"/>
              <w:spacing w:after="0"/>
              <w:rPr>
                <w:sz w:val="20"/>
                <w:szCs w:val="20"/>
                <w:color w:val="auto"/>
              </w:rPr>
            </w:pPr>
            <w:r>
              <w:rPr>
                <w:rFonts w:ascii="Arial" w:cs="Arial" w:eastAsia="Arial" w:hAnsi="Arial"/>
                <w:sz w:val="13"/>
                <w:szCs w:val="13"/>
                <w:color w:val="auto"/>
              </w:rPr>
              <w:t>Interest expense</w:t>
            </w:r>
          </w:p>
        </w:tc>
        <w:tc>
          <w:tcPr>
            <w:tcW w:w="940" w:type="dxa"/>
            <w:vAlign w:val="bottom"/>
            <w:shd w:val="clear" w:color="auto" w:fill="DBDBDB"/>
          </w:tcPr>
          <w:p>
            <w:pPr>
              <w:spacing w:after="0"/>
              <w:rPr>
                <w:sz w:val="15"/>
                <w:szCs w:val="15"/>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29,964</w:t>
            </w:r>
          </w:p>
        </w:tc>
        <w:tc>
          <w:tcPr>
            <w:tcW w:w="100" w:type="dxa"/>
            <w:vAlign w:val="bottom"/>
            <w:shd w:val="clear" w:color="auto" w:fill="DBDBDB"/>
          </w:tcPr>
          <w:p>
            <w:pPr>
              <w:spacing w:after="0"/>
              <w:rPr>
                <w:sz w:val="15"/>
                <w:szCs w:val="15"/>
                <w:color w:val="auto"/>
              </w:rPr>
            </w:pPr>
          </w:p>
        </w:tc>
        <w:tc>
          <w:tcPr>
            <w:tcW w:w="940" w:type="dxa"/>
            <w:vAlign w:val="bottom"/>
            <w:shd w:val="clear" w:color="auto" w:fill="DBDBDB"/>
          </w:tcPr>
          <w:p>
            <w:pPr>
              <w:spacing w:after="0"/>
              <w:rPr>
                <w:sz w:val="15"/>
                <w:szCs w:val="15"/>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29,212</w:t>
            </w:r>
          </w:p>
        </w:tc>
        <w:tc>
          <w:tcPr>
            <w:tcW w:w="10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29,201</w:t>
            </w:r>
          </w:p>
        </w:tc>
        <w:tc>
          <w:tcPr>
            <w:tcW w:w="10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29,610</w:t>
            </w:r>
          </w:p>
        </w:tc>
        <w:tc>
          <w:tcPr>
            <w:tcW w:w="8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117,987</w:t>
            </w:r>
          </w:p>
        </w:tc>
      </w:tr>
      <w:tr>
        <w:trPr>
          <w:trHeight w:val="144"/>
        </w:trPr>
        <w:tc>
          <w:tcPr>
            <w:tcW w:w="3180" w:type="dxa"/>
            <w:vAlign w:val="bottom"/>
          </w:tcPr>
          <w:p>
            <w:pPr>
              <w:ind w:left="200"/>
              <w:spacing w:after="0" w:line="144" w:lineRule="exact"/>
              <w:rPr>
                <w:sz w:val="20"/>
                <w:szCs w:val="20"/>
                <w:color w:val="auto"/>
              </w:rPr>
            </w:pPr>
            <w:r>
              <w:rPr>
                <w:rFonts w:ascii="Arial" w:cs="Arial" w:eastAsia="Arial" w:hAnsi="Arial"/>
                <w:sz w:val="13"/>
                <w:szCs w:val="13"/>
                <w:color w:val="auto"/>
              </w:rPr>
              <w:t>Fair value loss (gain) on common stock warrant</w:t>
            </w: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59"/>
        </w:trPr>
        <w:tc>
          <w:tcPr>
            <w:tcW w:w="3180" w:type="dxa"/>
            <w:vAlign w:val="bottom"/>
          </w:tcPr>
          <w:p>
            <w:pPr>
              <w:ind w:left="200"/>
              <w:spacing w:after="0"/>
              <w:rPr>
                <w:sz w:val="20"/>
                <w:szCs w:val="20"/>
                <w:color w:val="auto"/>
              </w:rPr>
            </w:pPr>
            <w:r>
              <w:rPr>
                <w:rFonts w:ascii="Arial" w:cs="Arial" w:eastAsia="Arial" w:hAnsi="Arial"/>
                <w:sz w:val="13"/>
                <w:szCs w:val="13"/>
                <w:color w:val="auto"/>
              </w:rPr>
              <w:t>liabilities</w:t>
            </w:r>
          </w:p>
        </w:tc>
        <w:tc>
          <w:tcPr>
            <w:tcW w:w="9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27,207</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(610)</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26,597</w:t>
            </w:r>
          </w:p>
        </w:tc>
      </w:tr>
      <w:tr>
        <w:trPr>
          <w:trHeight w:val="178"/>
        </w:trPr>
        <w:tc>
          <w:tcPr>
            <w:tcW w:w="3180" w:type="dxa"/>
            <w:vAlign w:val="bottom"/>
            <w:shd w:val="clear" w:color="auto" w:fill="DBDBDB"/>
          </w:tcPr>
          <w:p>
            <w:pPr>
              <w:ind w:left="200"/>
              <w:spacing w:after="0"/>
              <w:rPr>
                <w:sz w:val="20"/>
                <w:szCs w:val="20"/>
                <w:color w:val="auto"/>
              </w:rPr>
            </w:pPr>
            <w:r>
              <w:rPr>
                <w:rFonts w:ascii="Arial" w:cs="Arial" w:eastAsia="Arial" w:hAnsi="Arial"/>
                <w:sz w:val="13"/>
                <w:szCs w:val="13"/>
                <w:color w:val="auto"/>
              </w:rPr>
              <w:t>Depreciation and amortization</w:t>
            </w:r>
          </w:p>
        </w:tc>
        <w:tc>
          <w:tcPr>
            <w:tcW w:w="940" w:type="dxa"/>
            <w:vAlign w:val="bottom"/>
            <w:shd w:val="clear" w:color="auto" w:fill="DBDBDB"/>
          </w:tcPr>
          <w:p>
            <w:pPr>
              <w:spacing w:after="0"/>
              <w:rPr>
                <w:sz w:val="15"/>
                <w:szCs w:val="15"/>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74,022</w:t>
            </w:r>
          </w:p>
        </w:tc>
        <w:tc>
          <w:tcPr>
            <w:tcW w:w="100" w:type="dxa"/>
            <w:vAlign w:val="bottom"/>
            <w:shd w:val="clear" w:color="auto" w:fill="DBDBDB"/>
          </w:tcPr>
          <w:p>
            <w:pPr>
              <w:spacing w:after="0"/>
              <w:rPr>
                <w:sz w:val="15"/>
                <w:szCs w:val="15"/>
                <w:color w:val="auto"/>
              </w:rPr>
            </w:pPr>
          </w:p>
        </w:tc>
        <w:tc>
          <w:tcPr>
            <w:tcW w:w="940" w:type="dxa"/>
            <w:vAlign w:val="bottom"/>
            <w:shd w:val="clear" w:color="auto" w:fill="DBDBDB"/>
          </w:tcPr>
          <w:p>
            <w:pPr>
              <w:spacing w:after="0"/>
              <w:rPr>
                <w:sz w:val="15"/>
                <w:szCs w:val="15"/>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84,515</w:t>
            </w:r>
          </w:p>
        </w:tc>
        <w:tc>
          <w:tcPr>
            <w:tcW w:w="10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75,276</w:t>
            </w:r>
          </w:p>
        </w:tc>
        <w:tc>
          <w:tcPr>
            <w:tcW w:w="10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81,754</w:t>
            </w:r>
          </w:p>
        </w:tc>
        <w:tc>
          <w:tcPr>
            <w:tcW w:w="8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315,567</w:t>
            </w:r>
          </w:p>
        </w:tc>
      </w:tr>
      <w:tr>
        <w:trPr>
          <w:trHeight w:val="172"/>
        </w:trPr>
        <w:tc>
          <w:tcPr>
            <w:tcW w:w="3180" w:type="dxa"/>
            <w:vAlign w:val="bottom"/>
          </w:tcPr>
          <w:p>
            <w:pPr>
              <w:ind w:left="200"/>
              <w:spacing w:after="0"/>
              <w:rPr>
                <w:sz w:val="20"/>
                <w:szCs w:val="20"/>
                <w:color w:val="auto"/>
              </w:rPr>
            </w:pPr>
            <w:r>
              <w:rPr>
                <w:rFonts w:ascii="Arial" w:cs="Arial" w:eastAsia="Arial" w:hAnsi="Arial"/>
                <w:sz w:val="13"/>
                <w:szCs w:val="13"/>
                <w:color w:val="auto"/>
              </w:rPr>
              <w:t>Currency losses, net</w:t>
            </w:r>
          </w:p>
        </w:tc>
        <w:tc>
          <w:tcPr>
            <w:tcW w:w="9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127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352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548</w:t>
            </w:r>
          </w:p>
        </w:tc>
      </w:tr>
      <w:tr>
        <w:trPr>
          <w:trHeight w:val="146"/>
        </w:trPr>
        <w:tc>
          <w:tcPr>
            <w:tcW w:w="3180" w:type="dxa"/>
            <w:vAlign w:val="bottom"/>
            <w:shd w:val="clear" w:color="auto" w:fill="DBDBDB"/>
          </w:tcPr>
          <w:p>
            <w:pPr>
              <w:ind w:left="200"/>
              <w:spacing w:after="0" w:line="147" w:lineRule="exact"/>
              <w:rPr>
                <w:sz w:val="20"/>
                <w:szCs w:val="20"/>
                <w:color w:val="auto"/>
              </w:rPr>
            </w:pPr>
            <w:r>
              <w:rPr>
                <w:rFonts w:ascii="Arial" w:cs="Arial" w:eastAsia="Arial" w:hAnsi="Arial"/>
                <w:sz w:val="13"/>
                <w:szCs w:val="13"/>
                <w:color w:val="auto"/>
              </w:rPr>
              <w:t>Restructuring costs, lease impairment expense</w:t>
            </w:r>
          </w:p>
        </w:tc>
        <w:tc>
          <w:tcPr>
            <w:tcW w:w="940" w:type="dxa"/>
            <w:vAlign w:val="bottom"/>
            <w:shd w:val="clear" w:color="auto" w:fill="DBDBDB"/>
          </w:tcPr>
          <w:p>
            <w:pPr>
              <w:spacing w:after="0"/>
              <w:rPr>
                <w:sz w:val="12"/>
                <w:szCs w:val="12"/>
                <w:color w:val="auto"/>
              </w:rPr>
            </w:pPr>
          </w:p>
        </w:tc>
        <w:tc>
          <w:tcPr>
            <w:tcW w:w="60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940" w:type="dxa"/>
            <w:vAlign w:val="bottom"/>
            <w:shd w:val="clear" w:color="auto" w:fill="DBDBDB"/>
          </w:tcPr>
          <w:p>
            <w:pPr>
              <w:spacing w:after="0"/>
              <w:rPr>
                <w:sz w:val="12"/>
                <w:szCs w:val="12"/>
                <w:color w:val="auto"/>
              </w:rPr>
            </w:pPr>
          </w:p>
        </w:tc>
        <w:tc>
          <w:tcPr>
            <w:tcW w:w="60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380" w:type="dxa"/>
            <w:vAlign w:val="bottom"/>
            <w:shd w:val="clear" w:color="auto" w:fill="DBDBDB"/>
          </w:tcPr>
          <w:p>
            <w:pPr>
              <w:spacing w:after="0"/>
              <w:rPr>
                <w:sz w:val="12"/>
                <w:szCs w:val="12"/>
                <w:color w:val="auto"/>
              </w:rPr>
            </w:pPr>
          </w:p>
        </w:tc>
        <w:tc>
          <w:tcPr>
            <w:tcW w:w="11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380" w:type="dxa"/>
            <w:vAlign w:val="bottom"/>
            <w:shd w:val="clear" w:color="auto" w:fill="DBDBDB"/>
          </w:tcPr>
          <w:p>
            <w:pPr>
              <w:spacing w:after="0"/>
              <w:rPr>
                <w:sz w:val="12"/>
                <w:szCs w:val="12"/>
                <w:color w:val="auto"/>
              </w:rPr>
            </w:pPr>
          </w:p>
        </w:tc>
        <w:tc>
          <w:tcPr>
            <w:tcW w:w="116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300" w:type="dxa"/>
            <w:vAlign w:val="bottom"/>
            <w:shd w:val="clear" w:color="auto" w:fill="DBDBDB"/>
          </w:tcPr>
          <w:p>
            <w:pPr>
              <w:spacing w:after="0"/>
              <w:rPr>
                <w:sz w:val="12"/>
                <w:szCs w:val="12"/>
                <w:color w:val="auto"/>
              </w:rPr>
            </w:pPr>
          </w:p>
        </w:tc>
        <w:tc>
          <w:tcPr>
            <w:tcW w:w="1260" w:type="dxa"/>
            <w:vAlign w:val="bottom"/>
            <w:shd w:val="clear" w:color="auto" w:fill="DBDBDB"/>
          </w:tcPr>
          <w:p>
            <w:pPr>
              <w:spacing w:after="0"/>
              <w:rPr>
                <w:sz w:val="12"/>
                <w:szCs w:val="12"/>
                <w:color w:val="auto"/>
              </w:rPr>
            </w:pPr>
          </w:p>
        </w:tc>
      </w:tr>
      <w:tr>
        <w:trPr>
          <w:trHeight w:val="162"/>
        </w:trPr>
        <w:tc>
          <w:tcPr>
            <w:tcW w:w="3180" w:type="dxa"/>
            <w:vAlign w:val="bottom"/>
            <w:shd w:val="clear" w:color="auto" w:fill="DBDBDB"/>
          </w:tcPr>
          <w:p>
            <w:pPr>
              <w:ind w:left="200"/>
              <w:spacing w:after="0"/>
              <w:rPr>
                <w:sz w:val="20"/>
                <w:szCs w:val="20"/>
                <w:color w:val="auto"/>
              </w:rPr>
            </w:pPr>
            <w:r>
              <w:rPr>
                <w:rFonts w:ascii="Arial" w:cs="Arial" w:eastAsia="Arial" w:hAnsi="Arial"/>
                <w:sz w:val="13"/>
                <w:szCs w:val="13"/>
                <w:color w:val="auto"/>
              </w:rPr>
              <w:t>and other related charges</w:t>
            </w:r>
          </w:p>
        </w:tc>
        <w:tc>
          <w:tcPr>
            <w:tcW w:w="940" w:type="dxa"/>
            <w:vAlign w:val="bottom"/>
            <w:shd w:val="clear" w:color="auto" w:fill="DBDBDB"/>
          </w:tcPr>
          <w:p>
            <w:pPr>
              <w:spacing w:after="0"/>
              <w:rPr>
                <w:sz w:val="14"/>
                <w:szCs w:val="14"/>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4,395</w:t>
            </w:r>
          </w:p>
        </w:tc>
        <w:tc>
          <w:tcPr>
            <w:tcW w:w="100" w:type="dxa"/>
            <w:vAlign w:val="bottom"/>
            <w:shd w:val="clear" w:color="auto" w:fill="DBDBDB"/>
          </w:tcPr>
          <w:p>
            <w:pPr>
              <w:spacing w:after="0"/>
              <w:rPr>
                <w:sz w:val="14"/>
                <w:szCs w:val="14"/>
                <w:color w:val="auto"/>
              </w:rPr>
            </w:pPr>
          </w:p>
        </w:tc>
        <w:tc>
          <w:tcPr>
            <w:tcW w:w="940" w:type="dxa"/>
            <w:vAlign w:val="bottom"/>
            <w:shd w:val="clear" w:color="auto" w:fill="DBDBDB"/>
          </w:tcPr>
          <w:p>
            <w:pPr>
              <w:spacing w:after="0"/>
              <w:rPr>
                <w:sz w:val="14"/>
                <w:szCs w:val="14"/>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7,434</w:t>
            </w:r>
          </w:p>
        </w:tc>
        <w:tc>
          <w:tcPr>
            <w:tcW w:w="10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2,457</w:t>
            </w:r>
          </w:p>
        </w:tc>
        <w:tc>
          <w:tcPr>
            <w:tcW w:w="10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470</w:t>
            </w:r>
          </w:p>
        </w:tc>
        <w:tc>
          <w:tcPr>
            <w:tcW w:w="80" w:type="dxa"/>
            <w:vAlign w:val="bottom"/>
            <w:shd w:val="clear" w:color="auto" w:fill="DBDBDB"/>
          </w:tcPr>
          <w:p>
            <w:pPr>
              <w:spacing w:after="0"/>
              <w:rPr>
                <w:sz w:val="14"/>
                <w:szCs w:val="14"/>
                <w:color w:val="auto"/>
              </w:rPr>
            </w:pPr>
          </w:p>
        </w:tc>
        <w:tc>
          <w:tcPr>
            <w:tcW w:w="300" w:type="dxa"/>
            <w:vAlign w:val="bottom"/>
            <w:shd w:val="clear" w:color="auto" w:fill="DBDBDB"/>
          </w:tcPr>
          <w:p>
            <w:pPr>
              <w:spacing w:after="0"/>
              <w:rPr>
                <w:sz w:val="14"/>
                <w:szCs w:val="14"/>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14,756</w:t>
            </w:r>
          </w:p>
        </w:tc>
      </w:tr>
      <w:tr>
        <w:trPr>
          <w:trHeight w:val="172"/>
        </w:trPr>
        <w:tc>
          <w:tcPr>
            <w:tcW w:w="3180" w:type="dxa"/>
            <w:vAlign w:val="bottom"/>
          </w:tcPr>
          <w:p>
            <w:pPr>
              <w:ind w:left="200"/>
              <w:spacing w:after="0"/>
              <w:rPr>
                <w:sz w:val="20"/>
                <w:szCs w:val="20"/>
                <w:color w:val="auto"/>
              </w:rPr>
            </w:pPr>
            <w:r>
              <w:rPr>
                <w:rFonts w:ascii="Arial" w:cs="Arial" w:eastAsia="Arial" w:hAnsi="Arial"/>
                <w:sz w:val="13"/>
                <w:szCs w:val="13"/>
                <w:color w:val="auto"/>
              </w:rPr>
              <w:t>Transaction costs</w:t>
            </w:r>
          </w:p>
        </w:tc>
        <w:tc>
          <w:tcPr>
            <w:tcW w:w="9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844</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303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228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1,375</w:t>
            </w:r>
          </w:p>
        </w:tc>
      </w:tr>
      <w:tr>
        <w:trPr>
          <w:trHeight w:val="178"/>
        </w:trPr>
        <w:tc>
          <w:tcPr>
            <w:tcW w:w="3180" w:type="dxa"/>
            <w:vAlign w:val="bottom"/>
            <w:shd w:val="clear" w:color="auto" w:fill="DBDBDB"/>
          </w:tcPr>
          <w:p>
            <w:pPr>
              <w:ind w:left="200"/>
              <w:spacing w:after="0"/>
              <w:rPr>
                <w:sz w:val="20"/>
                <w:szCs w:val="20"/>
                <w:color w:val="auto"/>
              </w:rPr>
            </w:pPr>
            <w:r>
              <w:rPr>
                <w:rFonts w:ascii="Arial" w:cs="Arial" w:eastAsia="Arial" w:hAnsi="Arial"/>
                <w:sz w:val="13"/>
                <w:szCs w:val="13"/>
                <w:color w:val="auto"/>
              </w:rPr>
              <w:t>Integration costs</w:t>
            </w:r>
          </w:p>
        </w:tc>
        <w:tc>
          <w:tcPr>
            <w:tcW w:w="940" w:type="dxa"/>
            <w:vAlign w:val="bottom"/>
            <w:shd w:val="clear" w:color="auto" w:fill="DBDBDB"/>
          </w:tcPr>
          <w:p>
            <w:pPr>
              <w:spacing w:after="0"/>
              <w:rPr>
                <w:sz w:val="15"/>
                <w:szCs w:val="15"/>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7,342</w:t>
            </w:r>
          </w:p>
        </w:tc>
        <w:tc>
          <w:tcPr>
            <w:tcW w:w="100" w:type="dxa"/>
            <w:vAlign w:val="bottom"/>
            <w:shd w:val="clear" w:color="auto" w:fill="DBDBDB"/>
          </w:tcPr>
          <w:p>
            <w:pPr>
              <w:spacing w:after="0"/>
              <w:rPr>
                <w:sz w:val="15"/>
                <w:szCs w:val="15"/>
                <w:color w:val="auto"/>
              </w:rPr>
            </w:pPr>
          </w:p>
        </w:tc>
        <w:tc>
          <w:tcPr>
            <w:tcW w:w="940" w:type="dxa"/>
            <w:vAlign w:val="bottom"/>
            <w:shd w:val="clear" w:color="auto" w:fill="DBDBDB"/>
          </w:tcPr>
          <w:p>
            <w:pPr>
              <w:spacing w:after="0"/>
              <w:rPr>
                <w:sz w:val="15"/>
                <w:szCs w:val="15"/>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7,622</w:t>
            </w:r>
          </w:p>
        </w:tc>
        <w:tc>
          <w:tcPr>
            <w:tcW w:w="10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8,247</w:t>
            </w:r>
          </w:p>
        </w:tc>
        <w:tc>
          <w:tcPr>
            <w:tcW w:w="10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5,213</w:t>
            </w:r>
          </w:p>
        </w:tc>
        <w:tc>
          <w:tcPr>
            <w:tcW w:w="8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28,424</w:t>
            </w:r>
          </w:p>
        </w:tc>
      </w:tr>
      <w:tr>
        <w:trPr>
          <w:trHeight w:val="172"/>
        </w:trPr>
        <w:tc>
          <w:tcPr>
            <w:tcW w:w="3180" w:type="dxa"/>
            <w:vAlign w:val="bottom"/>
          </w:tcPr>
          <w:p>
            <w:pPr>
              <w:ind w:left="200"/>
              <w:spacing w:after="0"/>
              <w:rPr>
                <w:sz w:val="20"/>
                <w:szCs w:val="20"/>
                <w:color w:val="auto"/>
              </w:rPr>
            </w:pPr>
            <w:r>
              <w:rPr>
                <w:rFonts w:ascii="Arial" w:cs="Arial" w:eastAsia="Arial" w:hAnsi="Arial"/>
                <w:sz w:val="13"/>
                <w:szCs w:val="13"/>
                <w:color w:val="auto"/>
              </w:rPr>
              <w:t>Stock compensation expense</w:t>
            </w:r>
          </w:p>
        </w:tc>
        <w:tc>
          <w:tcPr>
            <w:tcW w:w="9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3,514</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4,707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6,259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4,509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18,989</w:t>
            </w:r>
          </w:p>
        </w:tc>
      </w:tr>
      <w:tr>
        <w:trPr>
          <w:trHeight w:val="175"/>
        </w:trPr>
        <w:tc>
          <w:tcPr>
            <w:tcW w:w="3180" w:type="dxa"/>
            <w:vAlign w:val="bottom"/>
            <w:shd w:val="clear" w:color="auto" w:fill="DBDBDB"/>
          </w:tcPr>
          <w:p>
            <w:pPr>
              <w:ind w:left="200"/>
              <w:spacing w:after="0"/>
              <w:rPr>
                <w:sz w:val="20"/>
                <w:szCs w:val="20"/>
                <w:color w:val="auto"/>
              </w:rPr>
            </w:pPr>
            <w:r>
              <w:rPr>
                <w:rFonts w:ascii="Arial" w:cs="Arial" w:eastAsia="Arial" w:hAnsi="Arial"/>
                <w:sz w:val="13"/>
                <w:szCs w:val="13"/>
                <w:color w:val="auto"/>
              </w:rPr>
              <w:t>Other</w:t>
            </w:r>
          </w:p>
        </w:tc>
        <w:tc>
          <w:tcPr>
            <w:tcW w:w="940" w:type="dxa"/>
            <w:vAlign w:val="bottom"/>
            <w:tcBorders>
              <w:bottom w:val="single" w:sz="8" w:color="auto"/>
            </w:tcBorders>
            <w:shd w:val="clear" w:color="auto" w:fill="DBDBDB"/>
          </w:tcPr>
          <w:p>
            <w:pPr>
              <w:spacing w:after="0"/>
              <w:rPr>
                <w:sz w:val="15"/>
                <w:szCs w:val="15"/>
                <w:color w:val="auto"/>
              </w:rPr>
            </w:pP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(1,852)</w:t>
            </w:r>
          </w:p>
        </w:tc>
        <w:tc>
          <w:tcPr>
            <w:tcW w:w="100" w:type="dxa"/>
            <w:vAlign w:val="bottom"/>
            <w:shd w:val="clear" w:color="auto" w:fill="DBDBDB"/>
          </w:tcPr>
          <w:p>
            <w:pPr>
              <w:spacing w:after="0"/>
              <w:rPr>
                <w:sz w:val="15"/>
                <w:szCs w:val="15"/>
                <w:color w:val="auto"/>
              </w:rPr>
            </w:pPr>
          </w:p>
        </w:tc>
        <w:tc>
          <w:tcPr>
            <w:tcW w:w="940" w:type="dxa"/>
            <w:vAlign w:val="bottom"/>
            <w:tcBorders>
              <w:bottom w:val="single" w:sz="8" w:color="auto"/>
            </w:tcBorders>
            <w:shd w:val="clear" w:color="auto" w:fill="DBDBDB"/>
          </w:tcPr>
          <w:p>
            <w:pPr>
              <w:spacing w:after="0"/>
              <w:rPr>
                <w:sz w:val="15"/>
                <w:szCs w:val="15"/>
                <w:color w:val="auto"/>
              </w:rPr>
            </w:pP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569</w:t>
            </w:r>
          </w:p>
        </w:tc>
        <w:tc>
          <w:tcPr>
            <w:tcW w:w="100" w:type="dxa"/>
            <w:vAlign w:val="bottom"/>
            <w:tcBorders>
              <w:bottom w:val="single" w:sz="8" w:color="auto"/>
            </w:tcBorders>
            <w:shd w:val="clear" w:color="auto" w:fill="DBDBDB"/>
          </w:tcPr>
          <w:p>
            <w:pPr>
              <w:spacing w:after="0"/>
              <w:rPr>
                <w:sz w:val="15"/>
                <w:szCs w:val="15"/>
                <w:color w:val="auto"/>
              </w:rPr>
            </w:pPr>
          </w:p>
        </w:tc>
        <w:tc>
          <w:tcPr>
            <w:tcW w:w="380" w:type="dxa"/>
            <w:vAlign w:val="bottom"/>
            <w:tcBorders>
              <w:bottom w:val="single" w:sz="8" w:color="auto"/>
            </w:tcBorders>
            <w:shd w:val="clear" w:color="auto" w:fill="DBDBDB"/>
          </w:tcPr>
          <w:p>
            <w:pPr>
              <w:spacing w:after="0"/>
              <w:rPr>
                <w:sz w:val="15"/>
                <w:szCs w:val="15"/>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532</w:t>
            </w:r>
          </w:p>
        </w:tc>
        <w:tc>
          <w:tcPr>
            <w:tcW w:w="100" w:type="dxa"/>
            <w:vAlign w:val="bottom"/>
            <w:tcBorders>
              <w:bottom w:val="single" w:sz="8" w:color="auto"/>
            </w:tcBorders>
            <w:shd w:val="clear" w:color="auto" w:fill="DBDBDB"/>
          </w:tcPr>
          <w:p>
            <w:pPr>
              <w:spacing w:after="0"/>
              <w:rPr>
                <w:sz w:val="15"/>
                <w:szCs w:val="15"/>
                <w:color w:val="auto"/>
              </w:rPr>
            </w:pPr>
          </w:p>
        </w:tc>
        <w:tc>
          <w:tcPr>
            <w:tcW w:w="380" w:type="dxa"/>
            <w:vAlign w:val="bottom"/>
            <w:tcBorders>
              <w:bottom w:val="single" w:sz="8" w:color="auto"/>
            </w:tcBorders>
            <w:shd w:val="clear" w:color="auto" w:fill="DBDBDB"/>
          </w:tcPr>
          <w:p>
            <w:pPr>
              <w:spacing w:after="0"/>
              <w:rPr>
                <w:sz w:val="15"/>
                <w:szCs w:val="15"/>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1,212</w:t>
            </w:r>
          </w:p>
        </w:tc>
        <w:tc>
          <w:tcPr>
            <w:tcW w:w="80" w:type="dxa"/>
            <w:vAlign w:val="bottom"/>
            <w:tcBorders>
              <w:bottom w:val="single" w:sz="8" w:color="auto"/>
            </w:tcBorders>
            <w:shd w:val="clear" w:color="auto" w:fill="DBDBDB"/>
          </w:tcPr>
          <w:p>
            <w:pPr>
              <w:spacing w:after="0"/>
              <w:rPr>
                <w:sz w:val="15"/>
                <w:szCs w:val="15"/>
                <w:color w:val="auto"/>
              </w:rPr>
            </w:pPr>
          </w:p>
        </w:tc>
        <w:tc>
          <w:tcPr>
            <w:tcW w:w="300" w:type="dxa"/>
            <w:vAlign w:val="bottom"/>
            <w:tcBorders>
              <w:bottom w:val="single" w:sz="8" w:color="auto"/>
            </w:tcBorders>
            <w:shd w:val="clear" w:color="auto" w:fill="DBDBDB"/>
          </w:tcPr>
          <w:p>
            <w:pPr>
              <w:spacing w:after="0"/>
              <w:rPr>
                <w:sz w:val="15"/>
                <w:szCs w:val="15"/>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461</w:t>
            </w:r>
          </w:p>
        </w:tc>
      </w:tr>
      <w:tr>
        <w:trPr>
          <w:trHeight w:val="169"/>
        </w:trPr>
        <w:tc>
          <w:tcPr>
            <w:tcW w:w="3180" w:type="dxa"/>
            <w:vAlign w:val="bottom"/>
          </w:tcPr>
          <w:p>
            <w:pPr>
              <w:ind w:left="20"/>
              <w:spacing w:after="0"/>
              <w:rPr>
                <w:sz w:val="20"/>
                <w:szCs w:val="20"/>
                <w:color w:val="auto"/>
              </w:rPr>
            </w:pPr>
            <w:r>
              <w:rPr>
                <w:rFonts w:ascii="Arial" w:cs="Arial" w:eastAsia="Arial" w:hAnsi="Arial"/>
                <w:sz w:val="13"/>
                <w:szCs w:val="13"/>
                <w:color w:val="auto"/>
              </w:rPr>
              <w:t>Adjusted EBITDA</w:t>
            </w:r>
          </w:p>
        </w:tc>
        <w:tc>
          <w:tcPr>
            <w:tcW w:w="940" w:type="dxa"/>
            <w:vAlign w:val="bottom"/>
            <w:tcBorders>
              <w:bottom w:val="single" w:sz="8" w:color="auto"/>
            </w:tcBorders>
          </w:tcPr>
          <w:p>
            <w:pPr>
              <w:jc w:val="right"/>
              <w:ind w:right="794"/>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163,585</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right"/>
              <w:ind w:right="794"/>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175,495</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190,149</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211,164</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740,393</w:t>
            </w:r>
          </w:p>
        </w:tc>
      </w:tr>
      <w:tr>
        <w:trPr>
          <w:trHeight w:val="20"/>
        </w:trPr>
        <w:tc>
          <w:tcPr>
            <w:tcW w:w="3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69"/>
        </w:trPr>
        <w:tc>
          <w:tcPr>
            <w:tcW w:w="3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3"/>
        </w:trPr>
        <w:tc>
          <w:tcPr>
            <w:tcW w:w="3180" w:type="dxa"/>
            <w:vAlign w:val="bottom"/>
            <w:shd w:val="clear" w:color="auto" w:fill="1D2758"/>
          </w:tcPr>
          <w:p>
            <w:pPr>
              <w:ind w:left="20"/>
              <w:spacing w:after="0"/>
              <w:rPr>
                <w:sz w:val="20"/>
                <w:szCs w:val="20"/>
                <w:color w:val="auto"/>
              </w:rPr>
            </w:pPr>
            <w:r>
              <w:rPr>
                <w:rFonts w:ascii="Arial" w:cs="Arial" w:eastAsia="Arial" w:hAnsi="Arial"/>
                <w:sz w:val="13"/>
                <w:szCs w:val="13"/>
                <w:b w:val="1"/>
                <w:bCs w:val="1"/>
                <w:color w:val="FFFFFF"/>
              </w:rPr>
              <w:t>2020</w:t>
            </w:r>
          </w:p>
        </w:tc>
        <w:tc>
          <w:tcPr>
            <w:tcW w:w="940" w:type="dxa"/>
            <w:vAlign w:val="bottom"/>
            <w:shd w:val="clear" w:color="auto" w:fill="1D2758"/>
          </w:tcPr>
          <w:p>
            <w:pPr>
              <w:spacing w:after="0"/>
              <w:rPr>
                <w:sz w:val="15"/>
                <w:szCs w:val="15"/>
                <w:color w:val="auto"/>
              </w:rPr>
            </w:pPr>
          </w:p>
        </w:tc>
        <w:tc>
          <w:tcPr>
            <w:tcW w:w="600" w:type="dxa"/>
            <w:vAlign w:val="bottom"/>
            <w:shd w:val="clear" w:color="auto" w:fill="1D2758"/>
          </w:tcPr>
          <w:p>
            <w:pPr>
              <w:spacing w:after="0"/>
              <w:rPr>
                <w:sz w:val="15"/>
                <w:szCs w:val="15"/>
                <w:color w:val="auto"/>
              </w:rPr>
            </w:pPr>
          </w:p>
        </w:tc>
        <w:tc>
          <w:tcPr>
            <w:tcW w:w="100" w:type="dxa"/>
            <w:vAlign w:val="bottom"/>
            <w:shd w:val="clear" w:color="auto" w:fill="1D2758"/>
          </w:tcPr>
          <w:p>
            <w:pPr>
              <w:spacing w:after="0"/>
              <w:rPr>
                <w:sz w:val="15"/>
                <w:szCs w:val="15"/>
                <w:color w:val="auto"/>
              </w:rPr>
            </w:pPr>
          </w:p>
        </w:tc>
        <w:tc>
          <w:tcPr>
            <w:tcW w:w="940" w:type="dxa"/>
            <w:vAlign w:val="bottom"/>
            <w:shd w:val="clear" w:color="auto" w:fill="1D2758"/>
          </w:tcPr>
          <w:p>
            <w:pPr>
              <w:spacing w:after="0"/>
              <w:rPr>
                <w:sz w:val="15"/>
                <w:szCs w:val="15"/>
                <w:color w:val="auto"/>
              </w:rPr>
            </w:pPr>
          </w:p>
        </w:tc>
        <w:tc>
          <w:tcPr>
            <w:tcW w:w="600" w:type="dxa"/>
            <w:vAlign w:val="bottom"/>
            <w:shd w:val="clear" w:color="auto" w:fill="1D2758"/>
          </w:tcPr>
          <w:p>
            <w:pPr>
              <w:spacing w:after="0"/>
              <w:rPr>
                <w:sz w:val="15"/>
                <w:szCs w:val="15"/>
                <w:color w:val="auto"/>
              </w:rPr>
            </w:pPr>
          </w:p>
        </w:tc>
        <w:tc>
          <w:tcPr>
            <w:tcW w:w="100" w:type="dxa"/>
            <w:vAlign w:val="bottom"/>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1160" w:type="dxa"/>
            <w:vAlign w:val="bottom"/>
            <w:shd w:val="clear" w:color="auto" w:fill="1D2758"/>
          </w:tcPr>
          <w:p>
            <w:pPr>
              <w:spacing w:after="0"/>
              <w:rPr>
                <w:sz w:val="15"/>
                <w:szCs w:val="15"/>
                <w:color w:val="auto"/>
              </w:rPr>
            </w:pPr>
          </w:p>
        </w:tc>
        <w:tc>
          <w:tcPr>
            <w:tcW w:w="100" w:type="dxa"/>
            <w:vAlign w:val="bottom"/>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116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300" w:type="dxa"/>
            <w:vAlign w:val="bottom"/>
            <w:shd w:val="clear" w:color="auto" w:fill="1D2758"/>
          </w:tcPr>
          <w:p>
            <w:pPr>
              <w:spacing w:after="0"/>
              <w:rPr>
                <w:sz w:val="15"/>
                <w:szCs w:val="15"/>
                <w:color w:val="auto"/>
              </w:rPr>
            </w:pPr>
          </w:p>
        </w:tc>
        <w:tc>
          <w:tcPr>
            <w:tcW w:w="1260" w:type="dxa"/>
            <w:vAlign w:val="bottom"/>
            <w:shd w:val="clear" w:color="auto" w:fill="1D2758"/>
          </w:tcPr>
          <w:p>
            <w:pPr>
              <w:spacing w:after="0"/>
              <w:rPr>
                <w:sz w:val="15"/>
                <w:szCs w:val="15"/>
                <w:color w:val="auto"/>
              </w:rPr>
            </w:pPr>
          </w:p>
        </w:tc>
      </w:tr>
      <w:tr>
        <w:trPr>
          <w:trHeight w:val="177"/>
        </w:trPr>
        <w:tc>
          <w:tcPr>
            <w:tcW w:w="318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940" w:type="dxa"/>
            <w:vAlign w:val="bottom"/>
            <w:shd w:val="clear" w:color="auto" w:fill="1D2758"/>
          </w:tcPr>
          <w:p>
            <w:pPr>
              <w:jc w:val="right"/>
              <w:ind w:right="14"/>
              <w:spacing w:after="0"/>
              <w:rPr>
                <w:sz w:val="20"/>
                <w:szCs w:val="20"/>
                <w:color w:val="auto"/>
              </w:rPr>
            </w:pPr>
            <w:r>
              <w:rPr>
                <w:rFonts w:ascii="Arial" w:cs="Arial" w:eastAsia="Arial" w:hAnsi="Arial"/>
                <w:sz w:val="13"/>
                <w:szCs w:val="13"/>
                <w:b w:val="1"/>
                <w:bCs w:val="1"/>
                <w:color w:val="FFFFFF"/>
              </w:rPr>
              <w:t>Q1</w:t>
            </w:r>
          </w:p>
        </w:tc>
        <w:tc>
          <w:tcPr>
            <w:tcW w:w="600" w:type="dxa"/>
            <w:vAlign w:val="bottom"/>
            <w:shd w:val="clear" w:color="auto" w:fill="1D2758"/>
          </w:tcPr>
          <w:p>
            <w:pPr>
              <w:spacing w:after="0"/>
              <w:rPr>
                <w:sz w:val="15"/>
                <w:szCs w:val="15"/>
                <w:color w:val="auto"/>
              </w:rPr>
            </w:pPr>
          </w:p>
        </w:tc>
        <w:tc>
          <w:tcPr>
            <w:tcW w:w="100" w:type="dxa"/>
            <w:vAlign w:val="bottom"/>
            <w:shd w:val="clear" w:color="auto" w:fill="1D2758"/>
          </w:tcPr>
          <w:p>
            <w:pPr>
              <w:spacing w:after="0"/>
              <w:rPr>
                <w:sz w:val="15"/>
                <w:szCs w:val="15"/>
                <w:color w:val="auto"/>
              </w:rPr>
            </w:pPr>
          </w:p>
        </w:tc>
        <w:tc>
          <w:tcPr>
            <w:tcW w:w="940" w:type="dxa"/>
            <w:vAlign w:val="bottom"/>
            <w:shd w:val="clear" w:color="auto" w:fill="1D2758"/>
          </w:tcPr>
          <w:p>
            <w:pPr>
              <w:jc w:val="right"/>
              <w:ind w:right="14"/>
              <w:spacing w:after="0"/>
              <w:rPr>
                <w:sz w:val="20"/>
                <w:szCs w:val="20"/>
                <w:color w:val="auto"/>
              </w:rPr>
            </w:pPr>
            <w:r>
              <w:rPr>
                <w:rFonts w:ascii="Arial" w:cs="Arial" w:eastAsia="Arial" w:hAnsi="Arial"/>
                <w:sz w:val="13"/>
                <w:szCs w:val="13"/>
                <w:b w:val="1"/>
                <w:bCs w:val="1"/>
                <w:color w:val="FFFFFF"/>
              </w:rPr>
              <w:t>Q2</w:t>
            </w:r>
          </w:p>
        </w:tc>
        <w:tc>
          <w:tcPr>
            <w:tcW w:w="600" w:type="dxa"/>
            <w:vAlign w:val="bottom"/>
            <w:shd w:val="clear" w:color="auto" w:fill="1D2758"/>
          </w:tcPr>
          <w:p>
            <w:pPr>
              <w:spacing w:after="0"/>
              <w:rPr>
                <w:sz w:val="15"/>
                <w:szCs w:val="15"/>
                <w:color w:val="auto"/>
              </w:rPr>
            </w:pPr>
          </w:p>
        </w:tc>
        <w:tc>
          <w:tcPr>
            <w:tcW w:w="100" w:type="dxa"/>
            <w:vAlign w:val="bottom"/>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1260" w:type="dxa"/>
            <w:vAlign w:val="bottom"/>
            <w:gridSpan w:val="2"/>
            <w:shd w:val="clear" w:color="auto" w:fill="1D2758"/>
          </w:tcPr>
          <w:p>
            <w:pPr>
              <w:ind w:left="300"/>
              <w:spacing w:after="0"/>
              <w:rPr>
                <w:sz w:val="20"/>
                <w:szCs w:val="20"/>
                <w:color w:val="auto"/>
              </w:rPr>
            </w:pPr>
            <w:r>
              <w:rPr>
                <w:rFonts w:ascii="Arial" w:cs="Arial" w:eastAsia="Arial" w:hAnsi="Arial"/>
                <w:sz w:val="13"/>
                <w:szCs w:val="13"/>
                <w:b w:val="1"/>
                <w:bCs w:val="1"/>
                <w:color w:val="FFFFFF"/>
              </w:rPr>
              <w:t>Q3</w:t>
            </w:r>
          </w:p>
        </w:tc>
        <w:tc>
          <w:tcPr>
            <w:tcW w:w="380" w:type="dxa"/>
            <w:vAlign w:val="bottom"/>
            <w:shd w:val="clear" w:color="auto" w:fill="1D2758"/>
          </w:tcPr>
          <w:p>
            <w:pPr>
              <w:spacing w:after="0"/>
              <w:rPr>
                <w:sz w:val="15"/>
                <w:szCs w:val="15"/>
                <w:color w:val="auto"/>
              </w:rPr>
            </w:pPr>
          </w:p>
        </w:tc>
        <w:tc>
          <w:tcPr>
            <w:tcW w:w="1240" w:type="dxa"/>
            <w:vAlign w:val="bottom"/>
            <w:gridSpan w:val="2"/>
            <w:shd w:val="clear" w:color="auto" w:fill="1D2758"/>
          </w:tcPr>
          <w:p>
            <w:pPr>
              <w:ind w:left="300"/>
              <w:spacing w:after="0"/>
              <w:rPr>
                <w:sz w:val="20"/>
                <w:szCs w:val="20"/>
                <w:color w:val="auto"/>
              </w:rPr>
            </w:pPr>
            <w:r>
              <w:rPr>
                <w:rFonts w:ascii="Arial" w:cs="Arial" w:eastAsia="Arial" w:hAnsi="Arial"/>
                <w:sz w:val="13"/>
                <w:szCs w:val="13"/>
                <w:b w:val="1"/>
                <w:bCs w:val="1"/>
                <w:color w:val="FFFFFF"/>
              </w:rPr>
              <w:t>Q4</w:t>
            </w:r>
          </w:p>
        </w:tc>
        <w:tc>
          <w:tcPr>
            <w:tcW w:w="300" w:type="dxa"/>
            <w:vAlign w:val="bottom"/>
            <w:shd w:val="clear" w:color="auto" w:fill="1D2758"/>
          </w:tcPr>
          <w:p>
            <w:pPr>
              <w:spacing w:after="0"/>
              <w:rPr>
                <w:sz w:val="15"/>
                <w:szCs w:val="15"/>
                <w:color w:val="auto"/>
              </w:rPr>
            </w:pPr>
          </w:p>
        </w:tc>
        <w:tc>
          <w:tcPr>
            <w:tcW w:w="1260" w:type="dxa"/>
            <w:vAlign w:val="bottom"/>
            <w:shd w:val="clear" w:color="auto" w:fill="1D2758"/>
          </w:tcPr>
          <w:p>
            <w:pPr>
              <w:jc w:val="right"/>
              <w:ind w:right="434"/>
              <w:spacing w:after="0"/>
              <w:rPr>
                <w:sz w:val="20"/>
                <w:szCs w:val="20"/>
                <w:color w:val="auto"/>
              </w:rPr>
            </w:pPr>
            <w:r>
              <w:rPr>
                <w:rFonts w:ascii="Arial" w:cs="Arial" w:eastAsia="Arial" w:hAnsi="Arial"/>
                <w:sz w:val="13"/>
                <w:szCs w:val="13"/>
                <w:b w:val="1"/>
                <w:bCs w:val="1"/>
                <w:color w:val="FFFFFF"/>
              </w:rPr>
              <w:t>Full Year</w:t>
            </w:r>
          </w:p>
        </w:tc>
      </w:tr>
      <w:tr>
        <w:trPr>
          <w:trHeight w:val="175"/>
        </w:trPr>
        <w:tc>
          <w:tcPr>
            <w:tcW w:w="3180" w:type="dxa"/>
            <w:vAlign w:val="bottom"/>
            <w:shd w:val="clear" w:color="auto" w:fill="DBDBDB"/>
          </w:tcPr>
          <w:p>
            <w:pPr>
              <w:ind w:left="20"/>
              <w:spacing w:after="0"/>
              <w:rPr>
                <w:sz w:val="20"/>
                <w:szCs w:val="20"/>
                <w:color w:val="auto"/>
              </w:rPr>
            </w:pPr>
            <w:r>
              <w:rPr>
                <w:rFonts w:ascii="Arial" w:cs="Arial" w:eastAsia="Arial" w:hAnsi="Arial"/>
                <w:sz w:val="13"/>
                <w:szCs w:val="13"/>
                <w:color w:val="auto"/>
              </w:rPr>
              <w:t>Net income (loss)</w:t>
            </w:r>
          </w:p>
        </w:tc>
        <w:tc>
          <w:tcPr>
            <w:tcW w:w="940" w:type="dxa"/>
            <w:vAlign w:val="bottom"/>
            <w:shd w:val="clear" w:color="auto" w:fill="DBDBDB"/>
          </w:tcPr>
          <w:p>
            <w:pPr>
              <w:jc w:val="right"/>
              <w:ind w:right="794"/>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91,655</w:t>
            </w:r>
          </w:p>
        </w:tc>
        <w:tc>
          <w:tcPr>
            <w:tcW w:w="100" w:type="dxa"/>
            <w:vAlign w:val="bottom"/>
            <w:shd w:val="clear" w:color="auto" w:fill="DBDBDB"/>
          </w:tcPr>
          <w:p>
            <w:pPr>
              <w:spacing w:after="0"/>
              <w:rPr>
                <w:sz w:val="15"/>
                <w:szCs w:val="15"/>
                <w:color w:val="auto"/>
              </w:rPr>
            </w:pPr>
          </w:p>
        </w:tc>
        <w:tc>
          <w:tcPr>
            <w:tcW w:w="940" w:type="dxa"/>
            <w:vAlign w:val="bottom"/>
            <w:shd w:val="clear" w:color="auto" w:fill="DBDBDB"/>
          </w:tcPr>
          <w:p>
            <w:pPr>
              <w:jc w:val="right"/>
              <w:ind w:right="794"/>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(14,130)</w:t>
            </w:r>
          </w:p>
        </w:tc>
        <w:tc>
          <w:tcPr>
            <w:tcW w:w="100" w:type="dxa"/>
            <w:vAlign w:val="bottom"/>
            <w:shd w:val="clear" w:color="auto" w:fill="DBDBDB"/>
          </w:tcPr>
          <w:p>
            <w:pPr>
              <w:spacing w:after="0"/>
              <w:rPr>
                <w:sz w:val="15"/>
                <w:szCs w:val="15"/>
                <w:color w:val="auto"/>
              </w:rPr>
            </w:pPr>
          </w:p>
        </w:tc>
        <w:tc>
          <w:tcPr>
            <w:tcW w:w="380" w:type="dxa"/>
            <w:vAlign w:val="bottom"/>
            <w:shd w:val="clear" w:color="auto" w:fill="DBDBDB"/>
          </w:tcPr>
          <w:p>
            <w:pPr>
              <w:jc w:val="right"/>
              <w:ind w:right="234"/>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(6,051)</w:t>
            </w:r>
          </w:p>
        </w:tc>
        <w:tc>
          <w:tcPr>
            <w:tcW w:w="100" w:type="dxa"/>
            <w:vAlign w:val="bottom"/>
            <w:shd w:val="clear" w:color="auto" w:fill="DBDBDB"/>
          </w:tcPr>
          <w:p>
            <w:pPr>
              <w:spacing w:after="0"/>
              <w:rPr>
                <w:sz w:val="15"/>
                <w:szCs w:val="15"/>
                <w:color w:val="auto"/>
              </w:rPr>
            </w:pPr>
          </w:p>
        </w:tc>
        <w:tc>
          <w:tcPr>
            <w:tcW w:w="380" w:type="dxa"/>
            <w:vAlign w:val="bottom"/>
            <w:shd w:val="clear" w:color="auto" w:fill="DBDBDB"/>
          </w:tcPr>
          <w:p>
            <w:pPr>
              <w:jc w:val="right"/>
              <w:ind w:right="234"/>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3,866</w:t>
            </w:r>
          </w:p>
        </w:tc>
        <w:tc>
          <w:tcPr>
            <w:tcW w:w="80" w:type="dxa"/>
            <w:vAlign w:val="bottom"/>
            <w:shd w:val="clear" w:color="auto" w:fill="DBDBDB"/>
          </w:tcPr>
          <w:p>
            <w:pPr>
              <w:spacing w:after="0"/>
              <w:rPr>
                <w:sz w:val="15"/>
                <w:szCs w:val="15"/>
                <w:color w:val="auto"/>
              </w:rPr>
            </w:pPr>
          </w:p>
        </w:tc>
        <w:tc>
          <w:tcPr>
            <w:tcW w:w="30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75,340</w:t>
            </w:r>
          </w:p>
        </w:tc>
      </w:tr>
      <w:tr>
        <w:trPr>
          <w:trHeight w:val="172"/>
        </w:trPr>
        <w:tc>
          <w:tcPr>
            <w:tcW w:w="3180" w:type="dxa"/>
            <w:vAlign w:val="bottom"/>
            <w:tcBorders>
              <w:bottom w:val="single" w:sz="8" w:color="DBDBDB"/>
            </w:tcBorders>
          </w:tcPr>
          <w:p>
            <w:pPr>
              <w:ind w:left="200"/>
              <w:spacing w:after="0"/>
              <w:rPr>
                <w:sz w:val="20"/>
                <w:szCs w:val="20"/>
                <w:color w:val="auto"/>
              </w:rPr>
            </w:pPr>
            <w:r>
              <w:rPr>
                <w:rFonts w:ascii="Arial" w:cs="Arial" w:eastAsia="Arial" w:hAnsi="Arial"/>
                <w:sz w:val="13"/>
                <w:szCs w:val="13"/>
                <w:color w:val="auto"/>
              </w:rPr>
              <w:t>Income tax expense (benefit)</w:t>
            </w:r>
          </w:p>
        </w:tc>
        <w:tc>
          <w:tcPr>
            <w:tcW w:w="9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790</w:t>
            </w:r>
          </w:p>
        </w:tc>
        <w:tc>
          <w:tcPr>
            <w:tcW w:w="100" w:type="dxa"/>
            <w:vAlign w:val="bottom"/>
            <w:tcBorders>
              <w:bottom w:val="single" w:sz="8" w:color="DBDBDB"/>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(285)</w:t>
            </w:r>
          </w:p>
        </w:tc>
        <w:tc>
          <w:tcPr>
            <w:tcW w:w="100" w:type="dxa"/>
            <w:vAlign w:val="bottom"/>
            <w:tcBorders>
              <w:bottom w:val="single" w:sz="8" w:color="DBDBDB"/>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(66,675)</w:t>
            </w:r>
          </w:p>
        </w:tc>
        <w:tc>
          <w:tcPr>
            <w:tcW w:w="100" w:type="dxa"/>
            <w:vAlign w:val="bottom"/>
            <w:tcBorders>
              <w:bottom w:val="single" w:sz="8" w:color="DBDBDB"/>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14,719</w:t>
            </w:r>
          </w:p>
        </w:tc>
        <w:tc>
          <w:tcPr>
            <w:tcW w:w="80" w:type="dxa"/>
            <w:vAlign w:val="bottom"/>
            <w:tcBorders>
              <w:bottom w:val="single" w:sz="8" w:color="DBDBDB"/>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(51,451)</w:t>
            </w:r>
          </w:p>
        </w:tc>
      </w:tr>
      <w:tr>
        <w:trPr>
          <w:trHeight w:val="169"/>
        </w:trPr>
        <w:tc>
          <w:tcPr>
            <w:tcW w:w="3180" w:type="dxa"/>
            <w:vAlign w:val="bottom"/>
            <w:shd w:val="clear" w:color="auto" w:fill="DBDBDB"/>
          </w:tcPr>
          <w:p>
            <w:pPr>
              <w:ind w:left="20"/>
              <w:spacing w:after="0"/>
              <w:rPr>
                <w:sz w:val="20"/>
                <w:szCs w:val="20"/>
                <w:color w:val="auto"/>
              </w:rPr>
            </w:pPr>
            <w:r>
              <w:rPr>
                <w:rFonts w:ascii="Arial" w:cs="Arial" w:eastAsia="Arial" w:hAnsi="Arial"/>
                <w:sz w:val="13"/>
                <w:szCs w:val="13"/>
                <w:color w:val="auto"/>
              </w:rPr>
              <w:t>Income (loss) before income tax</w:t>
            </w:r>
          </w:p>
        </w:tc>
        <w:tc>
          <w:tcPr>
            <w:tcW w:w="940" w:type="dxa"/>
            <w:vAlign w:val="bottom"/>
            <w:shd w:val="clear" w:color="auto" w:fill="DBDBDB"/>
          </w:tcPr>
          <w:p>
            <w:pPr>
              <w:spacing w:after="0"/>
              <w:rPr>
                <w:sz w:val="14"/>
                <w:szCs w:val="14"/>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92,445</w:t>
            </w:r>
          </w:p>
        </w:tc>
        <w:tc>
          <w:tcPr>
            <w:tcW w:w="100" w:type="dxa"/>
            <w:vAlign w:val="bottom"/>
            <w:shd w:val="clear" w:color="auto" w:fill="DBDBDB"/>
          </w:tcPr>
          <w:p>
            <w:pPr>
              <w:spacing w:after="0"/>
              <w:rPr>
                <w:sz w:val="14"/>
                <w:szCs w:val="14"/>
                <w:color w:val="auto"/>
              </w:rPr>
            </w:pPr>
          </w:p>
        </w:tc>
        <w:tc>
          <w:tcPr>
            <w:tcW w:w="940" w:type="dxa"/>
            <w:vAlign w:val="bottom"/>
            <w:shd w:val="clear" w:color="auto" w:fill="DBDBDB"/>
          </w:tcPr>
          <w:p>
            <w:pPr>
              <w:spacing w:after="0"/>
              <w:rPr>
                <w:sz w:val="14"/>
                <w:szCs w:val="14"/>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(14,415)</w:t>
            </w:r>
          </w:p>
        </w:tc>
        <w:tc>
          <w:tcPr>
            <w:tcW w:w="10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(72,726)</w:t>
            </w:r>
          </w:p>
        </w:tc>
        <w:tc>
          <w:tcPr>
            <w:tcW w:w="10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18,585</w:t>
            </w:r>
          </w:p>
        </w:tc>
        <w:tc>
          <w:tcPr>
            <w:tcW w:w="80" w:type="dxa"/>
            <w:vAlign w:val="bottom"/>
            <w:shd w:val="clear" w:color="auto" w:fill="DBDBDB"/>
          </w:tcPr>
          <w:p>
            <w:pPr>
              <w:spacing w:after="0"/>
              <w:rPr>
                <w:sz w:val="14"/>
                <w:szCs w:val="14"/>
                <w:color w:val="auto"/>
              </w:rPr>
            </w:pPr>
          </w:p>
        </w:tc>
        <w:tc>
          <w:tcPr>
            <w:tcW w:w="300" w:type="dxa"/>
            <w:vAlign w:val="bottom"/>
            <w:shd w:val="clear" w:color="auto" w:fill="DBDBDB"/>
          </w:tcPr>
          <w:p>
            <w:pPr>
              <w:spacing w:after="0"/>
              <w:rPr>
                <w:sz w:val="14"/>
                <w:szCs w:val="14"/>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23,889</w:t>
            </w:r>
          </w:p>
        </w:tc>
      </w:tr>
      <w:tr>
        <w:trPr>
          <w:trHeight w:val="172"/>
        </w:trPr>
        <w:tc>
          <w:tcPr>
            <w:tcW w:w="3180" w:type="dxa"/>
            <w:vAlign w:val="bottom"/>
          </w:tcPr>
          <w:p>
            <w:pPr>
              <w:ind w:left="200"/>
              <w:spacing w:after="0"/>
              <w:rPr>
                <w:sz w:val="20"/>
                <w:szCs w:val="20"/>
                <w:color w:val="auto"/>
              </w:rPr>
            </w:pPr>
            <w:r>
              <w:rPr>
                <w:rFonts w:ascii="Arial" w:cs="Arial" w:eastAsia="Arial" w:hAnsi="Arial"/>
                <w:sz w:val="13"/>
                <w:szCs w:val="13"/>
                <w:color w:val="auto"/>
              </w:rPr>
              <w:t>Loss on extinguishment of debt</w:t>
            </w:r>
          </w:p>
        </w:tc>
        <w:tc>
          <w:tcPr>
            <w:tcW w:w="9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42,401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42,401</w:t>
            </w:r>
          </w:p>
        </w:tc>
      </w:tr>
      <w:tr>
        <w:trPr>
          <w:trHeight w:val="178"/>
        </w:trPr>
        <w:tc>
          <w:tcPr>
            <w:tcW w:w="3180" w:type="dxa"/>
            <w:vAlign w:val="bottom"/>
            <w:shd w:val="clear" w:color="auto" w:fill="DBDBDB"/>
          </w:tcPr>
          <w:p>
            <w:pPr>
              <w:ind w:left="200"/>
              <w:spacing w:after="0"/>
              <w:rPr>
                <w:sz w:val="20"/>
                <w:szCs w:val="20"/>
                <w:color w:val="auto"/>
              </w:rPr>
            </w:pPr>
            <w:r>
              <w:rPr>
                <w:rFonts w:ascii="Arial" w:cs="Arial" w:eastAsia="Arial" w:hAnsi="Arial"/>
                <w:sz w:val="13"/>
                <w:szCs w:val="13"/>
                <w:color w:val="auto"/>
              </w:rPr>
              <w:t>Interest expense</w:t>
            </w:r>
          </w:p>
        </w:tc>
        <w:tc>
          <w:tcPr>
            <w:tcW w:w="940" w:type="dxa"/>
            <w:vAlign w:val="bottom"/>
            <w:shd w:val="clear" w:color="auto" w:fill="DBDBDB"/>
          </w:tcPr>
          <w:p>
            <w:pPr>
              <w:spacing w:after="0"/>
              <w:rPr>
                <w:sz w:val="15"/>
                <w:szCs w:val="15"/>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28,257</w:t>
            </w:r>
          </w:p>
        </w:tc>
        <w:tc>
          <w:tcPr>
            <w:tcW w:w="100" w:type="dxa"/>
            <w:vAlign w:val="bottom"/>
            <w:shd w:val="clear" w:color="auto" w:fill="DBDBDB"/>
          </w:tcPr>
          <w:p>
            <w:pPr>
              <w:spacing w:after="0"/>
              <w:rPr>
                <w:sz w:val="15"/>
                <w:szCs w:val="15"/>
                <w:color w:val="auto"/>
              </w:rPr>
            </w:pPr>
          </w:p>
        </w:tc>
        <w:tc>
          <w:tcPr>
            <w:tcW w:w="940" w:type="dxa"/>
            <w:vAlign w:val="bottom"/>
            <w:shd w:val="clear" w:color="auto" w:fill="DBDBDB"/>
          </w:tcPr>
          <w:p>
            <w:pPr>
              <w:spacing w:after="0"/>
              <w:rPr>
                <w:sz w:val="15"/>
                <w:szCs w:val="15"/>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28,519</w:t>
            </w:r>
          </w:p>
        </w:tc>
        <w:tc>
          <w:tcPr>
            <w:tcW w:w="10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33,034</w:t>
            </w:r>
          </w:p>
        </w:tc>
        <w:tc>
          <w:tcPr>
            <w:tcW w:w="10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30,076</w:t>
            </w:r>
          </w:p>
        </w:tc>
        <w:tc>
          <w:tcPr>
            <w:tcW w:w="8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119,886</w:t>
            </w:r>
          </w:p>
        </w:tc>
      </w:tr>
      <w:tr>
        <w:trPr>
          <w:trHeight w:val="144"/>
        </w:trPr>
        <w:tc>
          <w:tcPr>
            <w:tcW w:w="3180" w:type="dxa"/>
            <w:vAlign w:val="bottom"/>
          </w:tcPr>
          <w:p>
            <w:pPr>
              <w:ind w:left="200"/>
              <w:spacing w:after="0" w:line="144" w:lineRule="exact"/>
              <w:rPr>
                <w:sz w:val="20"/>
                <w:szCs w:val="20"/>
                <w:color w:val="auto"/>
              </w:rPr>
            </w:pPr>
            <w:r>
              <w:rPr>
                <w:rFonts w:ascii="Arial" w:cs="Arial" w:eastAsia="Arial" w:hAnsi="Arial"/>
                <w:sz w:val="13"/>
                <w:szCs w:val="13"/>
                <w:color w:val="auto"/>
              </w:rPr>
              <w:t>Fair value (gain) loss on common stock warrant</w:t>
            </w: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59"/>
        </w:trPr>
        <w:tc>
          <w:tcPr>
            <w:tcW w:w="3180" w:type="dxa"/>
            <w:vAlign w:val="bottom"/>
          </w:tcPr>
          <w:p>
            <w:pPr>
              <w:ind w:left="200"/>
              <w:spacing w:after="0"/>
              <w:rPr>
                <w:sz w:val="20"/>
                <w:szCs w:val="20"/>
                <w:color w:val="auto"/>
              </w:rPr>
            </w:pPr>
            <w:r>
              <w:rPr>
                <w:rFonts w:ascii="Arial" w:cs="Arial" w:eastAsia="Arial" w:hAnsi="Arial"/>
                <w:sz w:val="13"/>
                <w:szCs w:val="13"/>
                <w:color w:val="auto"/>
              </w:rPr>
              <w:t>liabilities</w:t>
            </w:r>
          </w:p>
        </w:tc>
        <w:tc>
          <w:tcPr>
            <w:tcW w:w="9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(95,329)</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26,963</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22,303</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42,602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(3,461)</w:t>
            </w:r>
          </w:p>
        </w:tc>
      </w:tr>
      <w:tr>
        <w:trPr>
          <w:trHeight w:val="178"/>
        </w:trPr>
        <w:tc>
          <w:tcPr>
            <w:tcW w:w="3180" w:type="dxa"/>
            <w:vAlign w:val="bottom"/>
            <w:shd w:val="clear" w:color="auto" w:fill="DBDBDB"/>
          </w:tcPr>
          <w:p>
            <w:pPr>
              <w:ind w:left="200"/>
              <w:spacing w:after="0"/>
              <w:rPr>
                <w:sz w:val="20"/>
                <w:szCs w:val="20"/>
                <w:color w:val="auto"/>
              </w:rPr>
            </w:pPr>
            <w:r>
              <w:rPr>
                <w:rFonts w:ascii="Arial" w:cs="Arial" w:eastAsia="Arial" w:hAnsi="Arial"/>
                <w:sz w:val="13"/>
                <w:szCs w:val="13"/>
                <w:color w:val="auto"/>
              </w:rPr>
              <w:t>Depreciation and amortization</w:t>
            </w:r>
          </w:p>
        </w:tc>
        <w:tc>
          <w:tcPr>
            <w:tcW w:w="940" w:type="dxa"/>
            <w:vAlign w:val="bottom"/>
            <w:shd w:val="clear" w:color="auto" w:fill="DBDBDB"/>
          </w:tcPr>
          <w:p>
            <w:pPr>
              <w:spacing w:after="0"/>
              <w:rPr>
                <w:sz w:val="15"/>
                <w:szCs w:val="15"/>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49,022</w:t>
            </w:r>
          </w:p>
        </w:tc>
        <w:tc>
          <w:tcPr>
            <w:tcW w:w="100" w:type="dxa"/>
            <w:vAlign w:val="bottom"/>
            <w:shd w:val="clear" w:color="auto" w:fill="DBDBDB"/>
          </w:tcPr>
          <w:p>
            <w:pPr>
              <w:spacing w:after="0"/>
              <w:rPr>
                <w:sz w:val="15"/>
                <w:szCs w:val="15"/>
                <w:color w:val="auto"/>
              </w:rPr>
            </w:pPr>
          </w:p>
        </w:tc>
        <w:tc>
          <w:tcPr>
            <w:tcW w:w="940" w:type="dxa"/>
            <w:vAlign w:val="bottom"/>
            <w:shd w:val="clear" w:color="auto" w:fill="DBDBDB"/>
          </w:tcPr>
          <w:p>
            <w:pPr>
              <w:spacing w:after="0"/>
              <w:rPr>
                <w:sz w:val="15"/>
                <w:szCs w:val="15"/>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48,377</w:t>
            </w:r>
          </w:p>
        </w:tc>
        <w:tc>
          <w:tcPr>
            <w:tcW w:w="10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71,704</w:t>
            </w:r>
          </w:p>
        </w:tc>
        <w:tc>
          <w:tcPr>
            <w:tcW w:w="10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74,727</w:t>
            </w:r>
          </w:p>
        </w:tc>
        <w:tc>
          <w:tcPr>
            <w:tcW w:w="8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243,830</w:t>
            </w:r>
          </w:p>
        </w:tc>
      </w:tr>
      <w:tr>
        <w:trPr>
          <w:trHeight w:val="172"/>
        </w:trPr>
        <w:tc>
          <w:tcPr>
            <w:tcW w:w="3180" w:type="dxa"/>
            <w:vAlign w:val="bottom"/>
          </w:tcPr>
          <w:p>
            <w:pPr>
              <w:ind w:left="200"/>
              <w:spacing w:after="0"/>
              <w:rPr>
                <w:sz w:val="20"/>
                <w:szCs w:val="20"/>
                <w:color w:val="auto"/>
              </w:rPr>
            </w:pPr>
            <w:r>
              <w:rPr>
                <w:rFonts w:ascii="Arial" w:cs="Arial" w:eastAsia="Arial" w:hAnsi="Arial"/>
                <w:sz w:val="13"/>
                <w:szCs w:val="13"/>
                <w:color w:val="auto"/>
              </w:rPr>
              <w:t>Currency losses (gains), net</w:t>
            </w:r>
          </w:p>
        </w:tc>
        <w:tc>
          <w:tcPr>
            <w:tcW w:w="9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898</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(380)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(371)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(502)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(355)</w:t>
            </w:r>
          </w:p>
        </w:tc>
      </w:tr>
      <w:tr>
        <w:trPr>
          <w:trHeight w:val="146"/>
        </w:trPr>
        <w:tc>
          <w:tcPr>
            <w:tcW w:w="3180" w:type="dxa"/>
            <w:vAlign w:val="bottom"/>
            <w:shd w:val="clear" w:color="auto" w:fill="DBDBDB"/>
          </w:tcPr>
          <w:p>
            <w:pPr>
              <w:ind w:left="200"/>
              <w:spacing w:after="0" w:line="147" w:lineRule="exact"/>
              <w:rPr>
                <w:sz w:val="20"/>
                <w:szCs w:val="20"/>
                <w:color w:val="auto"/>
              </w:rPr>
            </w:pPr>
            <w:r>
              <w:rPr>
                <w:rFonts w:ascii="Arial" w:cs="Arial" w:eastAsia="Arial" w:hAnsi="Arial"/>
                <w:sz w:val="13"/>
                <w:szCs w:val="13"/>
                <w:color w:val="auto"/>
              </w:rPr>
              <w:t>Restructuring costs, lease impairment expense</w:t>
            </w:r>
          </w:p>
        </w:tc>
        <w:tc>
          <w:tcPr>
            <w:tcW w:w="940" w:type="dxa"/>
            <w:vAlign w:val="bottom"/>
            <w:shd w:val="clear" w:color="auto" w:fill="DBDBDB"/>
          </w:tcPr>
          <w:p>
            <w:pPr>
              <w:spacing w:after="0"/>
              <w:rPr>
                <w:sz w:val="12"/>
                <w:szCs w:val="12"/>
                <w:color w:val="auto"/>
              </w:rPr>
            </w:pPr>
          </w:p>
        </w:tc>
        <w:tc>
          <w:tcPr>
            <w:tcW w:w="60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940" w:type="dxa"/>
            <w:vAlign w:val="bottom"/>
            <w:shd w:val="clear" w:color="auto" w:fill="DBDBDB"/>
          </w:tcPr>
          <w:p>
            <w:pPr>
              <w:spacing w:after="0"/>
              <w:rPr>
                <w:sz w:val="12"/>
                <w:szCs w:val="12"/>
                <w:color w:val="auto"/>
              </w:rPr>
            </w:pPr>
          </w:p>
        </w:tc>
        <w:tc>
          <w:tcPr>
            <w:tcW w:w="60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380" w:type="dxa"/>
            <w:vAlign w:val="bottom"/>
            <w:shd w:val="clear" w:color="auto" w:fill="DBDBDB"/>
          </w:tcPr>
          <w:p>
            <w:pPr>
              <w:spacing w:after="0"/>
              <w:rPr>
                <w:sz w:val="12"/>
                <w:szCs w:val="12"/>
                <w:color w:val="auto"/>
              </w:rPr>
            </w:pPr>
          </w:p>
        </w:tc>
        <w:tc>
          <w:tcPr>
            <w:tcW w:w="11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380" w:type="dxa"/>
            <w:vAlign w:val="bottom"/>
            <w:shd w:val="clear" w:color="auto" w:fill="DBDBDB"/>
          </w:tcPr>
          <w:p>
            <w:pPr>
              <w:spacing w:after="0"/>
              <w:rPr>
                <w:sz w:val="12"/>
                <w:szCs w:val="12"/>
                <w:color w:val="auto"/>
              </w:rPr>
            </w:pPr>
          </w:p>
        </w:tc>
        <w:tc>
          <w:tcPr>
            <w:tcW w:w="116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300" w:type="dxa"/>
            <w:vAlign w:val="bottom"/>
            <w:shd w:val="clear" w:color="auto" w:fill="DBDBDB"/>
          </w:tcPr>
          <w:p>
            <w:pPr>
              <w:spacing w:after="0"/>
              <w:rPr>
                <w:sz w:val="12"/>
                <w:szCs w:val="12"/>
                <w:color w:val="auto"/>
              </w:rPr>
            </w:pPr>
          </w:p>
        </w:tc>
        <w:tc>
          <w:tcPr>
            <w:tcW w:w="1260" w:type="dxa"/>
            <w:vAlign w:val="bottom"/>
            <w:shd w:val="clear" w:color="auto" w:fill="DBDBDB"/>
          </w:tcPr>
          <w:p>
            <w:pPr>
              <w:spacing w:after="0"/>
              <w:rPr>
                <w:sz w:val="12"/>
                <w:szCs w:val="12"/>
                <w:color w:val="auto"/>
              </w:rPr>
            </w:pPr>
          </w:p>
        </w:tc>
      </w:tr>
      <w:tr>
        <w:trPr>
          <w:trHeight w:val="162"/>
        </w:trPr>
        <w:tc>
          <w:tcPr>
            <w:tcW w:w="3180" w:type="dxa"/>
            <w:vAlign w:val="bottom"/>
            <w:shd w:val="clear" w:color="auto" w:fill="DBDBDB"/>
          </w:tcPr>
          <w:p>
            <w:pPr>
              <w:ind w:left="200"/>
              <w:spacing w:after="0"/>
              <w:rPr>
                <w:sz w:val="20"/>
                <w:szCs w:val="20"/>
                <w:color w:val="auto"/>
              </w:rPr>
            </w:pPr>
            <w:r>
              <w:rPr>
                <w:rFonts w:ascii="Arial" w:cs="Arial" w:eastAsia="Arial" w:hAnsi="Arial"/>
                <w:sz w:val="13"/>
                <w:szCs w:val="13"/>
                <w:color w:val="auto"/>
              </w:rPr>
              <w:t>and other related charges</w:t>
            </w:r>
          </w:p>
        </w:tc>
        <w:tc>
          <w:tcPr>
            <w:tcW w:w="940" w:type="dxa"/>
            <w:vAlign w:val="bottom"/>
            <w:shd w:val="clear" w:color="auto" w:fill="DBDBDB"/>
          </w:tcPr>
          <w:p>
            <w:pPr>
              <w:spacing w:after="0"/>
              <w:rPr>
                <w:sz w:val="14"/>
                <w:szCs w:val="14"/>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1,601</w:t>
            </w:r>
          </w:p>
        </w:tc>
        <w:tc>
          <w:tcPr>
            <w:tcW w:w="100" w:type="dxa"/>
            <w:vAlign w:val="bottom"/>
            <w:shd w:val="clear" w:color="auto" w:fill="DBDBDB"/>
          </w:tcPr>
          <w:p>
            <w:pPr>
              <w:spacing w:after="0"/>
              <w:rPr>
                <w:sz w:val="14"/>
                <w:szCs w:val="14"/>
                <w:color w:val="auto"/>
              </w:rPr>
            </w:pPr>
          </w:p>
        </w:tc>
        <w:tc>
          <w:tcPr>
            <w:tcW w:w="940" w:type="dxa"/>
            <w:vAlign w:val="bottom"/>
            <w:shd w:val="clear" w:color="auto" w:fill="DBDBDB"/>
          </w:tcPr>
          <w:p>
            <w:pPr>
              <w:spacing w:after="0"/>
              <w:rPr>
                <w:sz w:val="14"/>
                <w:szCs w:val="14"/>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2,143</w:t>
            </w:r>
          </w:p>
        </w:tc>
        <w:tc>
          <w:tcPr>
            <w:tcW w:w="10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4,798</w:t>
            </w:r>
          </w:p>
        </w:tc>
        <w:tc>
          <w:tcPr>
            <w:tcW w:w="10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2,861</w:t>
            </w:r>
          </w:p>
        </w:tc>
        <w:tc>
          <w:tcPr>
            <w:tcW w:w="80" w:type="dxa"/>
            <w:vAlign w:val="bottom"/>
            <w:shd w:val="clear" w:color="auto" w:fill="DBDBDB"/>
          </w:tcPr>
          <w:p>
            <w:pPr>
              <w:spacing w:after="0"/>
              <w:rPr>
                <w:sz w:val="14"/>
                <w:szCs w:val="14"/>
                <w:color w:val="auto"/>
              </w:rPr>
            </w:pPr>
          </w:p>
        </w:tc>
        <w:tc>
          <w:tcPr>
            <w:tcW w:w="300" w:type="dxa"/>
            <w:vAlign w:val="bottom"/>
            <w:shd w:val="clear" w:color="auto" w:fill="DBDBDB"/>
          </w:tcPr>
          <w:p>
            <w:pPr>
              <w:spacing w:after="0"/>
              <w:rPr>
                <w:sz w:val="14"/>
                <w:szCs w:val="14"/>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11,403</w:t>
            </w:r>
          </w:p>
        </w:tc>
      </w:tr>
      <w:tr>
        <w:trPr>
          <w:trHeight w:val="172"/>
        </w:trPr>
        <w:tc>
          <w:tcPr>
            <w:tcW w:w="3180" w:type="dxa"/>
            <w:vAlign w:val="bottom"/>
          </w:tcPr>
          <w:p>
            <w:pPr>
              <w:ind w:left="200"/>
              <w:spacing w:after="0"/>
              <w:rPr>
                <w:sz w:val="20"/>
                <w:szCs w:val="20"/>
                <w:color w:val="auto"/>
              </w:rPr>
            </w:pPr>
            <w:r>
              <w:rPr>
                <w:rFonts w:ascii="Arial" w:cs="Arial" w:eastAsia="Arial" w:hAnsi="Arial"/>
                <w:sz w:val="13"/>
                <w:szCs w:val="13"/>
                <w:color w:val="auto"/>
              </w:rPr>
              <w:t>Transaction costs</w:t>
            </w:r>
          </w:p>
        </w:tc>
        <w:tc>
          <w:tcPr>
            <w:tcW w:w="9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9,431</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1,619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52,191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812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64,053</w:t>
            </w:r>
          </w:p>
        </w:tc>
      </w:tr>
      <w:tr>
        <w:trPr>
          <w:trHeight w:val="178"/>
        </w:trPr>
        <w:tc>
          <w:tcPr>
            <w:tcW w:w="3180" w:type="dxa"/>
            <w:vAlign w:val="bottom"/>
            <w:shd w:val="clear" w:color="auto" w:fill="DBDBDB"/>
          </w:tcPr>
          <w:p>
            <w:pPr>
              <w:ind w:left="200"/>
              <w:spacing w:after="0"/>
              <w:rPr>
                <w:sz w:val="20"/>
                <w:szCs w:val="20"/>
                <w:color w:val="auto"/>
              </w:rPr>
            </w:pPr>
            <w:r>
              <w:rPr>
                <w:rFonts w:ascii="Arial" w:cs="Arial" w:eastAsia="Arial" w:hAnsi="Arial"/>
                <w:sz w:val="13"/>
                <w:szCs w:val="13"/>
                <w:color w:val="auto"/>
              </w:rPr>
              <w:t>Integration costs</w:t>
            </w:r>
          </w:p>
        </w:tc>
        <w:tc>
          <w:tcPr>
            <w:tcW w:w="940" w:type="dxa"/>
            <w:vAlign w:val="bottom"/>
            <w:shd w:val="clear" w:color="auto" w:fill="DBDBDB"/>
          </w:tcPr>
          <w:p>
            <w:pPr>
              <w:spacing w:after="0"/>
              <w:rPr>
                <w:sz w:val="15"/>
                <w:szCs w:val="15"/>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1,685</w:t>
            </w:r>
          </w:p>
        </w:tc>
        <w:tc>
          <w:tcPr>
            <w:tcW w:w="100" w:type="dxa"/>
            <w:vAlign w:val="bottom"/>
            <w:shd w:val="clear" w:color="auto" w:fill="DBDBDB"/>
          </w:tcPr>
          <w:p>
            <w:pPr>
              <w:spacing w:after="0"/>
              <w:rPr>
                <w:sz w:val="15"/>
                <w:szCs w:val="15"/>
                <w:color w:val="auto"/>
              </w:rPr>
            </w:pPr>
          </w:p>
        </w:tc>
        <w:tc>
          <w:tcPr>
            <w:tcW w:w="940" w:type="dxa"/>
            <w:vAlign w:val="bottom"/>
            <w:shd w:val="clear" w:color="auto" w:fill="DBDBDB"/>
          </w:tcPr>
          <w:p>
            <w:pPr>
              <w:spacing w:after="0"/>
              <w:rPr>
                <w:sz w:val="15"/>
                <w:szCs w:val="15"/>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2,153</w:t>
            </w:r>
          </w:p>
        </w:tc>
        <w:tc>
          <w:tcPr>
            <w:tcW w:w="10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7,083</w:t>
            </w:r>
          </w:p>
        </w:tc>
        <w:tc>
          <w:tcPr>
            <w:tcW w:w="10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7,417</w:t>
            </w:r>
          </w:p>
        </w:tc>
        <w:tc>
          <w:tcPr>
            <w:tcW w:w="8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18,338</w:t>
            </w:r>
          </w:p>
        </w:tc>
      </w:tr>
      <w:tr>
        <w:trPr>
          <w:trHeight w:val="172"/>
        </w:trPr>
        <w:tc>
          <w:tcPr>
            <w:tcW w:w="3180" w:type="dxa"/>
            <w:vAlign w:val="bottom"/>
          </w:tcPr>
          <w:p>
            <w:pPr>
              <w:ind w:left="200"/>
              <w:spacing w:after="0"/>
              <w:rPr>
                <w:sz w:val="20"/>
                <w:szCs w:val="20"/>
                <w:color w:val="auto"/>
              </w:rPr>
            </w:pPr>
            <w:r>
              <w:rPr>
                <w:rFonts w:ascii="Arial" w:cs="Arial" w:eastAsia="Arial" w:hAnsi="Arial"/>
                <w:sz w:val="13"/>
                <w:szCs w:val="13"/>
                <w:color w:val="auto"/>
              </w:rPr>
              <w:t>Stock compensation expense</w:t>
            </w:r>
          </w:p>
        </w:tc>
        <w:tc>
          <w:tcPr>
            <w:tcW w:w="9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1,787</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2,227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2,944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2,921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9,879</w:t>
            </w:r>
          </w:p>
        </w:tc>
      </w:tr>
      <w:tr>
        <w:trPr>
          <w:trHeight w:val="175"/>
        </w:trPr>
        <w:tc>
          <w:tcPr>
            <w:tcW w:w="3180" w:type="dxa"/>
            <w:vAlign w:val="bottom"/>
            <w:shd w:val="clear" w:color="auto" w:fill="DBDBDB"/>
          </w:tcPr>
          <w:p>
            <w:pPr>
              <w:ind w:left="200"/>
              <w:spacing w:after="0"/>
              <w:rPr>
                <w:sz w:val="20"/>
                <w:szCs w:val="20"/>
                <w:color w:val="auto"/>
              </w:rPr>
            </w:pPr>
            <w:r>
              <w:rPr>
                <w:rFonts w:ascii="Arial" w:cs="Arial" w:eastAsia="Arial" w:hAnsi="Arial"/>
                <w:sz w:val="13"/>
                <w:szCs w:val="13"/>
                <w:color w:val="auto"/>
              </w:rPr>
              <w:t>Other</w:t>
            </w:r>
          </w:p>
        </w:tc>
        <w:tc>
          <w:tcPr>
            <w:tcW w:w="940" w:type="dxa"/>
            <w:vAlign w:val="bottom"/>
            <w:tcBorders>
              <w:bottom w:val="single" w:sz="8" w:color="auto"/>
            </w:tcBorders>
            <w:shd w:val="clear" w:color="auto" w:fill="DBDBDB"/>
          </w:tcPr>
          <w:p>
            <w:pPr>
              <w:spacing w:after="0"/>
              <w:rPr>
                <w:sz w:val="15"/>
                <w:szCs w:val="15"/>
                <w:color w:val="auto"/>
              </w:rPr>
            </w:pP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(253)</w:t>
            </w:r>
          </w:p>
        </w:tc>
        <w:tc>
          <w:tcPr>
            <w:tcW w:w="100" w:type="dxa"/>
            <w:vAlign w:val="bottom"/>
            <w:shd w:val="clear" w:color="auto" w:fill="DBDBDB"/>
          </w:tcPr>
          <w:p>
            <w:pPr>
              <w:spacing w:after="0"/>
              <w:rPr>
                <w:sz w:val="15"/>
                <w:szCs w:val="15"/>
                <w:color w:val="auto"/>
              </w:rPr>
            </w:pPr>
          </w:p>
        </w:tc>
        <w:tc>
          <w:tcPr>
            <w:tcW w:w="940" w:type="dxa"/>
            <w:vAlign w:val="bottom"/>
            <w:tcBorders>
              <w:bottom w:val="single" w:sz="8" w:color="auto"/>
            </w:tcBorders>
            <w:shd w:val="clear" w:color="auto" w:fill="DBDBDB"/>
          </w:tcPr>
          <w:p>
            <w:pPr>
              <w:spacing w:after="0"/>
              <w:rPr>
                <w:sz w:val="15"/>
                <w:szCs w:val="15"/>
                <w:color w:val="auto"/>
              </w:rPr>
            </w:pP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314</w:t>
            </w:r>
          </w:p>
        </w:tc>
        <w:tc>
          <w:tcPr>
            <w:tcW w:w="100" w:type="dxa"/>
            <w:vAlign w:val="bottom"/>
            <w:tcBorders>
              <w:bottom w:val="single" w:sz="8" w:color="auto"/>
            </w:tcBorders>
            <w:shd w:val="clear" w:color="auto" w:fill="DBDBDB"/>
          </w:tcPr>
          <w:p>
            <w:pPr>
              <w:spacing w:after="0"/>
              <w:rPr>
                <w:sz w:val="15"/>
                <w:szCs w:val="15"/>
                <w:color w:val="auto"/>
              </w:rPr>
            </w:pPr>
          </w:p>
        </w:tc>
        <w:tc>
          <w:tcPr>
            <w:tcW w:w="380" w:type="dxa"/>
            <w:vAlign w:val="bottom"/>
            <w:tcBorders>
              <w:bottom w:val="single" w:sz="8" w:color="auto"/>
            </w:tcBorders>
            <w:shd w:val="clear" w:color="auto" w:fill="DBDBDB"/>
          </w:tcPr>
          <w:p>
            <w:pPr>
              <w:spacing w:after="0"/>
              <w:rPr>
                <w:sz w:val="15"/>
                <w:szCs w:val="15"/>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198</w:t>
            </w:r>
          </w:p>
        </w:tc>
        <w:tc>
          <w:tcPr>
            <w:tcW w:w="100" w:type="dxa"/>
            <w:vAlign w:val="bottom"/>
            <w:tcBorders>
              <w:bottom w:val="single" w:sz="8" w:color="auto"/>
            </w:tcBorders>
            <w:shd w:val="clear" w:color="auto" w:fill="DBDBDB"/>
          </w:tcPr>
          <w:p>
            <w:pPr>
              <w:spacing w:after="0"/>
              <w:rPr>
                <w:sz w:val="15"/>
                <w:szCs w:val="15"/>
                <w:color w:val="auto"/>
              </w:rPr>
            </w:pPr>
          </w:p>
        </w:tc>
        <w:tc>
          <w:tcPr>
            <w:tcW w:w="380" w:type="dxa"/>
            <w:vAlign w:val="bottom"/>
            <w:tcBorders>
              <w:bottom w:val="single" w:sz="8" w:color="auto"/>
            </w:tcBorders>
            <w:shd w:val="clear" w:color="auto" w:fill="DBDBDB"/>
          </w:tcPr>
          <w:p>
            <w:pPr>
              <w:spacing w:after="0"/>
              <w:rPr>
                <w:sz w:val="15"/>
                <w:szCs w:val="15"/>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185</w:t>
            </w:r>
          </w:p>
        </w:tc>
        <w:tc>
          <w:tcPr>
            <w:tcW w:w="80" w:type="dxa"/>
            <w:vAlign w:val="bottom"/>
            <w:tcBorders>
              <w:bottom w:val="single" w:sz="8" w:color="auto"/>
            </w:tcBorders>
            <w:shd w:val="clear" w:color="auto" w:fill="DBDBDB"/>
          </w:tcPr>
          <w:p>
            <w:pPr>
              <w:spacing w:after="0"/>
              <w:rPr>
                <w:sz w:val="15"/>
                <w:szCs w:val="15"/>
                <w:color w:val="auto"/>
              </w:rPr>
            </w:pPr>
          </w:p>
        </w:tc>
        <w:tc>
          <w:tcPr>
            <w:tcW w:w="300" w:type="dxa"/>
            <w:vAlign w:val="bottom"/>
            <w:tcBorders>
              <w:bottom w:val="single" w:sz="8" w:color="auto"/>
            </w:tcBorders>
            <w:shd w:val="clear" w:color="auto" w:fill="DBDBDB"/>
          </w:tcPr>
          <w:p>
            <w:pPr>
              <w:spacing w:after="0"/>
              <w:rPr>
                <w:sz w:val="15"/>
                <w:szCs w:val="15"/>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444</w:t>
            </w:r>
          </w:p>
        </w:tc>
      </w:tr>
      <w:tr>
        <w:trPr>
          <w:trHeight w:val="169"/>
        </w:trPr>
        <w:tc>
          <w:tcPr>
            <w:tcW w:w="3180" w:type="dxa"/>
            <w:vAlign w:val="bottom"/>
          </w:tcPr>
          <w:p>
            <w:pPr>
              <w:ind w:left="20"/>
              <w:spacing w:after="0"/>
              <w:rPr>
                <w:sz w:val="20"/>
                <w:szCs w:val="20"/>
                <w:color w:val="auto"/>
              </w:rPr>
            </w:pPr>
            <w:r>
              <w:rPr>
                <w:rFonts w:ascii="Arial" w:cs="Arial" w:eastAsia="Arial" w:hAnsi="Arial"/>
                <w:sz w:val="13"/>
                <w:szCs w:val="13"/>
                <w:color w:val="auto"/>
              </w:rPr>
              <w:t>Adjusted EBITDA</w:t>
            </w:r>
          </w:p>
        </w:tc>
        <w:tc>
          <w:tcPr>
            <w:tcW w:w="940" w:type="dxa"/>
            <w:vAlign w:val="bottom"/>
            <w:tcBorders>
              <w:bottom w:val="single" w:sz="8" w:color="auto"/>
            </w:tcBorders>
          </w:tcPr>
          <w:p>
            <w:pPr>
              <w:jc w:val="right"/>
              <w:ind w:right="794"/>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89,544</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right"/>
              <w:ind w:right="794"/>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97,520</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163,559</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179,684</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530,307</w:t>
            </w:r>
          </w:p>
        </w:tc>
      </w:tr>
      <w:tr>
        <w:trPr>
          <w:trHeight w:val="20"/>
        </w:trPr>
        <w:tc>
          <w:tcPr>
            <w:tcW w:w="3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Adjusted Gross Profit and Adjusted Gross Profit Percentage</w:t>
      </w:r>
    </w:p>
    <w:p>
      <w:pPr>
        <w:spacing w:after="0" w:line="110" w:lineRule="exact"/>
        <w:rPr>
          <w:sz w:val="20"/>
          <w:szCs w:val="20"/>
          <w:color w:val="auto"/>
        </w:rPr>
      </w:pPr>
    </w:p>
    <w:p>
      <w:pPr>
        <w:jc w:val="both"/>
        <w:ind w:firstLine="524"/>
        <w:spacing w:after="0" w:line="248" w:lineRule="auto"/>
        <w:rPr>
          <w:sz w:val="20"/>
          <w:szCs w:val="20"/>
          <w:color w:val="auto"/>
        </w:rPr>
      </w:pPr>
      <w:r>
        <w:rPr>
          <w:rFonts w:ascii="Arial" w:cs="Arial" w:eastAsia="Arial" w:hAnsi="Arial"/>
          <w:sz w:val="13"/>
          <w:szCs w:val="13"/>
          <w:color w:val="auto"/>
        </w:rPr>
        <w:t>We define Adjusted Gross Profit as gross profit plus depreciation on rental equipment. Adjusted Gross Profit Percentage is defined as Adjusted Gross Profit divided by revenue. Adjusted Gross Profit and Adjusted Gross Profit Percentage are not measurements of our financial performance under GAAP and should not be considered as an alternative to gross profit, gross profit percentage, or other performance measures derived in accordance with GAAP. In addition, our measurement of Adjusted Gross Profit and Adjusted Gross Profit Percentage may not be comparable to similarly titled measures of other companies. Management believes that the presentation of Adjusted Gross Profit and Adjusted Gross Profit Percentage provides useful information regarding our results of operations and assists in analyzing the underlying performance of our business.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28" w:right="319" w:bottom="1440" w:gutter="0" w:footer="0" w:header="0"/>
        </w:sectPr>
      </w:pPr>
    </w:p>
    <w:bookmarkStart w:id="53" w:name="page54"/>
    <w:bookmarkEnd w:id="53"/>
    <w:p>
      <w:pPr>
        <w:ind w:left="540"/>
        <w:spacing w:after="0"/>
        <w:rPr>
          <w:sz w:val="20"/>
          <w:szCs w:val="20"/>
          <w:color w:val="auto"/>
        </w:rPr>
      </w:pPr>
      <w:r>
        <w:rPr>
          <w:rFonts w:ascii="Arial" w:cs="Arial" w:eastAsia="Arial" w:hAnsi="Arial"/>
          <w:sz w:val="13"/>
          <w:szCs w:val="13"/>
          <w:color w:val="auto"/>
        </w:rPr>
        <w:t>The following table provides an unaudited reconciliation of gross profit to Adjusted Gross Profit and Adjusted Gross Profit Percentage: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80" w:type="dxa"/>
            <w:vAlign w:val="bottom"/>
            <w:shd w:val="clear" w:color="auto" w:fill="1D2758"/>
          </w:tcPr>
          <w:p>
            <w:pPr>
              <w:spacing w:after="0"/>
              <w:rPr>
                <w:sz w:val="15"/>
                <w:szCs w:val="15"/>
                <w:color w:val="auto"/>
              </w:rPr>
            </w:pPr>
          </w:p>
        </w:tc>
        <w:tc>
          <w:tcPr>
            <w:tcW w:w="560" w:type="dxa"/>
            <w:vAlign w:val="bottom"/>
            <w:shd w:val="clear" w:color="auto" w:fill="1D2758"/>
          </w:tcPr>
          <w:p>
            <w:pPr>
              <w:spacing w:after="0"/>
              <w:rPr>
                <w:sz w:val="15"/>
                <w:szCs w:val="15"/>
                <w:color w:val="auto"/>
              </w:rPr>
            </w:pPr>
          </w:p>
        </w:tc>
        <w:tc>
          <w:tcPr>
            <w:tcW w:w="2720" w:type="dxa"/>
            <w:vAlign w:val="bottom"/>
            <w:gridSpan w:val="3"/>
            <w:shd w:val="clear" w:color="auto" w:fill="1D2758"/>
          </w:tcPr>
          <w:p>
            <w:pPr>
              <w:jc w:val="right"/>
              <w:ind w:right="54"/>
              <w:spacing w:after="0"/>
              <w:rPr>
                <w:sz w:val="20"/>
                <w:szCs w:val="20"/>
                <w:color w:val="auto"/>
              </w:rPr>
            </w:pPr>
            <w:r>
              <w:rPr>
                <w:rFonts w:ascii="Arial" w:cs="Arial" w:eastAsia="Arial" w:hAnsi="Arial"/>
                <w:sz w:val="13"/>
                <w:szCs w:val="13"/>
                <w:b w:val="1"/>
                <w:bCs w:val="1"/>
                <w:color w:val="FFFFFF"/>
              </w:rPr>
              <w:t>Year Ended December 31,</w:t>
            </w:r>
          </w:p>
        </w:tc>
        <w:tc>
          <w:tcPr>
            <w:tcW w:w="1420" w:type="dxa"/>
            <w:vAlign w:val="bottom"/>
            <w:shd w:val="clear" w:color="auto" w:fill="1D2758"/>
          </w:tcPr>
          <w:p>
            <w:pPr>
              <w:spacing w:after="0"/>
              <w:rPr>
                <w:sz w:val="15"/>
                <w:szCs w:val="15"/>
                <w:color w:val="auto"/>
              </w:rPr>
            </w:pPr>
          </w:p>
        </w:tc>
      </w:tr>
      <w:tr>
        <w:trPr>
          <w:trHeight w:val="175"/>
        </w:trPr>
        <w:tc>
          <w:tcPr>
            <w:tcW w:w="658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560" w:type="dxa"/>
            <w:vAlign w:val="bottom"/>
            <w:shd w:val="clear" w:color="auto" w:fill="1D2758"/>
          </w:tcPr>
          <w:p>
            <w:pPr>
              <w:spacing w:after="0"/>
              <w:rPr>
                <w:sz w:val="15"/>
                <w:szCs w:val="15"/>
                <w:color w:val="auto"/>
              </w:rPr>
            </w:pPr>
          </w:p>
        </w:tc>
        <w:tc>
          <w:tcPr>
            <w:tcW w:w="1740" w:type="dxa"/>
            <w:vAlign w:val="bottom"/>
            <w:shd w:val="clear" w:color="auto" w:fill="1D2758"/>
          </w:tcPr>
          <w:p>
            <w:pPr>
              <w:jc w:val="right"/>
              <w:ind w:right="934"/>
              <w:spacing w:after="0"/>
              <w:rPr>
                <w:sz w:val="20"/>
                <w:szCs w:val="20"/>
                <w:color w:val="auto"/>
              </w:rPr>
            </w:pPr>
            <w:r>
              <w:rPr>
                <w:rFonts w:ascii="Arial" w:cs="Arial" w:eastAsia="Arial" w:hAnsi="Arial"/>
                <w:sz w:val="13"/>
                <w:szCs w:val="13"/>
                <w:b w:val="1"/>
                <w:bCs w:val="1"/>
                <w:color w:val="FFFFFF"/>
              </w:rPr>
              <w:t>2021</w:t>
            </w:r>
          </w:p>
        </w:tc>
        <w:tc>
          <w:tcPr>
            <w:tcW w:w="100" w:type="dxa"/>
            <w:vAlign w:val="bottom"/>
            <w:shd w:val="clear" w:color="auto" w:fill="1D2758"/>
          </w:tcPr>
          <w:p>
            <w:pPr>
              <w:spacing w:after="0"/>
              <w:rPr>
                <w:sz w:val="15"/>
                <w:szCs w:val="15"/>
                <w:color w:val="auto"/>
              </w:rPr>
            </w:pPr>
          </w:p>
        </w:tc>
        <w:tc>
          <w:tcPr>
            <w:tcW w:w="880" w:type="dxa"/>
            <w:vAlign w:val="bottom"/>
            <w:shd w:val="clear" w:color="auto" w:fill="1D2758"/>
          </w:tcPr>
          <w:p>
            <w:pPr>
              <w:spacing w:after="0"/>
              <w:rPr>
                <w:sz w:val="15"/>
                <w:szCs w:val="15"/>
                <w:color w:val="auto"/>
              </w:rPr>
            </w:pPr>
          </w:p>
        </w:tc>
        <w:tc>
          <w:tcPr>
            <w:tcW w:w="1420" w:type="dxa"/>
            <w:vAlign w:val="bottom"/>
            <w:shd w:val="clear" w:color="auto" w:fill="1D2758"/>
          </w:tcPr>
          <w:p>
            <w:pPr>
              <w:jc w:val="right"/>
              <w:ind w:right="934"/>
              <w:spacing w:after="0"/>
              <w:rPr>
                <w:sz w:val="20"/>
                <w:szCs w:val="20"/>
                <w:color w:val="auto"/>
              </w:rPr>
            </w:pPr>
            <w:r>
              <w:rPr>
                <w:rFonts w:ascii="Arial" w:cs="Arial" w:eastAsia="Arial" w:hAnsi="Arial"/>
                <w:sz w:val="13"/>
                <w:szCs w:val="13"/>
                <w:b w:val="1"/>
                <w:bCs w:val="1"/>
                <w:color w:val="FFFFFF"/>
              </w:rPr>
              <w:t>2020</w:t>
            </w:r>
          </w:p>
        </w:tc>
      </w:tr>
      <w:tr>
        <w:trPr>
          <w:trHeight w:val="175"/>
        </w:trPr>
        <w:tc>
          <w:tcPr>
            <w:tcW w:w="6580" w:type="dxa"/>
            <w:vAlign w:val="bottom"/>
            <w:shd w:val="clear" w:color="auto" w:fill="DBDBDB"/>
          </w:tcPr>
          <w:p>
            <w:pPr>
              <w:ind w:left="20"/>
              <w:spacing w:after="0"/>
              <w:rPr>
                <w:sz w:val="20"/>
                <w:szCs w:val="20"/>
                <w:color w:val="auto"/>
              </w:rPr>
            </w:pPr>
            <w:r>
              <w:rPr>
                <w:rFonts w:ascii="Arial" w:cs="Arial" w:eastAsia="Arial" w:hAnsi="Arial"/>
                <w:sz w:val="13"/>
                <w:szCs w:val="13"/>
                <w:color w:val="auto"/>
              </w:rPr>
              <w:t>Revenue (A)</w:t>
            </w:r>
          </w:p>
        </w:tc>
        <w:tc>
          <w:tcPr>
            <w:tcW w:w="560" w:type="dxa"/>
            <w:vAlign w:val="bottom"/>
            <w:shd w:val="clear" w:color="auto" w:fill="DBDBDB"/>
          </w:tcPr>
          <w:p>
            <w:pPr>
              <w:jc w:val="right"/>
              <w:ind w:right="394"/>
              <w:spacing w:after="0"/>
              <w:rPr>
                <w:sz w:val="20"/>
                <w:szCs w:val="20"/>
                <w:color w:val="auto"/>
              </w:rPr>
            </w:pPr>
            <w:r>
              <w:rPr>
                <w:rFonts w:ascii="Arial" w:cs="Arial" w:eastAsia="Arial" w:hAnsi="Arial"/>
                <w:sz w:val="13"/>
                <w:szCs w:val="13"/>
                <w:color w:val="auto"/>
              </w:rPr>
              <w:t>$</w:t>
            </w:r>
          </w:p>
        </w:tc>
        <w:tc>
          <w:tcPr>
            <w:tcW w:w="17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1,894,897</w:t>
            </w:r>
          </w:p>
        </w:tc>
        <w:tc>
          <w:tcPr>
            <w:tcW w:w="100" w:type="dxa"/>
            <w:vAlign w:val="bottom"/>
            <w:shd w:val="clear" w:color="auto" w:fill="DBDBDB"/>
          </w:tcPr>
          <w:p>
            <w:pPr>
              <w:spacing w:after="0"/>
              <w:rPr>
                <w:sz w:val="15"/>
                <w:szCs w:val="15"/>
                <w:color w:val="auto"/>
              </w:rPr>
            </w:pPr>
          </w:p>
        </w:tc>
        <w:tc>
          <w:tcPr>
            <w:tcW w:w="880" w:type="dxa"/>
            <w:vAlign w:val="bottom"/>
            <w:shd w:val="clear" w:color="auto" w:fill="DBDBDB"/>
          </w:tcPr>
          <w:p>
            <w:pPr>
              <w:jc w:val="right"/>
              <w:ind w:right="734"/>
              <w:spacing w:after="0"/>
              <w:rPr>
                <w:sz w:val="20"/>
                <w:szCs w:val="20"/>
                <w:color w:val="auto"/>
              </w:rPr>
            </w:pPr>
            <w:r>
              <w:rPr>
                <w:rFonts w:ascii="Arial" w:cs="Arial" w:eastAsia="Arial" w:hAnsi="Arial"/>
                <w:sz w:val="13"/>
                <w:szCs w:val="13"/>
                <w:color w:val="auto"/>
                <w:w w:val="82"/>
              </w:rPr>
              <w:t>$</w:t>
            </w:r>
          </w:p>
        </w:tc>
        <w:tc>
          <w:tcPr>
            <w:tcW w:w="142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1,367,645</w:t>
            </w:r>
          </w:p>
        </w:tc>
      </w:tr>
      <w:tr>
        <w:trPr>
          <w:trHeight w:val="218"/>
        </w:trPr>
        <w:tc>
          <w:tcPr>
            <w:tcW w:w="6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175"/>
        </w:trPr>
        <w:tc>
          <w:tcPr>
            <w:tcW w:w="6580" w:type="dxa"/>
            <w:vAlign w:val="bottom"/>
            <w:shd w:val="clear" w:color="auto" w:fill="DBDBDB"/>
          </w:tcPr>
          <w:p>
            <w:pPr>
              <w:ind w:left="20"/>
              <w:spacing w:after="0"/>
              <w:rPr>
                <w:sz w:val="20"/>
                <w:szCs w:val="20"/>
                <w:color w:val="auto"/>
              </w:rPr>
            </w:pPr>
            <w:r>
              <w:rPr>
                <w:rFonts w:ascii="Arial" w:cs="Arial" w:eastAsia="Arial" w:hAnsi="Arial"/>
                <w:sz w:val="13"/>
                <w:szCs w:val="13"/>
                <w:color w:val="auto"/>
              </w:rPr>
              <w:t>Gross profit (B)</w:t>
            </w:r>
          </w:p>
        </w:tc>
        <w:tc>
          <w:tcPr>
            <w:tcW w:w="560" w:type="dxa"/>
            <w:vAlign w:val="bottom"/>
            <w:shd w:val="clear" w:color="auto" w:fill="DBDBDB"/>
          </w:tcPr>
          <w:p>
            <w:pPr>
              <w:jc w:val="right"/>
              <w:ind w:right="394"/>
              <w:spacing w:after="0"/>
              <w:rPr>
                <w:sz w:val="20"/>
                <w:szCs w:val="20"/>
                <w:color w:val="auto"/>
              </w:rPr>
            </w:pPr>
            <w:r>
              <w:rPr>
                <w:rFonts w:ascii="Arial" w:cs="Arial" w:eastAsia="Arial" w:hAnsi="Arial"/>
                <w:sz w:val="13"/>
                <w:szCs w:val="13"/>
                <w:color w:val="auto"/>
              </w:rPr>
              <w:t>$</w:t>
            </w:r>
          </w:p>
        </w:tc>
        <w:tc>
          <w:tcPr>
            <w:tcW w:w="17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968,208</w:t>
            </w:r>
          </w:p>
        </w:tc>
        <w:tc>
          <w:tcPr>
            <w:tcW w:w="100" w:type="dxa"/>
            <w:vAlign w:val="bottom"/>
            <w:shd w:val="clear" w:color="auto" w:fill="DBDBDB"/>
          </w:tcPr>
          <w:p>
            <w:pPr>
              <w:spacing w:after="0"/>
              <w:rPr>
                <w:sz w:val="15"/>
                <w:szCs w:val="15"/>
                <w:color w:val="auto"/>
              </w:rPr>
            </w:pPr>
          </w:p>
        </w:tc>
        <w:tc>
          <w:tcPr>
            <w:tcW w:w="880" w:type="dxa"/>
            <w:vAlign w:val="bottom"/>
            <w:shd w:val="clear" w:color="auto" w:fill="DBDBDB"/>
          </w:tcPr>
          <w:p>
            <w:pPr>
              <w:jc w:val="right"/>
              <w:ind w:right="734"/>
              <w:spacing w:after="0"/>
              <w:rPr>
                <w:sz w:val="20"/>
                <w:szCs w:val="20"/>
                <w:color w:val="auto"/>
              </w:rPr>
            </w:pPr>
            <w:r>
              <w:rPr>
                <w:rFonts w:ascii="Arial" w:cs="Arial" w:eastAsia="Arial" w:hAnsi="Arial"/>
                <w:sz w:val="13"/>
                <w:szCs w:val="13"/>
                <w:color w:val="auto"/>
                <w:w w:val="82"/>
              </w:rPr>
              <w:t>$</w:t>
            </w:r>
          </w:p>
        </w:tc>
        <w:tc>
          <w:tcPr>
            <w:tcW w:w="142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659,973</w:t>
            </w:r>
          </w:p>
        </w:tc>
      </w:tr>
      <w:tr>
        <w:trPr>
          <w:trHeight w:val="172"/>
        </w:trPr>
        <w:tc>
          <w:tcPr>
            <w:tcW w:w="6580" w:type="dxa"/>
            <w:vAlign w:val="bottom"/>
            <w:tcBorders>
              <w:bottom w:val="single" w:sz="8" w:color="DBDBDB"/>
            </w:tcBorders>
          </w:tcPr>
          <w:p>
            <w:pPr>
              <w:ind w:left="200"/>
              <w:spacing w:after="0"/>
              <w:rPr>
                <w:sz w:val="20"/>
                <w:szCs w:val="20"/>
                <w:color w:val="auto"/>
              </w:rPr>
            </w:pPr>
            <w:r>
              <w:rPr>
                <w:rFonts w:ascii="Arial" w:cs="Arial" w:eastAsia="Arial" w:hAnsi="Arial"/>
                <w:sz w:val="13"/>
                <w:szCs w:val="13"/>
                <w:color w:val="auto"/>
              </w:rPr>
              <w:t>Depreciation of rental equipment</w:t>
            </w:r>
          </w:p>
        </w:tc>
        <w:tc>
          <w:tcPr>
            <w:tcW w:w="5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rPr>
              <w:t>237,537</w:t>
            </w:r>
          </w:p>
        </w:tc>
        <w:tc>
          <w:tcPr>
            <w:tcW w:w="100" w:type="dxa"/>
            <w:vAlign w:val="bottom"/>
            <w:tcBorders>
              <w:bottom w:val="single" w:sz="8" w:color="DBDBDB"/>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rPr>
              <w:t>200,581</w:t>
            </w:r>
          </w:p>
        </w:tc>
      </w:tr>
      <w:tr>
        <w:trPr>
          <w:trHeight w:val="194"/>
        </w:trPr>
        <w:tc>
          <w:tcPr>
            <w:tcW w:w="6580" w:type="dxa"/>
            <w:vAlign w:val="bottom"/>
            <w:tcBorders>
              <w:bottom w:val="single" w:sz="8" w:color="DBDBDB"/>
            </w:tcBorders>
            <w:shd w:val="clear" w:color="auto" w:fill="DBDBDB"/>
          </w:tcPr>
          <w:p>
            <w:pPr>
              <w:ind w:left="200"/>
              <w:spacing w:after="0"/>
              <w:rPr>
                <w:sz w:val="20"/>
                <w:szCs w:val="20"/>
                <w:color w:val="auto"/>
              </w:rPr>
            </w:pPr>
            <w:r>
              <w:rPr>
                <w:rFonts w:ascii="Arial" w:cs="Arial" w:eastAsia="Arial" w:hAnsi="Arial"/>
                <w:sz w:val="13"/>
                <w:szCs w:val="13"/>
                <w:color w:val="auto"/>
              </w:rPr>
              <w:t>Adjusted Gross Profit (C)</w:t>
            </w:r>
          </w:p>
        </w:tc>
        <w:tc>
          <w:tcPr>
            <w:tcW w:w="560" w:type="dxa"/>
            <w:vAlign w:val="bottom"/>
            <w:tcBorders>
              <w:bottom w:val="single" w:sz="8" w:color="auto"/>
            </w:tcBorders>
            <w:shd w:val="clear" w:color="auto" w:fill="DBDBDB"/>
          </w:tcPr>
          <w:p>
            <w:pPr>
              <w:jc w:val="right"/>
              <w:ind w:right="394"/>
              <w:spacing w:after="0"/>
              <w:rPr>
                <w:sz w:val="20"/>
                <w:szCs w:val="20"/>
                <w:color w:val="auto"/>
              </w:rPr>
            </w:pPr>
            <w:r>
              <w:rPr>
                <w:rFonts w:ascii="Arial" w:cs="Arial" w:eastAsia="Arial" w:hAnsi="Arial"/>
                <w:sz w:val="13"/>
                <w:szCs w:val="13"/>
                <w:color w:val="auto"/>
              </w:rPr>
              <w:t>$</w:t>
            </w:r>
          </w:p>
        </w:tc>
        <w:tc>
          <w:tcPr>
            <w:tcW w:w="1740" w:type="dxa"/>
            <w:vAlign w:val="bottom"/>
            <w:tcBorders>
              <w:bottom w:val="single" w:sz="8" w:color="auto"/>
            </w:tcBorders>
            <w:shd w:val="clear" w:color="auto" w:fill="DBDBDB"/>
          </w:tcPr>
          <w:p>
            <w:pPr>
              <w:jc w:val="right"/>
              <w:ind w:right="94"/>
              <w:spacing w:after="0"/>
              <w:rPr>
                <w:sz w:val="20"/>
                <w:szCs w:val="20"/>
                <w:color w:val="auto"/>
              </w:rPr>
            </w:pPr>
            <w:r>
              <w:rPr>
                <w:rFonts w:ascii="Arial" w:cs="Arial" w:eastAsia="Arial" w:hAnsi="Arial"/>
                <w:sz w:val="13"/>
                <w:szCs w:val="13"/>
                <w:color w:val="auto"/>
              </w:rPr>
              <w:t>1,205,745</w:t>
            </w:r>
          </w:p>
        </w:tc>
        <w:tc>
          <w:tcPr>
            <w:tcW w:w="10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auto"/>
            </w:tcBorders>
            <w:shd w:val="clear" w:color="auto" w:fill="DBDBDB"/>
          </w:tcPr>
          <w:p>
            <w:pPr>
              <w:jc w:val="right"/>
              <w:ind w:right="734"/>
              <w:spacing w:after="0"/>
              <w:rPr>
                <w:sz w:val="20"/>
                <w:szCs w:val="20"/>
                <w:color w:val="auto"/>
              </w:rPr>
            </w:pPr>
            <w:r>
              <w:rPr>
                <w:rFonts w:ascii="Arial" w:cs="Arial" w:eastAsia="Arial" w:hAnsi="Arial"/>
                <w:sz w:val="13"/>
                <w:szCs w:val="13"/>
                <w:color w:val="auto"/>
                <w:w w:val="82"/>
              </w:rPr>
              <w:t>$</w:t>
            </w:r>
          </w:p>
        </w:tc>
        <w:tc>
          <w:tcPr>
            <w:tcW w:w="1420" w:type="dxa"/>
            <w:vAlign w:val="bottom"/>
            <w:tcBorders>
              <w:bottom w:val="single" w:sz="8" w:color="auto"/>
            </w:tcBorders>
            <w:shd w:val="clear" w:color="auto" w:fill="DBDBDB"/>
          </w:tcPr>
          <w:p>
            <w:pPr>
              <w:jc w:val="right"/>
              <w:ind w:right="94"/>
              <w:spacing w:after="0"/>
              <w:rPr>
                <w:sz w:val="20"/>
                <w:szCs w:val="20"/>
                <w:color w:val="auto"/>
              </w:rPr>
            </w:pPr>
            <w:r>
              <w:rPr>
                <w:rFonts w:ascii="Arial" w:cs="Arial" w:eastAsia="Arial" w:hAnsi="Arial"/>
                <w:sz w:val="13"/>
                <w:szCs w:val="13"/>
                <w:color w:val="auto"/>
              </w:rPr>
              <w:t>860,554</w:t>
            </w:r>
          </w:p>
        </w:tc>
      </w:tr>
      <w:tr>
        <w:trPr>
          <w:trHeight w:val="20"/>
        </w:trPr>
        <w:tc>
          <w:tcPr>
            <w:tcW w:w="6580" w:type="dxa"/>
            <w:vAlign w:val="bottom"/>
            <w:tcBorders>
              <w:top w:val="single" w:sz="8" w:color="DBDBDB"/>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17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1420" w:type="dxa"/>
            <w:vAlign w:val="bottom"/>
            <w:tcBorders>
              <w:top w:val="single" w:sz="8" w:color="DBDBDB"/>
              <w:bottom w:val="single" w:sz="8" w:color="auto"/>
            </w:tcBorders>
          </w:tcPr>
          <w:p>
            <w:pPr>
              <w:spacing w:after="0" w:line="20" w:lineRule="exact"/>
              <w:rPr>
                <w:sz w:val="1"/>
                <w:szCs w:val="1"/>
                <w:color w:val="auto"/>
              </w:rPr>
            </w:pPr>
          </w:p>
        </w:tc>
      </w:tr>
      <w:tr>
        <w:trPr>
          <w:trHeight w:val="160"/>
        </w:trPr>
        <w:tc>
          <w:tcPr>
            <w:tcW w:w="6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75"/>
        </w:trPr>
        <w:tc>
          <w:tcPr>
            <w:tcW w:w="6580" w:type="dxa"/>
            <w:vAlign w:val="bottom"/>
            <w:shd w:val="clear" w:color="auto" w:fill="DBDBDB"/>
          </w:tcPr>
          <w:p>
            <w:pPr>
              <w:ind w:left="20"/>
              <w:spacing w:after="0"/>
              <w:rPr>
                <w:sz w:val="20"/>
                <w:szCs w:val="20"/>
                <w:color w:val="auto"/>
              </w:rPr>
            </w:pPr>
            <w:r>
              <w:rPr>
                <w:rFonts w:ascii="Arial" w:cs="Arial" w:eastAsia="Arial" w:hAnsi="Arial"/>
                <w:sz w:val="13"/>
                <w:szCs w:val="13"/>
                <w:color w:val="auto"/>
              </w:rPr>
              <w:t>Gross Profit Percentage (B/A)</w:t>
            </w:r>
          </w:p>
        </w:tc>
        <w:tc>
          <w:tcPr>
            <w:tcW w:w="560" w:type="dxa"/>
            <w:vAlign w:val="bottom"/>
            <w:shd w:val="clear" w:color="auto" w:fill="DBDBDB"/>
          </w:tcPr>
          <w:p>
            <w:pPr>
              <w:spacing w:after="0"/>
              <w:rPr>
                <w:sz w:val="15"/>
                <w:szCs w:val="15"/>
                <w:color w:val="auto"/>
              </w:rPr>
            </w:pPr>
          </w:p>
        </w:tc>
        <w:tc>
          <w:tcPr>
            <w:tcW w:w="17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51.1 %</w:t>
            </w:r>
          </w:p>
        </w:tc>
        <w:tc>
          <w:tcPr>
            <w:tcW w:w="100" w:type="dxa"/>
            <w:vAlign w:val="bottom"/>
            <w:shd w:val="clear" w:color="auto" w:fill="DBDBDB"/>
          </w:tcPr>
          <w:p>
            <w:pPr>
              <w:spacing w:after="0"/>
              <w:rPr>
                <w:sz w:val="15"/>
                <w:szCs w:val="15"/>
                <w:color w:val="auto"/>
              </w:rPr>
            </w:pPr>
          </w:p>
        </w:tc>
        <w:tc>
          <w:tcPr>
            <w:tcW w:w="880" w:type="dxa"/>
            <w:vAlign w:val="bottom"/>
            <w:shd w:val="clear" w:color="auto" w:fill="DBDBDB"/>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48.3 %</w:t>
            </w:r>
          </w:p>
        </w:tc>
      </w:tr>
      <w:tr>
        <w:trPr>
          <w:trHeight w:val="169"/>
        </w:trPr>
        <w:tc>
          <w:tcPr>
            <w:tcW w:w="6580" w:type="dxa"/>
            <w:vAlign w:val="bottom"/>
          </w:tcPr>
          <w:p>
            <w:pPr>
              <w:ind w:left="20"/>
              <w:spacing w:after="0"/>
              <w:rPr>
                <w:sz w:val="20"/>
                <w:szCs w:val="20"/>
                <w:color w:val="auto"/>
              </w:rPr>
            </w:pPr>
            <w:r>
              <w:rPr>
                <w:rFonts w:ascii="Arial" w:cs="Arial" w:eastAsia="Arial" w:hAnsi="Arial"/>
                <w:sz w:val="13"/>
                <w:szCs w:val="13"/>
                <w:color w:val="auto"/>
              </w:rPr>
              <w:t>Adjusted Gross Profit Percentage (C/A)</w:t>
            </w:r>
          </w:p>
        </w:tc>
        <w:tc>
          <w:tcPr>
            <w:tcW w:w="56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63.6 %</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62.9 %</w:t>
            </w:r>
          </w:p>
        </w:tc>
      </w:tr>
    </w:tbl>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Income Excluding Gain/Loss from Warrants</w:t>
      </w:r>
    </w:p>
    <w:p>
      <w:pPr>
        <w:spacing w:after="0" w:line="110"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We define Net Income Excluding Gain/Loss from Warrants as net income plus or minus the impact of the change in the fair value of the common stock warrant liability. Management believes that the presentation of our financial statements excluding the impact of the mark-to-market adjustment provides useful information regarding our results of operations and assists in the review of our actual operating performance.</w:t>
      </w:r>
    </w:p>
    <w:p>
      <w:pPr>
        <w:spacing w:after="0" w:line="3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following tables provide an unaudited reconciliation of Net income (loss) to Net Income (Loss) Excluding Gain Loss from Warrants: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20" w:type="dxa"/>
            <w:vAlign w:val="bottom"/>
            <w:shd w:val="clear" w:color="auto" w:fill="1D2758"/>
          </w:tcPr>
          <w:p>
            <w:pPr>
              <w:ind w:left="20"/>
              <w:spacing w:after="0"/>
              <w:rPr>
                <w:sz w:val="20"/>
                <w:szCs w:val="20"/>
                <w:color w:val="auto"/>
              </w:rPr>
            </w:pPr>
            <w:r>
              <w:rPr>
                <w:rFonts w:ascii="Arial" w:cs="Arial" w:eastAsia="Arial" w:hAnsi="Arial"/>
                <w:sz w:val="13"/>
                <w:szCs w:val="13"/>
                <w:b w:val="1"/>
                <w:bCs w:val="1"/>
                <w:color w:val="FFFFFF"/>
              </w:rPr>
              <w:t>2021</w:t>
            </w:r>
          </w:p>
        </w:tc>
        <w:tc>
          <w:tcPr>
            <w:tcW w:w="20" w:type="dxa"/>
            <w:vAlign w:val="bottom"/>
            <w:shd w:val="clear" w:color="auto" w:fill="1D2758"/>
          </w:tcPr>
          <w:p>
            <w:pPr>
              <w:spacing w:after="0"/>
              <w:rPr>
                <w:sz w:val="15"/>
                <w:szCs w:val="15"/>
                <w:color w:val="auto"/>
              </w:rPr>
            </w:pPr>
          </w:p>
        </w:tc>
        <w:tc>
          <w:tcPr>
            <w:tcW w:w="320" w:type="dxa"/>
            <w:vAlign w:val="bottom"/>
            <w:shd w:val="clear" w:color="auto" w:fill="1D2758"/>
          </w:tcPr>
          <w:p>
            <w:pPr>
              <w:spacing w:after="0"/>
              <w:rPr>
                <w:sz w:val="15"/>
                <w:szCs w:val="15"/>
                <w:color w:val="auto"/>
              </w:rPr>
            </w:pPr>
          </w:p>
        </w:tc>
        <w:tc>
          <w:tcPr>
            <w:tcW w:w="98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20" w:type="dxa"/>
            <w:vAlign w:val="bottom"/>
            <w:shd w:val="clear" w:color="auto" w:fill="1D2758"/>
          </w:tcPr>
          <w:p>
            <w:pPr>
              <w:spacing w:after="0"/>
              <w:rPr>
                <w:sz w:val="15"/>
                <w:szCs w:val="15"/>
                <w:color w:val="auto"/>
              </w:rPr>
            </w:pPr>
          </w:p>
        </w:tc>
        <w:tc>
          <w:tcPr>
            <w:tcW w:w="320" w:type="dxa"/>
            <w:vAlign w:val="bottom"/>
            <w:shd w:val="clear" w:color="auto" w:fill="1D2758"/>
          </w:tcPr>
          <w:p>
            <w:pPr>
              <w:spacing w:after="0"/>
              <w:rPr>
                <w:sz w:val="15"/>
                <w:szCs w:val="15"/>
                <w:color w:val="auto"/>
              </w:rPr>
            </w:pPr>
          </w:p>
        </w:tc>
        <w:tc>
          <w:tcPr>
            <w:tcW w:w="98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340" w:type="dxa"/>
            <w:vAlign w:val="bottom"/>
            <w:shd w:val="clear" w:color="auto" w:fill="1D2758"/>
          </w:tcPr>
          <w:p>
            <w:pPr>
              <w:spacing w:after="0"/>
              <w:rPr>
                <w:sz w:val="15"/>
                <w:szCs w:val="15"/>
                <w:color w:val="auto"/>
              </w:rPr>
            </w:pPr>
          </w:p>
        </w:tc>
        <w:tc>
          <w:tcPr>
            <w:tcW w:w="100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320" w:type="dxa"/>
            <w:vAlign w:val="bottom"/>
            <w:shd w:val="clear" w:color="auto" w:fill="1D2758"/>
          </w:tcPr>
          <w:p>
            <w:pPr>
              <w:spacing w:after="0"/>
              <w:rPr>
                <w:sz w:val="15"/>
                <w:szCs w:val="15"/>
                <w:color w:val="auto"/>
              </w:rPr>
            </w:pPr>
          </w:p>
        </w:tc>
        <w:tc>
          <w:tcPr>
            <w:tcW w:w="100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240" w:type="dxa"/>
            <w:vAlign w:val="bottom"/>
            <w:shd w:val="clear" w:color="auto" w:fill="1D2758"/>
          </w:tcPr>
          <w:p>
            <w:pPr>
              <w:spacing w:after="0"/>
              <w:rPr>
                <w:sz w:val="15"/>
                <w:szCs w:val="15"/>
                <w:color w:val="auto"/>
              </w:rPr>
            </w:pPr>
          </w:p>
        </w:tc>
        <w:tc>
          <w:tcPr>
            <w:tcW w:w="1100" w:type="dxa"/>
            <w:vAlign w:val="bottom"/>
            <w:shd w:val="clear" w:color="auto" w:fill="1D2758"/>
          </w:tcPr>
          <w:p>
            <w:pPr>
              <w:spacing w:after="0"/>
              <w:rPr>
                <w:sz w:val="15"/>
                <w:szCs w:val="15"/>
                <w:color w:val="auto"/>
              </w:rPr>
            </w:pPr>
          </w:p>
        </w:tc>
      </w:tr>
      <w:tr>
        <w:trPr>
          <w:trHeight w:val="175"/>
        </w:trPr>
        <w:tc>
          <w:tcPr>
            <w:tcW w:w="4340" w:type="dxa"/>
            <w:vAlign w:val="bottom"/>
            <w:gridSpan w:val="2"/>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320" w:type="dxa"/>
            <w:vAlign w:val="bottom"/>
            <w:shd w:val="clear" w:color="auto" w:fill="1D2758"/>
          </w:tcPr>
          <w:p>
            <w:pPr>
              <w:spacing w:after="0"/>
              <w:rPr>
                <w:sz w:val="15"/>
                <w:szCs w:val="15"/>
                <w:color w:val="auto"/>
              </w:rPr>
            </w:pPr>
          </w:p>
        </w:tc>
        <w:tc>
          <w:tcPr>
            <w:tcW w:w="1080" w:type="dxa"/>
            <w:vAlign w:val="bottom"/>
            <w:gridSpan w:val="3"/>
            <w:shd w:val="clear" w:color="auto" w:fill="1D2758"/>
          </w:tcPr>
          <w:p>
            <w:pPr>
              <w:ind w:left="240"/>
              <w:spacing w:after="0"/>
              <w:rPr>
                <w:sz w:val="20"/>
                <w:szCs w:val="20"/>
                <w:color w:val="auto"/>
              </w:rPr>
            </w:pPr>
            <w:r>
              <w:rPr>
                <w:rFonts w:ascii="Arial" w:cs="Arial" w:eastAsia="Arial" w:hAnsi="Arial"/>
                <w:sz w:val="13"/>
                <w:szCs w:val="13"/>
                <w:b w:val="1"/>
                <w:bCs w:val="1"/>
                <w:color w:val="FFFFFF"/>
              </w:rPr>
              <w:t>Q1</w:t>
            </w:r>
          </w:p>
        </w:tc>
        <w:tc>
          <w:tcPr>
            <w:tcW w:w="320" w:type="dxa"/>
            <w:vAlign w:val="bottom"/>
            <w:shd w:val="clear" w:color="auto" w:fill="1D2758"/>
          </w:tcPr>
          <w:p>
            <w:pPr>
              <w:spacing w:after="0"/>
              <w:rPr>
                <w:sz w:val="15"/>
                <w:szCs w:val="15"/>
                <w:color w:val="auto"/>
              </w:rPr>
            </w:pPr>
          </w:p>
        </w:tc>
        <w:tc>
          <w:tcPr>
            <w:tcW w:w="1060" w:type="dxa"/>
            <w:vAlign w:val="bottom"/>
            <w:gridSpan w:val="2"/>
            <w:shd w:val="clear" w:color="auto" w:fill="1D2758"/>
          </w:tcPr>
          <w:p>
            <w:pPr>
              <w:ind w:left="240"/>
              <w:spacing w:after="0"/>
              <w:rPr>
                <w:sz w:val="20"/>
                <w:szCs w:val="20"/>
                <w:color w:val="auto"/>
              </w:rPr>
            </w:pPr>
            <w:r>
              <w:rPr>
                <w:rFonts w:ascii="Arial" w:cs="Arial" w:eastAsia="Arial" w:hAnsi="Arial"/>
                <w:sz w:val="13"/>
                <w:szCs w:val="13"/>
                <w:b w:val="1"/>
                <w:bCs w:val="1"/>
                <w:color w:val="FFFFFF"/>
              </w:rPr>
              <w:t>Q2</w:t>
            </w:r>
          </w:p>
        </w:tc>
        <w:tc>
          <w:tcPr>
            <w:tcW w:w="340" w:type="dxa"/>
            <w:vAlign w:val="bottom"/>
            <w:shd w:val="clear" w:color="auto" w:fill="1D2758"/>
          </w:tcPr>
          <w:p>
            <w:pPr>
              <w:spacing w:after="0"/>
              <w:rPr>
                <w:sz w:val="15"/>
                <w:szCs w:val="15"/>
                <w:color w:val="auto"/>
              </w:rPr>
            </w:pPr>
          </w:p>
        </w:tc>
        <w:tc>
          <w:tcPr>
            <w:tcW w:w="1080" w:type="dxa"/>
            <w:vAlign w:val="bottom"/>
            <w:gridSpan w:val="2"/>
            <w:shd w:val="clear" w:color="auto" w:fill="1D2758"/>
          </w:tcPr>
          <w:p>
            <w:pPr>
              <w:ind w:left="240"/>
              <w:spacing w:after="0"/>
              <w:rPr>
                <w:sz w:val="20"/>
                <w:szCs w:val="20"/>
                <w:color w:val="auto"/>
              </w:rPr>
            </w:pPr>
            <w:r>
              <w:rPr>
                <w:rFonts w:ascii="Arial" w:cs="Arial" w:eastAsia="Arial" w:hAnsi="Arial"/>
                <w:sz w:val="13"/>
                <w:szCs w:val="13"/>
                <w:b w:val="1"/>
                <w:bCs w:val="1"/>
                <w:color w:val="FFFFFF"/>
              </w:rPr>
              <w:t>Q3</w:t>
            </w:r>
          </w:p>
        </w:tc>
        <w:tc>
          <w:tcPr>
            <w:tcW w:w="320" w:type="dxa"/>
            <w:vAlign w:val="bottom"/>
            <w:shd w:val="clear" w:color="auto" w:fill="1D2758"/>
          </w:tcPr>
          <w:p>
            <w:pPr>
              <w:spacing w:after="0"/>
              <w:rPr>
                <w:sz w:val="15"/>
                <w:szCs w:val="15"/>
                <w:color w:val="auto"/>
              </w:rPr>
            </w:pPr>
          </w:p>
        </w:tc>
        <w:tc>
          <w:tcPr>
            <w:tcW w:w="1080" w:type="dxa"/>
            <w:vAlign w:val="bottom"/>
            <w:gridSpan w:val="2"/>
            <w:shd w:val="clear" w:color="auto" w:fill="1D2758"/>
          </w:tcPr>
          <w:p>
            <w:pPr>
              <w:ind w:left="260"/>
              <w:spacing w:after="0"/>
              <w:rPr>
                <w:sz w:val="20"/>
                <w:szCs w:val="20"/>
                <w:color w:val="auto"/>
              </w:rPr>
            </w:pPr>
            <w:r>
              <w:rPr>
                <w:rFonts w:ascii="Arial" w:cs="Arial" w:eastAsia="Arial" w:hAnsi="Arial"/>
                <w:sz w:val="13"/>
                <w:szCs w:val="13"/>
                <w:b w:val="1"/>
                <w:bCs w:val="1"/>
                <w:color w:val="FFFFFF"/>
              </w:rPr>
              <w:t>Q4</w:t>
            </w:r>
          </w:p>
        </w:tc>
        <w:tc>
          <w:tcPr>
            <w:tcW w:w="240" w:type="dxa"/>
            <w:vAlign w:val="bottom"/>
            <w:shd w:val="clear" w:color="auto" w:fill="1D2758"/>
          </w:tcPr>
          <w:p>
            <w:pPr>
              <w:spacing w:after="0"/>
              <w:rPr>
                <w:sz w:val="15"/>
                <w:szCs w:val="15"/>
                <w:color w:val="auto"/>
              </w:rPr>
            </w:pPr>
          </w:p>
        </w:tc>
        <w:tc>
          <w:tcPr>
            <w:tcW w:w="1100" w:type="dxa"/>
            <w:vAlign w:val="bottom"/>
            <w:shd w:val="clear" w:color="auto" w:fill="1D2758"/>
          </w:tcPr>
          <w:p>
            <w:pPr>
              <w:jc w:val="right"/>
              <w:ind w:right="334"/>
              <w:spacing w:after="0"/>
              <w:rPr>
                <w:sz w:val="20"/>
                <w:szCs w:val="20"/>
                <w:color w:val="auto"/>
              </w:rPr>
            </w:pPr>
            <w:r>
              <w:rPr>
                <w:rFonts w:ascii="Arial" w:cs="Arial" w:eastAsia="Arial" w:hAnsi="Arial"/>
                <w:sz w:val="13"/>
                <w:szCs w:val="13"/>
                <w:b w:val="1"/>
                <w:bCs w:val="1"/>
                <w:color w:val="FFFFFF"/>
              </w:rPr>
              <w:t>Full Year</w:t>
            </w:r>
          </w:p>
        </w:tc>
      </w:tr>
      <w:tr>
        <w:trPr>
          <w:trHeight w:val="175"/>
        </w:trPr>
        <w:tc>
          <w:tcPr>
            <w:tcW w:w="4340" w:type="dxa"/>
            <w:vAlign w:val="bottom"/>
            <w:gridSpan w:val="2"/>
            <w:shd w:val="clear" w:color="auto" w:fill="DBDBDB"/>
          </w:tcPr>
          <w:p>
            <w:pPr>
              <w:ind w:left="20"/>
              <w:spacing w:after="0"/>
              <w:rPr>
                <w:sz w:val="20"/>
                <w:szCs w:val="20"/>
                <w:color w:val="auto"/>
              </w:rPr>
            </w:pPr>
            <w:r>
              <w:rPr>
                <w:rFonts w:ascii="Arial" w:cs="Arial" w:eastAsia="Arial" w:hAnsi="Arial"/>
                <w:sz w:val="13"/>
                <w:szCs w:val="13"/>
                <w:color w:val="auto"/>
              </w:rPr>
              <w:t>Net income</w:t>
            </w:r>
          </w:p>
        </w:tc>
        <w:tc>
          <w:tcPr>
            <w:tcW w:w="320" w:type="dxa"/>
            <w:vAlign w:val="bottom"/>
            <w:shd w:val="clear" w:color="auto" w:fill="DBDBDB"/>
          </w:tcPr>
          <w:p>
            <w:pPr>
              <w:jc w:val="right"/>
              <w:ind w:right="183"/>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4,447</w:t>
            </w:r>
          </w:p>
        </w:tc>
        <w:tc>
          <w:tcPr>
            <w:tcW w:w="8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20"/>
                <w:szCs w:val="20"/>
                <w:color w:val="auto"/>
              </w:rPr>
            </w:pPr>
            <w:r>
              <w:rPr>
                <w:rFonts w:ascii="Arial" w:cs="Arial" w:eastAsia="Arial" w:hAnsi="Arial"/>
                <w:sz w:val="13"/>
                <w:szCs w:val="13"/>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20,371</w:t>
            </w:r>
          </w:p>
        </w:tc>
        <w:tc>
          <w:tcPr>
            <w:tcW w:w="80" w:type="dxa"/>
            <w:vAlign w:val="bottom"/>
            <w:shd w:val="clear" w:color="auto" w:fill="DBDBDB"/>
          </w:tcPr>
          <w:p>
            <w:pPr>
              <w:spacing w:after="0"/>
              <w:rPr>
                <w:sz w:val="15"/>
                <w:szCs w:val="15"/>
                <w:color w:val="auto"/>
              </w:rPr>
            </w:pPr>
          </w:p>
        </w:tc>
        <w:tc>
          <w:tcPr>
            <w:tcW w:w="340" w:type="dxa"/>
            <w:vAlign w:val="bottom"/>
            <w:shd w:val="clear" w:color="auto" w:fill="DBDBDB"/>
          </w:tcPr>
          <w:p>
            <w:pPr>
              <w:jc w:val="right"/>
              <w:ind w:right="174"/>
              <w:spacing w:after="0"/>
              <w:rPr>
                <w:sz w:val="20"/>
                <w:szCs w:val="20"/>
                <w:color w:val="auto"/>
              </w:rPr>
            </w:pPr>
            <w:r>
              <w:rPr>
                <w:rFonts w:ascii="Arial" w:cs="Arial" w:eastAsia="Arial" w:hAnsi="Arial"/>
                <w:sz w:val="13"/>
                <w:szCs w:val="13"/>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61,103</w:t>
            </w:r>
          </w:p>
        </w:tc>
        <w:tc>
          <w:tcPr>
            <w:tcW w:w="80" w:type="dxa"/>
            <w:vAlign w:val="bottom"/>
            <w:shd w:val="clear" w:color="auto" w:fill="DBDBDB"/>
          </w:tcPr>
          <w:p>
            <w:pPr>
              <w:spacing w:after="0"/>
              <w:rPr>
                <w:sz w:val="15"/>
                <w:szCs w:val="15"/>
                <w:color w:val="auto"/>
              </w:rPr>
            </w:pPr>
          </w:p>
        </w:tc>
        <w:tc>
          <w:tcPr>
            <w:tcW w:w="320" w:type="dxa"/>
            <w:vAlign w:val="bottom"/>
            <w:shd w:val="clear" w:color="auto" w:fill="DBDBDB"/>
          </w:tcPr>
          <w:p>
            <w:pPr>
              <w:jc w:val="right"/>
              <w:ind w:right="174"/>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74,223</w:t>
            </w: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160,144</w:t>
            </w:r>
          </w:p>
        </w:tc>
      </w:tr>
      <w:tr>
        <w:trPr>
          <w:trHeight w:val="172"/>
        </w:trPr>
        <w:tc>
          <w:tcPr>
            <w:tcW w:w="4340" w:type="dxa"/>
            <w:vAlign w:val="bottom"/>
            <w:gridSpan w:val="2"/>
          </w:tcPr>
          <w:p>
            <w:pPr>
              <w:ind w:left="200"/>
              <w:spacing w:after="0"/>
              <w:rPr>
                <w:sz w:val="20"/>
                <w:szCs w:val="20"/>
                <w:color w:val="auto"/>
              </w:rPr>
            </w:pPr>
            <w:r>
              <w:rPr>
                <w:rFonts w:ascii="Arial" w:cs="Arial" w:eastAsia="Arial" w:hAnsi="Arial"/>
                <w:sz w:val="13"/>
                <w:szCs w:val="13"/>
                <w:color w:val="auto"/>
              </w:rPr>
              <w:t>Fair value loss (gain) on common stock warrant liabilities</w:t>
            </w: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27,207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(610)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26,597</w:t>
            </w:r>
          </w:p>
        </w:tc>
      </w:tr>
      <w:tr>
        <w:trPr>
          <w:trHeight w:val="194"/>
        </w:trPr>
        <w:tc>
          <w:tcPr>
            <w:tcW w:w="4340" w:type="dxa"/>
            <w:vAlign w:val="bottom"/>
            <w:tcBorders>
              <w:top w:val="single" w:sz="8" w:color="DBDBDB"/>
              <w:bottom w:val="single" w:sz="8" w:color="DBDBDB"/>
            </w:tcBorders>
            <w:gridSpan w:val="2"/>
            <w:shd w:val="clear" w:color="auto" w:fill="DBDBDB"/>
          </w:tcPr>
          <w:p>
            <w:pPr>
              <w:ind w:left="20"/>
              <w:spacing w:after="0"/>
              <w:rPr>
                <w:sz w:val="20"/>
                <w:szCs w:val="20"/>
                <w:color w:val="auto"/>
              </w:rPr>
            </w:pPr>
            <w:r>
              <w:rPr>
                <w:rFonts w:ascii="Arial" w:cs="Arial" w:eastAsia="Arial" w:hAnsi="Arial"/>
                <w:sz w:val="13"/>
                <w:szCs w:val="13"/>
                <w:color w:val="auto"/>
              </w:rPr>
              <w:t>Net Income Excluding Gain/Loss from Warrants</w:t>
            </w:r>
          </w:p>
        </w:tc>
        <w:tc>
          <w:tcPr>
            <w:tcW w:w="320" w:type="dxa"/>
            <w:vAlign w:val="bottom"/>
            <w:tcBorders>
              <w:top w:val="single" w:sz="8" w:color="auto"/>
              <w:bottom w:val="single" w:sz="8" w:color="auto"/>
            </w:tcBorders>
            <w:shd w:val="clear" w:color="auto" w:fill="DBDBDB"/>
          </w:tcPr>
          <w:p>
            <w:pPr>
              <w:jc w:val="right"/>
              <w:ind w:right="183"/>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31,654</w:t>
            </w:r>
          </w:p>
        </w:tc>
        <w:tc>
          <w:tcPr>
            <w:tcW w:w="80" w:type="dxa"/>
            <w:vAlign w:val="bottom"/>
            <w:tcBorders>
              <w:top w:val="single" w:sz="8" w:color="DBDBDB"/>
              <w:bottom w:val="single" w:sz="8" w:color="DBDBDB"/>
            </w:tcBorders>
            <w:shd w:val="clear" w:color="auto" w:fill="DBDBDB"/>
          </w:tcPr>
          <w:p>
            <w:pPr>
              <w:spacing w:after="0"/>
              <w:rPr>
                <w:sz w:val="16"/>
                <w:szCs w:val="16"/>
                <w:color w:val="auto"/>
              </w:rPr>
            </w:pPr>
          </w:p>
        </w:tc>
        <w:tc>
          <w:tcPr>
            <w:tcW w:w="20" w:type="dxa"/>
            <w:vAlign w:val="bottom"/>
            <w:tcBorders>
              <w:top w:val="single" w:sz="8" w:color="DBDBDB"/>
              <w:bottom w:val="single" w:sz="8" w:color="DBDBDB"/>
            </w:tcBorders>
            <w:shd w:val="clear" w:color="auto" w:fill="DBDBDB"/>
          </w:tcPr>
          <w:p>
            <w:pPr>
              <w:spacing w:after="0"/>
              <w:rPr>
                <w:sz w:val="16"/>
                <w:szCs w:val="16"/>
                <w:color w:val="auto"/>
              </w:rPr>
            </w:pPr>
          </w:p>
        </w:tc>
        <w:tc>
          <w:tcPr>
            <w:tcW w:w="320" w:type="dxa"/>
            <w:vAlign w:val="bottom"/>
            <w:tcBorders>
              <w:top w:val="single" w:sz="8" w:color="auto"/>
              <w:bottom w:val="single" w:sz="8" w:color="auto"/>
            </w:tcBorders>
            <w:shd w:val="clear" w:color="auto" w:fill="DBDBDB"/>
          </w:tcPr>
          <w:p>
            <w:pPr>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19,761</w:t>
            </w:r>
          </w:p>
        </w:tc>
        <w:tc>
          <w:tcPr>
            <w:tcW w:w="80" w:type="dxa"/>
            <w:vAlign w:val="bottom"/>
            <w:tcBorders>
              <w:top w:val="single" w:sz="8" w:color="DBDBDB"/>
              <w:bottom w:val="single" w:sz="8" w:color="DBDBDB"/>
            </w:tcBorders>
            <w:shd w:val="clear" w:color="auto" w:fill="DBDBDB"/>
          </w:tcPr>
          <w:p>
            <w:pPr>
              <w:spacing w:after="0"/>
              <w:rPr>
                <w:sz w:val="16"/>
                <w:szCs w:val="16"/>
                <w:color w:val="auto"/>
              </w:rPr>
            </w:pPr>
          </w:p>
        </w:tc>
        <w:tc>
          <w:tcPr>
            <w:tcW w:w="340" w:type="dxa"/>
            <w:vAlign w:val="bottom"/>
            <w:tcBorders>
              <w:top w:val="single" w:sz="8" w:color="auto"/>
              <w:bottom w:val="single" w:sz="8" w:color="auto"/>
            </w:tcBorders>
            <w:shd w:val="clear" w:color="auto" w:fill="DBDBDB"/>
          </w:tcPr>
          <w:p>
            <w:pPr>
              <w:jc w:val="right"/>
              <w:ind w:right="174"/>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61,103</w:t>
            </w:r>
          </w:p>
        </w:tc>
        <w:tc>
          <w:tcPr>
            <w:tcW w:w="80" w:type="dxa"/>
            <w:vAlign w:val="bottom"/>
            <w:tcBorders>
              <w:top w:val="single" w:sz="8" w:color="DBDBDB"/>
              <w:bottom w:val="single" w:sz="8" w:color="DBDBDB"/>
            </w:tcBorders>
            <w:shd w:val="clear" w:color="auto" w:fill="DBDBDB"/>
          </w:tcPr>
          <w:p>
            <w:pPr>
              <w:spacing w:after="0"/>
              <w:rPr>
                <w:sz w:val="16"/>
                <w:szCs w:val="16"/>
                <w:color w:val="auto"/>
              </w:rPr>
            </w:pPr>
          </w:p>
        </w:tc>
        <w:tc>
          <w:tcPr>
            <w:tcW w:w="320" w:type="dxa"/>
            <w:vAlign w:val="bottom"/>
            <w:tcBorders>
              <w:top w:val="single" w:sz="8" w:color="auto"/>
              <w:bottom w:val="single" w:sz="8" w:color="auto"/>
            </w:tcBorders>
            <w:shd w:val="clear" w:color="auto" w:fill="DBDBDB"/>
          </w:tcPr>
          <w:p>
            <w:pPr>
              <w:jc w:val="right"/>
              <w:ind w:right="174"/>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74,223</w:t>
            </w:r>
          </w:p>
        </w:tc>
        <w:tc>
          <w:tcPr>
            <w:tcW w:w="80" w:type="dxa"/>
            <w:vAlign w:val="bottom"/>
            <w:tcBorders>
              <w:top w:val="single" w:sz="8" w:color="DBDBDB"/>
              <w:bottom w:val="single" w:sz="8" w:color="DBDBDB"/>
            </w:tcBorders>
            <w:shd w:val="clear" w:color="auto" w:fill="DBDBDB"/>
          </w:tcPr>
          <w:p>
            <w:pPr>
              <w:spacing w:after="0"/>
              <w:rPr>
                <w:sz w:val="16"/>
                <w:szCs w:val="16"/>
                <w:color w:val="auto"/>
              </w:rPr>
            </w:pPr>
          </w:p>
        </w:tc>
        <w:tc>
          <w:tcPr>
            <w:tcW w:w="240" w:type="dxa"/>
            <w:vAlign w:val="bottom"/>
            <w:tcBorders>
              <w:top w:val="single" w:sz="8" w:color="auto"/>
              <w:bottom w:val="single" w:sz="8" w:color="auto"/>
            </w:tcBorders>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186,741</w:t>
            </w:r>
          </w:p>
        </w:tc>
      </w:tr>
      <w:tr>
        <w:trPr>
          <w:trHeight w:val="20"/>
        </w:trPr>
        <w:tc>
          <w:tcPr>
            <w:tcW w:w="432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r>
      <w:tr>
        <w:trPr>
          <w:trHeight w:val="95"/>
        </w:trPr>
        <w:tc>
          <w:tcPr>
            <w:tcW w:w="43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173"/>
        </w:trPr>
        <w:tc>
          <w:tcPr>
            <w:tcW w:w="4320" w:type="dxa"/>
            <w:vAlign w:val="bottom"/>
            <w:shd w:val="clear" w:color="auto" w:fill="1D2758"/>
          </w:tcPr>
          <w:p>
            <w:pPr>
              <w:ind w:left="20"/>
              <w:spacing w:after="0"/>
              <w:rPr>
                <w:sz w:val="20"/>
                <w:szCs w:val="20"/>
                <w:color w:val="auto"/>
              </w:rPr>
            </w:pPr>
            <w:r>
              <w:rPr>
                <w:rFonts w:ascii="Arial" w:cs="Arial" w:eastAsia="Arial" w:hAnsi="Arial"/>
                <w:sz w:val="13"/>
                <w:szCs w:val="13"/>
                <w:b w:val="1"/>
                <w:bCs w:val="1"/>
                <w:color w:val="FFFFFF"/>
              </w:rPr>
              <w:t>2020</w:t>
            </w:r>
          </w:p>
        </w:tc>
        <w:tc>
          <w:tcPr>
            <w:tcW w:w="20" w:type="dxa"/>
            <w:vAlign w:val="bottom"/>
            <w:shd w:val="clear" w:color="auto" w:fill="1D2758"/>
          </w:tcPr>
          <w:p>
            <w:pPr>
              <w:spacing w:after="0"/>
              <w:rPr>
                <w:sz w:val="15"/>
                <w:szCs w:val="15"/>
                <w:color w:val="auto"/>
              </w:rPr>
            </w:pPr>
          </w:p>
        </w:tc>
        <w:tc>
          <w:tcPr>
            <w:tcW w:w="320" w:type="dxa"/>
            <w:vAlign w:val="bottom"/>
            <w:shd w:val="clear" w:color="auto" w:fill="1D2758"/>
          </w:tcPr>
          <w:p>
            <w:pPr>
              <w:spacing w:after="0"/>
              <w:rPr>
                <w:sz w:val="15"/>
                <w:szCs w:val="15"/>
                <w:color w:val="auto"/>
              </w:rPr>
            </w:pPr>
          </w:p>
        </w:tc>
        <w:tc>
          <w:tcPr>
            <w:tcW w:w="98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20" w:type="dxa"/>
            <w:vAlign w:val="bottom"/>
            <w:shd w:val="clear" w:color="auto" w:fill="1D2758"/>
          </w:tcPr>
          <w:p>
            <w:pPr>
              <w:spacing w:after="0"/>
              <w:rPr>
                <w:sz w:val="15"/>
                <w:szCs w:val="15"/>
                <w:color w:val="auto"/>
              </w:rPr>
            </w:pPr>
          </w:p>
        </w:tc>
        <w:tc>
          <w:tcPr>
            <w:tcW w:w="320" w:type="dxa"/>
            <w:vAlign w:val="bottom"/>
            <w:shd w:val="clear" w:color="auto" w:fill="1D2758"/>
          </w:tcPr>
          <w:p>
            <w:pPr>
              <w:spacing w:after="0"/>
              <w:rPr>
                <w:sz w:val="15"/>
                <w:szCs w:val="15"/>
                <w:color w:val="auto"/>
              </w:rPr>
            </w:pPr>
          </w:p>
        </w:tc>
        <w:tc>
          <w:tcPr>
            <w:tcW w:w="98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340" w:type="dxa"/>
            <w:vAlign w:val="bottom"/>
            <w:shd w:val="clear" w:color="auto" w:fill="1D2758"/>
          </w:tcPr>
          <w:p>
            <w:pPr>
              <w:spacing w:after="0"/>
              <w:rPr>
                <w:sz w:val="15"/>
                <w:szCs w:val="15"/>
                <w:color w:val="auto"/>
              </w:rPr>
            </w:pPr>
          </w:p>
        </w:tc>
        <w:tc>
          <w:tcPr>
            <w:tcW w:w="100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320" w:type="dxa"/>
            <w:vAlign w:val="bottom"/>
            <w:shd w:val="clear" w:color="auto" w:fill="1D2758"/>
          </w:tcPr>
          <w:p>
            <w:pPr>
              <w:spacing w:after="0"/>
              <w:rPr>
                <w:sz w:val="15"/>
                <w:szCs w:val="15"/>
                <w:color w:val="auto"/>
              </w:rPr>
            </w:pPr>
          </w:p>
        </w:tc>
        <w:tc>
          <w:tcPr>
            <w:tcW w:w="100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240" w:type="dxa"/>
            <w:vAlign w:val="bottom"/>
            <w:shd w:val="clear" w:color="auto" w:fill="1D2758"/>
          </w:tcPr>
          <w:p>
            <w:pPr>
              <w:spacing w:after="0"/>
              <w:rPr>
                <w:sz w:val="15"/>
                <w:szCs w:val="15"/>
                <w:color w:val="auto"/>
              </w:rPr>
            </w:pPr>
          </w:p>
        </w:tc>
        <w:tc>
          <w:tcPr>
            <w:tcW w:w="1100" w:type="dxa"/>
            <w:vAlign w:val="bottom"/>
            <w:shd w:val="clear" w:color="auto" w:fill="1D2758"/>
          </w:tcPr>
          <w:p>
            <w:pPr>
              <w:spacing w:after="0"/>
              <w:rPr>
                <w:sz w:val="15"/>
                <w:szCs w:val="15"/>
                <w:color w:val="auto"/>
              </w:rPr>
            </w:pPr>
          </w:p>
        </w:tc>
      </w:tr>
      <w:tr>
        <w:trPr>
          <w:trHeight w:val="177"/>
        </w:trPr>
        <w:tc>
          <w:tcPr>
            <w:tcW w:w="432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20" w:type="dxa"/>
            <w:vAlign w:val="bottom"/>
            <w:shd w:val="clear" w:color="auto" w:fill="1D2758"/>
          </w:tcPr>
          <w:p>
            <w:pPr>
              <w:spacing w:after="0"/>
              <w:rPr>
                <w:sz w:val="15"/>
                <w:szCs w:val="15"/>
                <w:color w:val="auto"/>
              </w:rPr>
            </w:pPr>
          </w:p>
        </w:tc>
        <w:tc>
          <w:tcPr>
            <w:tcW w:w="320" w:type="dxa"/>
            <w:vAlign w:val="bottom"/>
            <w:shd w:val="clear" w:color="auto" w:fill="1D2758"/>
          </w:tcPr>
          <w:p>
            <w:pPr>
              <w:spacing w:after="0"/>
              <w:rPr>
                <w:sz w:val="15"/>
                <w:szCs w:val="15"/>
                <w:color w:val="auto"/>
              </w:rPr>
            </w:pPr>
          </w:p>
        </w:tc>
        <w:tc>
          <w:tcPr>
            <w:tcW w:w="1080" w:type="dxa"/>
            <w:vAlign w:val="bottom"/>
            <w:gridSpan w:val="3"/>
            <w:shd w:val="clear" w:color="auto" w:fill="1D2758"/>
          </w:tcPr>
          <w:p>
            <w:pPr>
              <w:ind w:left="240"/>
              <w:spacing w:after="0"/>
              <w:rPr>
                <w:sz w:val="20"/>
                <w:szCs w:val="20"/>
                <w:color w:val="auto"/>
              </w:rPr>
            </w:pPr>
            <w:r>
              <w:rPr>
                <w:rFonts w:ascii="Arial" w:cs="Arial" w:eastAsia="Arial" w:hAnsi="Arial"/>
                <w:sz w:val="13"/>
                <w:szCs w:val="13"/>
                <w:b w:val="1"/>
                <w:bCs w:val="1"/>
                <w:color w:val="FFFFFF"/>
              </w:rPr>
              <w:t>Q1</w:t>
            </w:r>
          </w:p>
        </w:tc>
        <w:tc>
          <w:tcPr>
            <w:tcW w:w="320" w:type="dxa"/>
            <w:vAlign w:val="bottom"/>
            <w:shd w:val="clear" w:color="auto" w:fill="1D2758"/>
          </w:tcPr>
          <w:p>
            <w:pPr>
              <w:spacing w:after="0"/>
              <w:rPr>
                <w:sz w:val="15"/>
                <w:szCs w:val="15"/>
                <w:color w:val="auto"/>
              </w:rPr>
            </w:pPr>
          </w:p>
        </w:tc>
        <w:tc>
          <w:tcPr>
            <w:tcW w:w="1060" w:type="dxa"/>
            <w:vAlign w:val="bottom"/>
            <w:gridSpan w:val="2"/>
            <w:shd w:val="clear" w:color="auto" w:fill="1D2758"/>
          </w:tcPr>
          <w:p>
            <w:pPr>
              <w:ind w:left="240"/>
              <w:spacing w:after="0"/>
              <w:rPr>
                <w:sz w:val="20"/>
                <w:szCs w:val="20"/>
                <w:color w:val="auto"/>
              </w:rPr>
            </w:pPr>
            <w:r>
              <w:rPr>
                <w:rFonts w:ascii="Arial" w:cs="Arial" w:eastAsia="Arial" w:hAnsi="Arial"/>
                <w:sz w:val="13"/>
                <w:szCs w:val="13"/>
                <w:b w:val="1"/>
                <w:bCs w:val="1"/>
                <w:color w:val="FFFFFF"/>
              </w:rPr>
              <w:t>Q2</w:t>
            </w:r>
          </w:p>
        </w:tc>
        <w:tc>
          <w:tcPr>
            <w:tcW w:w="340" w:type="dxa"/>
            <w:vAlign w:val="bottom"/>
            <w:shd w:val="clear" w:color="auto" w:fill="1D2758"/>
          </w:tcPr>
          <w:p>
            <w:pPr>
              <w:spacing w:after="0"/>
              <w:rPr>
                <w:sz w:val="15"/>
                <w:szCs w:val="15"/>
                <w:color w:val="auto"/>
              </w:rPr>
            </w:pPr>
          </w:p>
        </w:tc>
        <w:tc>
          <w:tcPr>
            <w:tcW w:w="1080" w:type="dxa"/>
            <w:vAlign w:val="bottom"/>
            <w:gridSpan w:val="2"/>
            <w:shd w:val="clear" w:color="auto" w:fill="1D2758"/>
          </w:tcPr>
          <w:p>
            <w:pPr>
              <w:ind w:left="240"/>
              <w:spacing w:after="0"/>
              <w:rPr>
                <w:sz w:val="20"/>
                <w:szCs w:val="20"/>
                <w:color w:val="auto"/>
              </w:rPr>
            </w:pPr>
            <w:r>
              <w:rPr>
                <w:rFonts w:ascii="Arial" w:cs="Arial" w:eastAsia="Arial" w:hAnsi="Arial"/>
                <w:sz w:val="13"/>
                <w:szCs w:val="13"/>
                <w:b w:val="1"/>
                <w:bCs w:val="1"/>
                <w:color w:val="FFFFFF"/>
              </w:rPr>
              <w:t>Q3</w:t>
            </w:r>
          </w:p>
        </w:tc>
        <w:tc>
          <w:tcPr>
            <w:tcW w:w="320" w:type="dxa"/>
            <w:vAlign w:val="bottom"/>
            <w:shd w:val="clear" w:color="auto" w:fill="1D2758"/>
          </w:tcPr>
          <w:p>
            <w:pPr>
              <w:spacing w:after="0"/>
              <w:rPr>
                <w:sz w:val="15"/>
                <w:szCs w:val="15"/>
                <w:color w:val="auto"/>
              </w:rPr>
            </w:pPr>
          </w:p>
        </w:tc>
        <w:tc>
          <w:tcPr>
            <w:tcW w:w="1080" w:type="dxa"/>
            <w:vAlign w:val="bottom"/>
            <w:gridSpan w:val="2"/>
            <w:shd w:val="clear" w:color="auto" w:fill="1D2758"/>
          </w:tcPr>
          <w:p>
            <w:pPr>
              <w:ind w:left="260"/>
              <w:spacing w:after="0"/>
              <w:rPr>
                <w:sz w:val="20"/>
                <w:szCs w:val="20"/>
                <w:color w:val="auto"/>
              </w:rPr>
            </w:pPr>
            <w:r>
              <w:rPr>
                <w:rFonts w:ascii="Arial" w:cs="Arial" w:eastAsia="Arial" w:hAnsi="Arial"/>
                <w:sz w:val="13"/>
                <w:szCs w:val="13"/>
                <w:b w:val="1"/>
                <w:bCs w:val="1"/>
                <w:color w:val="FFFFFF"/>
              </w:rPr>
              <w:t>Q4</w:t>
            </w:r>
          </w:p>
        </w:tc>
        <w:tc>
          <w:tcPr>
            <w:tcW w:w="240" w:type="dxa"/>
            <w:vAlign w:val="bottom"/>
            <w:shd w:val="clear" w:color="auto" w:fill="1D2758"/>
          </w:tcPr>
          <w:p>
            <w:pPr>
              <w:spacing w:after="0"/>
              <w:rPr>
                <w:sz w:val="15"/>
                <w:szCs w:val="15"/>
                <w:color w:val="auto"/>
              </w:rPr>
            </w:pPr>
          </w:p>
        </w:tc>
        <w:tc>
          <w:tcPr>
            <w:tcW w:w="1100" w:type="dxa"/>
            <w:vAlign w:val="bottom"/>
            <w:shd w:val="clear" w:color="auto" w:fill="1D2758"/>
          </w:tcPr>
          <w:p>
            <w:pPr>
              <w:jc w:val="right"/>
              <w:ind w:right="334"/>
              <w:spacing w:after="0"/>
              <w:rPr>
                <w:sz w:val="20"/>
                <w:szCs w:val="20"/>
                <w:color w:val="auto"/>
              </w:rPr>
            </w:pPr>
            <w:r>
              <w:rPr>
                <w:rFonts w:ascii="Arial" w:cs="Arial" w:eastAsia="Arial" w:hAnsi="Arial"/>
                <w:sz w:val="13"/>
                <w:szCs w:val="13"/>
                <w:b w:val="1"/>
                <w:bCs w:val="1"/>
                <w:color w:val="FFFFFF"/>
              </w:rPr>
              <w:t>Full Year</w:t>
            </w:r>
          </w:p>
        </w:tc>
      </w:tr>
      <w:tr>
        <w:trPr>
          <w:trHeight w:val="175"/>
        </w:trPr>
        <w:tc>
          <w:tcPr>
            <w:tcW w:w="4340" w:type="dxa"/>
            <w:vAlign w:val="bottom"/>
            <w:gridSpan w:val="2"/>
            <w:shd w:val="clear" w:color="auto" w:fill="DBDBDB"/>
          </w:tcPr>
          <w:p>
            <w:pPr>
              <w:ind w:left="20"/>
              <w:spacing w:after="0"/>
              <w:rPr>
                <w:sz w:val="20"/>
                <w:szCs w:val="20"/>
                <w:color w:val="auto"/>
              </w:rPr>
            </w:pPr>
            <w:r>
              <w:rPr>
                <w:rFonts w:ascii="Arial" w:cs="Arial" w:eastAsia="Arial" w:hAnsi="Arial"/>
                <w:sz w:val="13"/>
                <w:szCs w:val="13"/>
                <w:color w:val="auto"/>
              </w:rPr>
              <w:t>Net income (loss)</w:t>
            </w:r>
          </w:p>
        </w:tc>
        <w:tc>
          <w:tcPr>
            <w:tcW w:w="320" w:type="dxa"/>
            <w:vAlign w:val="bottom"/>
            <w:shd w:val="clear" w:color="auto" w:fill="DBDBDB"/>
          </w:tcPr>
          <w:p>
            <w:pPr>
              <w:jc w:val="right"/>
              <w:ind w:right="203"/>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91,655</w:t>
            </w:r>
          </w:p>
        </w:tc>
        <w:tc>
          <w:tcPr>
            <w:tcW w:w="8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20"/>
                <w:szCs w:val="20"/>
                <w:color w:val="auto"/>
              </w:rPr>
            </w:pPr>
            <w:r>
              <w:rPr>
                <w:rFonts w:ascii="Arial" w:cs="Arial" w:eastAsia="Arial" w:hAnsi="Arial"/>
                <w:sz w:val="13"/>
                <w:szCs w:val="13"/>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(14,130)</w:t>
            </w:r>
          </w:p>
        </w:tc>
        <w:tc>
          <w:tcPr>
            <w:tcW w:w="80" w:type="dxa"/>
            <w:vAlign w:val="bottom"/>
            <w:shd w:val="clear" w:color="auto" w:fill="DBDBDB"/>
          </w:tcPr>
          <w:p>
            <w:pPr>
              <w:spacing w:after="0"/>
              <w:rPr>
                <w:sz w:val="15"/>
                <w:szCs w:val="15"/>
                <w:color w:val="auto"/>
              </w:rPr>
            </w:pPr>
          </w:p>
        </w:tc>
        <w:tc>
          <w:tcPr>
            <w:tcW w:w="340" w:type="dxa"/>
            <w:vAlign w:val="bottom"/>
            <w:shd w:val="clear" w:color="auto" w:fill="DBDBDB"/>
          </w:tcPr>
          <w:p>
            <w:pPr>
              <w:jc w:val="right"/>
              <w:ind w:right="174"/>
              <w:spacing w:after="0"/>
              <w:rPr>
                <w:sz w:val="20"/>
                <w:szCs w:val="20"/>
                <w:color w:val="auto"/>
              </w:rPr>
            </w:pPr>
            <w:r>
              <w:rPr>
                <w:rFonts w:ascii="Arial" w:cs="Arial" w:eastAsia="Arial" w:hAnsi="Arial"/>
                <w:sz w:val="13"/>
                <w:szCs w:val="13"/>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(6,051)</w:t>
            </w:r>
          </w:p>
        </w:tc>
        <w:tc>
          <w:tcPr>
            <w:tcW w:w="80" w:type="dxa"/>
            <w:vAlign w:val="bottom"/>
            <w:shd w:val="clear" w:color="auto" w:fill="DBDBDB"/>
          </w:tcPr>
          <w:p>
            <w:pPr>
              <w:spacing w:after="0"/>
              <w:rPr>
                <w:sz w:val="15"/>
                <w:szCs w:val="15"/>
                <w:color w:val="auto"/>
              </w:rPr>
            </w:pPr>
          </w:p>
        </w:tc>
        <w:tc>
          <w:tcPr>
            <w:tcW w:w="320" w:type="dxa"/>
            <w:vAlign w:val="bottom"/>
            <w:shd w:val="clear" w:color="auto" w:fill="DBDBDB"/>
          </w:tcPr>
          <w:p>
            <w:pPr>
              <w:jc w:val="right"/>
              <w:ind w:right="174"/>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3,866</w:t>
            </w: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75,340</w:t>
            </w:r>
          </w:p>
        </w:tc>
      </w:tr>
      <w:tr>
        <w:trPr>
          <w:trHeight w:val="172"/>
        </w:trPr>
        <w:tc>
          <w:tcPr>
            <w:tcW w:w="4320" w:type="dxa"/>
            <w:vAlign w:val="bottom"/>
            <w:tcBorders>
              <w:bottom w:val="single" w:sz="8" w:color="DBDBDB"/>
            </w:tcBorders>
          </w:tcPr>
          <w:p>
            <w:pPr>
              <w:ind w:left="200"/>
              <w:spacing w:after="0"/>
              <w:rPr>
                <w:sz w:val="20"/>
                <w:szCs w:val="20"/>
                <w:color w:val="auto"/>
              </w:rPr>
            </w:pPr>
            <w:r>
              <w:rPr>
                <w:rFonts w:ascii="Arial" w:cs="Arial" w:eastAsia="Arial" w:hAnsi="Arial"/>
                <w:sz w:val="13"/>
                <w:szCs w:val="13"/>
                <w:color w:val="auto"/>
              </w:rPr>
              <w:t>Fair value (gain) loss on common stock warrant liabilities</w:t>
            </w: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(95,329)</w:t>
            </w:r>
          </w:p>
        </w:tc>
        <w:tc>
          <w:tcPr>
            <w:tcW w:w="80" w:type="dxa"/>
            <w:vAlign w:val="bottom"/>
            <w:tcBorders>
              <w:bottom w:val="single" w:sz="8" w:color="DBDBDB"/>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26,963</w:t>
            </w:r>
          </w:p>
        </w:tc>
        <w:tc>
          <w:tcPr>
            <w:tcW w:w="80" w:type="dxa"/>
            <w:vAlign w:val="bottom"/>
            <w:tcBorders>
              <w:bottom w:val="single" w:sz="8" w:color="DBDBDB"/>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22,303</w:t>
            </w:r>
          </w:p>
        </w:tc>
        <w:tc>
          <w:tcPr>
            <w:tcW w:w="80" w:type="dxa"/>
            <w:vAlign w:val="bottom"/>
            <w:tcBorders>
              <w:bottom w:val="single" w:sz="8" w:color="DBDBDB"/>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42,602</w:t>
            </w:r>
          </w:p>
        </w:tc>
        <w:tc>
          <w:tcPr>
            <w:tcW w:w="80" w:type="dxa"/>
            <w:vAlign w:val="bottom"/>
            <w:tcBorders>
              <w:bottom w:val="single" w:sz="8" w:color="DBDBDB"/>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(3,461)</w:t>
            </w:r>
          </w:p>
        </w:tc>
      </w:tr>
      <w:tr>
        <w:trPr>
          <w:trHeight w:val="189"/>
        </w:trPr>
        <w:tc>
          <w:tcPr>
            <w:tcW w:w="4340" w:type="dxa"/>
            <w:vAlign w:val="bottom"/>
            <w:gridSpan w:val="2"/>
            <w:shd w:val="clear" w:color="auto" w:fill="DBDBDB"/>
          </w:tcPr>
          <w:p>
            <w:pPr>
              <w:ind w:left="20"/>
              <w:spacing w:after="0"/>
              <w:rPr>
                <w:sz w:val="20"/>
                <w:szCs w:val="20"/>
                <w:color w:val="auto"/>
              </w:rPr>
            </w:pPr>
            <w:r>
              <w:rPr>
                <w:rFonts w:ascii="Arial" w:cs="Arial" w:eastAsia="Arial" w:hAnsi="Arial"/>
                <w:sz w:val="13"/>
                <w:szCs w:val="13"/>
                <w:color w:val="auto"/>
              </w:rPr>
              <w:t>Net (Loss) Income Excluding Gain/Loss from Warrants</w:t>
            </w:r>
          </w:p>
        </w:tc>
        <w:tc>
          <w:tcPr>
            <w:tcW w:w="320" w:type="dxa"/>
            <w:vAlign w:val="bottom"/>
            <w:shd w:val="clear" w:color="auto" w:fill="DBDBDB"/>
          </w:tcPr>
          <w:p>
            <w:pPr>
              <w:jc w:val="right"/>
              <w:ind w:right="203"/>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(3,674)</w:t>
            </w:r>
          </w:p>
        </w:tc>
        <w:tc>
          <w:tcPr>
            <w:tcW w:w="8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320" w:type="dxa"/>
            <w:vAlign w:val="bottom"/>
            <w:shd w:val="clear" w:color="auto" w:fill="DBDBDB"/>
          </w:tcPr>
          <w:p>
            <w:pPr>
              <w:spacing w:after="0"/>
              <w:rPr>
                <w:sz w:val="20"/>
                <w:szCs w:val="20"/>
                <w:color w:val="auto"/>
              </w:rPr>
            </w:pPr>
            <w:r>
              <w:rPr>
                <w:rFonts w:ascii="Arial" w:cs="Arial" w:eastAsia="Arial" w:hAnsi="Arial"/>
                <w:sz w:val="13"/>
                <w:szCs w:val="13"/>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12,833</w:t>
            </w:r>
          </w:p>
        </w:tc>
        <w:tc>
          <w:tcPr>
            <w:tcW w:w="80" w:type="dxa"/>
            <w:vAlign w:val="bottom"/>
            <w:shd w:val="clear" w:color="auto" w:fill="DBDBDB"/>
          </w:tcPr>
          <w:p>
            <w:pPr>
              <w:spacing w:after="0"/>
              <w:rPr>
                <w:sz w:val="16"/>
                <w:szCs w:val="16"/>
                <w:color w:val="auto"/>
              </w:rPr>
            </w:pPr>
          </w:p>
        </w:tc>
        <w:tc>
          <w:tcPr>
            <w:tcW w:w="340" w:type="dxa"/>
            <w:vAlign w:val="bottom"/>
            <w:shd w:val="clear" w:color="auto" w:fill="DBDBDB"/>
          </w:tcPr>
          <w:p>
            <w:pPr>
              <w:jc w:val="right"/>
              <w:ind w:right="174"/>
              <w:spacing w:after="0"/>
              <w:rPr>
                <w:sz w:val="20"/>
                <w:szCs w:val="20"/>
                <w:color w:val="auto"/>
              </w:rPr>
            </w:pPr>
            <w:r>
              <w:rPr>
                <w:rFonts w:ascii="Arial" w:cs="Arial" w:eastAsia="Arial" w:hAnsi="Arial"/>
                <w:sz w:val="13"/>
                <w:szCs w:val="13"/>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16,252</w:t>
            </w:r>
          </w:p>
        </w:tc>
        <w:tc>
          <w:tcPr>
            <w:tcW w:w="80" w:type="dxa"/>
            <w:vAlign w:val="bottom"/>
            <w:shd w:val="clear" w:color="auto" w:fill="DBDBDB"/>
          </w:tcPr>
          <w:p>
            <w:pPr>
              <w:spacing w:after="0"/>
              <w:rPr>
                <w:sz w:val="16"/>
                <w:szCs w:val="16"/>
                <w:color w:val="auto"/>
              </w:rPr>
            </w:pPr>
          </w:p>
        </w:tc>
        <w:tc>
          <w:tcPr>
            <w:tcW w:w="320" w:type="dxa"/>
            <w:vAlign w:val="bottom"/>
            <w:shd w:val="clear" w:color="auto" w:fill="DBDBDB"/>
          </w:tcPr>
          <w:p>
            <w:pPr>
              <w:jc w:val="right"/>
              <w:ind w:right="174"/>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46,468</w:t>
            </w:r>
          </w:p>
        </w:tc>
        <w:tc>
          <w:tcPr>
            <w:tcW w:w="80" w:type="dxa"/>
            <w:vAlign w:val="bottom"/>
            <w:shd w:val="clear" w:color="auto" w:fill="DBDBDB"/>
          </w:tcPr>
          <w:p>
            <w:pPr>
              <w:spacing w:after="0"/>
              <w:rPr>
                <w:sz w:val="16"/>
                <w:szCs w:val="16"/>
                <w:color w:val="auto"/>
              </w:rPr>
            </w:pPr>
          </w:p>
        </w:tc>
        <w:tc>
          <w:tcPr>
            <w:tcW w:w="24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71,879</w:t>
            </w:r>
          </w:p>
        </w:tc>
      </w:tr>
      <w:tr>
        <w:trPr>
          <w:trHeight w:val="20"/>
        </w:trPr>
        <w:tc>
          <w:tcPr>
            <w:tcW w:w="432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CAPEX</w:t>
      </w:r>
    </w:p>
    <w:p>
      <w:pPr>
        <w:spacing w:after="0" w:line="66"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We define Net CAPEX as purchases of rental equipment and refurbishments and purchases of property, plant and equipment (collectively, "Total Capital Expenditures"), less proceeds from the sale of rental equipment and proceeds from the sale of property, plant and equipment (collectively, "Total Proceeds"), which are all included in cash flows from investing activities. Management believes that the presentation of Net CAPEX provides useful information regarding the net capital invested into our rental fleet and property, plant and equipment each year to assist in analyzing the performance of our business.</w:t>
      </w:r>
    </w:p>
    <w:p>
      <w:pPr>
        <w:spacing w:after="0" w:line="24"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following tables provide unaudited reconciliations of Net CAPEX on a historical quarterly basis:</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Quarterly Consolidated Results for the Year Ended December 31, 2021</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2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340" w:type="dxa"/>
            <w:vAlign w:val="bottom"/>
            <w:shd w:val="clear" w:color="auto" w:fill="1D2758"/>
          </w:tcPr>
          <w:p>
            <w:pPr>
              <w:spacing w:after="0"/>
              <w:rPr>
                <w:sz w:val="15"/>
                <w:szCs w:val="15"/>
                <w:color w:val="auto"/>
              </w:rPr>
            </w:pPr>
          </w:p>
        </w:tc>
        <w:tc>
          <w:tcPr>
            <w:tcW w:w="1140" w:type="dxa"/>
            <w:vAlign w:val="bottom"/>
            <w:gridSpan w:val="2"/>
            <w:shd w:val="clear" w:color="auto" w:fill="1D2758"/>
          </w:tcPr>
          <w:p>
            <w:pPr>
              <w:ind w:left="260"/>
              <w:spacing w:after="0"/>
              <w:rPr>
                <w:sz w:val="20"/>
                <w:szCs w:val="20"/>
                <w:color w:val="auto"/>
              </w:rPr>
            </w:pPr>
            <w:r>
              <w:rPr>
                <w:rFonts w:ascii="Arial" w:cs="Arial" w:eastAsia="Arial" w:hAnsi="Arial"/>
                <w:sz w:val="13"/>
                <w:szCs w:val="13"/>
                <w:b w:val="1"/>
                <w:bCs w:val="1"/>
                <w:color w:val="FFFFFF"/>
              </w:rPr>
              <w:t>Q1</w:t>
            </w:r>
          </w:p>
        </w:tc>
        <w:tc>
          <w:tcPr>
            <w:tcW w:w="360" w:type="dxa"/>
            <w:vAlign w:val="bottom"/>
            <w:shd w:val="clear" w:color="auto" w:fill="1D2758"/>
          </w:tcPr>
          <w:p>
            <w:pPr>
              <w:spacing w:after="0"/>
              <w:rPr>
                <w:sz w:val="15"/>
                <w:szCs w:val="15"/>
                <w:color w:val="auto"/>
              </w:rPr>
            </w:pPr>
          </w:p>
        </w:tc>
        <w:tc>
          <w:tcPr>
            <w:tcW w:w="1120" w:type="dxa"/>
            <w:vAlign w:val="bottom"/>
            <w:gridSpan w:val="2"/>
            <w:shd w:val="clear" w:color="auto" w:fill="1D2758"/>
          </w:tcPr>
          <w:p>
            <w:pPr>
              <w:ind w:left="260"/>
              <w:spacing w:after="0"/>
              <w:rPr>
                <w:sz w:val="20"/>
                <w:szCs w:val="20"/>
                <w:color w:val="auto"/>
              </w:rPr>
            </w:pPr>
            <w:r>
              <w:rPr>
                <w:rFonts w:ascii="Arial" w:cs="Arial" w:eastAsia="Arial" w:hAnsi="Arial"/>
                <w:sz w:val="13"/>
                <w:szCs w:val="13"/>
                <w:b w:val="1"/>
                <w:bCs w:val="1"/>
                <w:color w:val="FFFFFF"/>
              </w:rPr>
              <w:t>Q2</w:t>
            </w:r>
          </w:p>
        </w:tc>
        <w:tc>
          <w:tcPr>
            <w:tcW w:w="880" w:type="dxa"/>
            <w:vAlign w:val="bottom"/>
            <w:shd w:val="clear" w:color="auto" w:fill="1D2758"/>
          </w:tcPr>
          <w:p>
            <w:pPr>
              <w:jc w:val="right"/>
              <w:ind w:right="14"/>
              <w:spacing w:after="0"/>
              <w:rPr>
                <w:sz w:val="20"/>
                <w:szCs w:val="20"/>
                <w:color w:val="auto"/>
              </w:rPr>
            </w:pPr>
            <w:r>
              <w:rPr>
                <w:rFonts w:ascii="Arial" w:cs="Arial" w:eastAsia="Arial" w:hAnsi="Arial"/>
                <w:sz w:val="13"/>
                <w:szCs w:val="13"/>
                <w:b w:val="1"/>
                <w:bCs w:val="1"/>
                <w:color w:val="FFFFFF"/>
              </w:rPr>
              <w:t>Q3</w:t>
            </w:r>
          </w:p>
        </w:tc>
        <w:tc>
          <w:tcPr>
            <w:tcW w:w="520" w:type="dxa"/>
            <w:vAlign w:val="bottom"/>
            <w:shd w:val="clear" w:color="auto" w:fill="1D2758"/>
          </w:tcPr>
          <w:p>
            <w:pPr>
              <w:spacing w:after="0"/>
              <w:rPr>
                <w:sz w:val="15"/>
                <w:szCs w:val="15"/>
                <w:color w:val="auto"/>
              </w:rPr>
            </w:pPr>
          </w:p>
        </w:tc>
        <w:tc>
          <w:tcPr>
            <w:tcW w:w="100" w:type="dxa"/>
            <w:vAlign w:val="bottom"/>
            <w:shd w:val="clear" w:color="auto" w:fill="1D2758"/>
          </w:tcPr>
          <w:p>
            <w:pPr>
              <w:spacing w:after="0"/>
              <w:rPr>
                <w:sz w:val="15"/>
                <w:szCs w:val="15"/>
                <w:color w:val="auto"/>
              </w:rPr>
            </w:pPr>
          </w:p>
        </w:tc>
        <w:tc>
          <w:tcPr>
            <w:tcW w:w="820" w:type="dxa"/>
            <w:vAlign w:val="bottom"/>
            <w:shd w:val="clear" w:color="auto" w:fill="1D2758"/>
          </w:tcPr>
          <w:p>
            <w:pPr>
              <w:jc w:val="right"/>
              <w:spacing w:after="0"/>
              <w:rPr>
                <w:sz w:val="20"/>
                <w:szCs w:val="20"/>
                <w:color w:val="auto"/>
              </w:rPr>
            </w:pPr>
            <w:r>
              <w:rPr>
                <w:rFonts w:ascii="Arial" w:cs="Arial" w:eastAsia="Arial" w:hAnsi="Arial"/>
                <w:sz w:val="13"/>
                <w:szCs w:val="13"/>
                <w:b w:val="1"/>
                <w:bCs w:val="1"/>
                <w:color w:val="FFFFFF"/>
              </w:rPr>
              <w:t>Q4</w:t>
            </w:r>
          </w:p>
        </w:tc>
        <w:tc>
          <w:tcPr>
            <w:tcW w:w="580" w:type="dxa"/>
            <w:vAlign w:val="bottom"/>
            <w:shd w:val="clear" w:color="auto" w:fill="1D2758"/>
          </w:tcPr>
          <w:p>
            <w:pPr>
              <w:spacing w:after="0"/>
              <w:rPr>
                <w:sz w:val="15"/>
                <w:szCs w:val="15"/>
                <w:color w:val="auto"/>
              </w:rPr>
            </w:pPr>
          </w:p>
        </w:tc>
        <w:tc>
          <w:tcPr>
            <w:tcW w:w="100" w:type="dxa"/>
            <w:vAlign w:val="bottom"/>
            <w:shd w:val="clear" w:color="auto" w:fill="1D2758"/>
          </w:tcPr>
          <w:p>
            <w:pPr>
              <w:spacing w:after="0"/>
              <w:rPr>
                <w:sz w:val="15"/>
                <w:szCs w:val="15"/>
                <w:color w:val="auto"/>
              </w:rPr>
            </w:pPr>
          </w:p>
        </w:tc>
        <w:tc>
          <w:tcPr>
            <w:tcW w:w="260" w:type="dxa"/>
            <w:vAlign w:val="bottom"/>
            <w:shd w:val="clear" w:color="auto" w:fill="1D2758"/>
          </w:tcPr>
          <w:p>
            <w:pPr>
              <w:spacing w:after="0"/>
              <w:rPr>
                <w:sz w:val="15"/>
                <w:szCs w:val="15"/>
                <w:color w:val="auto"/>
              </w:rPr>
            </w:pPr>
          </w:p>
        </w:tc>
        <w:tc>
          <w:tcPr>
            <w:tcW w:w="1140" w:type="dxa"/>
            <w:vAlign w:val="bottom"/>
            <w:shd w:val="clear" w:color="auto" w:fill="1D2758"/>
          </w:tcPr>
          <w:p>
            <w:pPr>
              <w:jc w:val="right"/>
              <w:ind w:right="374"/>
              <w:spacing w:after="0"/>
              <w:rPr>
                <w:sz w:val="20"/>
                <w:szCs w:val="20"/>
                <w:color w:val="auto"/>
              </w:rPr>
            </w:pPr>
            <w:r>
              <w:rPr>
                <w:rFonts w:ascii="Arial" w:cs="Arial" w:eastAsia="Arial" w:hAnsi="Arial"/>
                <w:sz w:val="13"/>
                <w:szCs w:val="13"/>
                <w:b w:val="1"/>
                <w:bCs w:val="1"/>
                <w:color w:val="FFFFFF"/>
              </w:rPr>
              <w:t>Full Year</w:t>
            </w:r>
          </w:p>
        </w:tc>
      </w:tr>
      <w:tr>
        <w:trPr>
          <w:trHeight w:val="175"/>
        </w:trPr>
        <w:tc>
          <w:tcPr>
            <w:tcW w:w="3920" w:type="dxa"/>
            <w:vAlign w:val="bottom"/>
            <w:shd w:val="clear" w:color="auto" w:fill="DBDBDB"/>
          </w:tcPr>
          <w:p>
            <w:pPr>
              <w:ind w:left="20"/>
              <w:spacing w:after="0"/>
              <w:rPr>
                <w:sz w:val="20"/>
                <w:szCs w:val="20"/>
                <w:color w:val="auto"/>
              </w:rPr>
            </w:pPr>
            <w:r>
              <w:rPr>
                <w:rFonts w:ascii="Arial" w:cs="Arial" w:eastAsia="Arial" w:hAnsi="Arial"/>
                <w:sz w:val="13"/>
                <w:szCs w:val="13"/>
                <w:color w:val="auto"/>
              </w:rPr>
              <w:t>Total Capital Expenditures</w:t>
            </w:r>
          </w:p>
        </w:tc>
        <w:tc>
          <w:tcPr>
            <w:tcW w:w="340" w:type="dxa"/>
            <w:vAlign w:val="bottom"/>
            <w:shd w:val="clear" w:color="auto" w:fill="DBDBDB"/>
          </w:tcPr>
          <w:p>
            <w:pPr>
              <w:jc w:val="right"/>
              <w:ind w:right="194"/>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59,842</w:t>
            </w: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jc w:val="right"/>
              <w:ind w:right="19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75,425</w:t>
            </w:r>
          </w:p>
        </w:tc>
        <w:tc>
          <w:tcPr>
            <w:tcW w:w="80" w:type="dxa"/>
            <w:vAlign w:val="bottom"/>
            <w:shd w:val="clear" w:color="auto" w:fill="DBDBDB"/>
          </w:tcPr>
          <w:p>
            <w:pPr>
              <w:spacing w:after="0"/>
              <w:rPr>
                <w:sz w:val="15"/>
                <w:szCs w:val="15"/>
                <w:color w:val="auto"/>
              </w:rPr>
            </w:pPr>
          </w:p>
        </w:tc>
        <w:tc>
          <w:tcPr>
            <w:tcW w:w="880" w:type="dxa"/>
            <w:vAlign w:val="bottom"/>
            <w:shd w:val="clear" w:color="auto" w:fill="DBDBDB"/>
          </w:tcPr>
          <w:p>
            <w:pPr>
              <w:jc w:val="right"/>
              <w:ind w:right="714"/>
              <w:spacing w:after="0"/>
              <w:rPr>
                <w:sz w:val="20"/>
                <w:szCs w:val="20"/>
                <w:color w:val="auto"/>
              </w:rPr>
            </w:pPr>
            <w:r>
              <w:rPr>
                <w:rFonts w:ascii="Arial" w:cs="Arial" w:eastAsia="Arial" w:hAnsi="Arial"/>
                <w:sz w:val="13"/>
                <w:szCs w:val="13"/>
                <w:color w:val="auto"/>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63,760</w:t>
            </w:r>
          </w:p>
        </w:tc>
        <w:tc>
          <w:tcPr>
            <w:tcW w:w="100" w:type="dxa"/>
            <w:vAlign w:val="bottom"/>
            <w:shd w:val="clear" w:color="auto" w:fill="DBDBDB"/>
          </w:tcPr>
          <w:p>
            <w:pPr>
              <w:spacing w:after="0"/>
              <w:rPr>
                <w:sz w:val="15"/>
                <w:szCs w:val="15"/>
                <w:color w:val="auto"/>
              </w:rPr>
            </w:pPr>
          </w:p>
        </w:tc>
        <w:tc>
          <w:tcPr>
            <w:tcW w:w="820" w:type="dxa"/>
            <w:vAlign w:val="bottom"/>
            <w:shd w:val="clear" w:color="auto" w:fill="DBDBDB"/>
          </w:tcPr>
          <w:p>
            <w:pPr>
              <w:jc w:val="right"/>
              <w:ind w:right="674"/>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109,969</w:t>
            </w:r>
          </w:p>
        </w:tc>
        <w:tc>
          <w:tcPr>
            <w:tcW w:w="100" w:type="dxa"/>
            <w:vAlign w:val="bottom"/>
            <w:shd w:val="clear" w:color="auto" w:fill="DBDBDB"/>
          </w:tcPr>
          <w:p>
            <w:pPr>
              <w:spacing w:after="0"/>
              <w:rPr>
                <w:sz w:val="15"/>
                <w:szCs w:val="15"/>
                <w:color w:val="auto"/>
              </w:rPr>
            </w:pPr>
          </w:p>
        </w:tc>
        <w:tc>
          <w:tcPr>
            <w:tcW w:w="260" w:type="dxa"/>
            <w:vAlign w:val="bottom"/>
            <w:shd w:val="clear" w:color="auto" w:fill="DBDBDB"/>
          </w:tcPr>
          <w:p>
            <w:pPr>
              <w:jc w:val="right"/>
              <w:ind w:right="114"/>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308,996</w:t>
            </w:r>
          </w:p>
        </w:tc>
      </w:tr>
      <w:tr>
        <w:trPr>
          <w:trHeight w:val="172"/>
        </w:trPr>
        <w:tc>
          <w:tcPr>
            <w:tcW w:w="392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Total Proceeds</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28,931</w:t>
            </w:r>
          </w:p>
        </w:tc>
        <w:tc>
          <w:tcPr>
            <w:tcW w:w="80" w:type="dxa"/>
            <w:vAlign w:val="bottom"/>
            <w:tcBorders>
              <w:bottom w:val="single" w:sz="8" w:color="DBDBDB"/>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17,944</w:t>
            </w:r>
          </w:p>
        </w:tc>
        <w:tc>
          <w:tcPr>
            <w:tcW w:w="80" w:type="dxa"/>
            <w:vAlign w:val="bottom"/>
            <w:tcBorders>
              <w:bottom w:val="single" w:sz="8" w:color="DBDBDB"/>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11,806</w:t>
            </w:r>
          </w:p>
        </w:tc>
        <w:tc>
          <w:tcPr>
            <w:tcW w:w="100" w:type="dxa"/>
            <w:vAlign w:val="bottom"/>
            <w:tcBorders>
              <w:bottom w:val="single" w:sz="8" w:color="DBDBDB"/>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13,440</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72,121</w:t>
            </w:r>
          </w:p>
        </w:tc>
      </w:tr>
      <w:tr>
        <w:trPr>
          <w:trHeight w:val="194"/>
        </w:trPr>
        <w:tc>
          <w:tcPr>
            <w:tcW w:w="3920" w:type="dxa"/>
            <w:vAlign w:val="bottom"/>
            <w:tcBorders>
              <w:bottom w:val="single" w:sz="8" w:color="DBDBDB"/>
            </w:tcBorders>
            <w:shd w:val="clear" w:color="auto" w:fill="DBDBDB"/>
          </w:tcPr>
          <w:p>
            <w:pPr>
              <w:ind w:left="200"/>
              <w:spacing w:after="0"/>
              <w:rPr>
                <w:sz w:val="20"/>
                <w:szCs w:val="20"/>
                <w:color w:val="auto"/>
              </w:rPr>
            </w:pPr>
            <w:r>
              <w:rPr>
                <w:rFonts w:ascii="Arial" w:cs="Arial" w:eastAsia="Arial" w:hAnsi="Arial"/>
                <w:sz w:val="13"/>
                <w:szCs w:val="13"/>
                <w:color w:val="auto"/>
              </w:rPr>
              <w:t>Net CAPEX</w:t>
            </w:r>
          </w:p>
        </w:tc>
        <w:tc>
          <w:tcPr>
            <w:tcW w:w="340" w:type="dxa"/>
            <w:vAlign w:val="bottom"/>
            <w:tcBorders>
              <w:bottom w:val="single" w:sz="8" w:color="auto"/>
            </w:tcBorders>
            <w:shd w:val="clear" w:color="auto" w:fill="DBDBDB"/>
          </w:tcPr>
          <w:p>
            <w:pPr>
              <w:jc w:val="right"/>
              <w:ind w:right="194"/>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30,911</w:t>
            </w:r>
          </w:p>
        </w:tc>
        <w:tc>
          <w:tcPr>
            <w:tcW w:w="80" w:type="dxa"/>
            <w:vAlign w:val="bottom"/>
            <w:tcBorders>
              <w:bottom w:val="single" w:sz="8" w:color="DBDBDB"/>
            </w:tcBorders>
            <w:shd w:val="clear" w:color="auto" w:fill="DBDBDB"/>
          </w:tcPr>
          <w:p>
            <w:pPr>
              <w:spacing w:after="0"/>
              <w:rPr>
                <w:sz w:val="16"/>
                <w:szCs w:val="16"/>
                <w:color w:val="auto"/>
              </w:rPr>
            </w:pPr>
          </w:p>
        </w:tc>
        <w:tc>
          <w:tcPr>
            <w:tcW w:w="360" w:type="dxa"/>
            <w:vAlign w:val="bottom"/>
            <w:tcBorders>
              <w:bottom w:val="single" w:sz="8" w:color="auto"/>
            </w:tcBorders>
            <w:shd w:val="clear" w:color="auto" w:fill="DBDBDB"/>
          </w:tcPr>
          <w:p>
            <w:pPr>
              <w:jc w:val="right"/>
              <w:ind w:right="194"/>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57,481</w:t>
            </w:r>
          </w:p>
        </w:tc>
        <w:tc>
          <w:tcPr>
            <w:tcW w:w="8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auto"/>
            </w:tcBorders>
            <w:shd w:val="clear" w:color="auto" w:fill="DBDBDB"/>
          </w:tcPr>
          <w:p>
            <w:pPr>
              <w:jc w:val="right"/>
              <w:ind w:right="714"/>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51,954</w:t>
            </w:r>
          </w:p>
        </w:tc>
        <w:tc>
          <w:tcPr>
            <w:tcW w:w="100" w:type="dxa"/>
            <w:vAlign w:val="bottom"/>
            <w:tcBorders>
              <w:bottom w:val="single" w:sz="8" w:color="DBDBDB"/>
            </w:tcBorders>
            <w:shd w:val="clear" w:color="auto" w:fill="DBDBDB"/>
          </w:tcPr>
          <w:p>
            <w:pPr>
              <w:spacing w:after="0"/>
              <w:rPr>
                <w:sz w:val="16"/>
                <w:szCs w:val="16"/>
                <w:color w:val="auto"/>
              </w:rPr>
            </w:pPr>
          </w:p>
        </w:tc>
        <w:tc>
          <w:tcPr>
            <w:tcW w:w="820" w:type="dxa"/>
            <w:vAlign w:val="bottom"/>
            <w:tcBorders>
              <w:bottom w:val="single" w:sz="8" w:color="auto"/>
            </w:tcBorders>
            <w:shd w:val="clear" w:color="auto" w:fill="DBDBDB"/>
          </w:tcPr>
          <w:p>
            <w:pPr>
              <w:jc w:val="right"/>
              <w:ind w:right="674"/>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96,529</w:t>
            </w:r>
          </w:p>
        </w:tc>
        <w:tc>
          <w:tcPr>
            <w:tcW w:w="100" w:type="dxa"/>
            <w:vAlign w:val="bottom"/>
            <w:tcBorders>
              <w:bottom w:val="single" w:sz="8" w:color="DBDBDB"/>
            </w:tcBorders>
            <w:shd w:val="clear" w:color="auto" w:fill="DBDBDB"/>
          </w:tcPr>
          <w:p>
            <w:pPr>
              <w:spacing w:after="0"/>
              <w:rPr>
                <w:sz w:val="16"/>
                <w:szCs w:val="16"/>
                <w:color w:val="auto"/>
              </w:rPr>
            </w:pPr>
          </w:p>
        </w:tc>
        <w:tc>
          <w:tcPr>
            <w:tcW w:w="260" w:type="dxa"/>
            <w:vAlign w:val="bottom"/>
            <w:tcBorders>
              <w:bottom w:val="single" w:sz="8" w:color="auto"/>
            </w:tcBorders>
            <w:shd w:val="clear" w:color="auto" w:fill="DBDBDB"/>
          </w:tcPr>
          <w:p>
            <w:pPr>
              <w:jc w:val="right"/>
              <w:ind w:right="114"/>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236,875</w:t>
            </w:r>
          </w:p>
        </w:tc>
      </w:tr>
      <w:tr>
        <w:trPr>
          <w:trHeight w:val="20"/>
        </w:trPr>
        <w:tc>
          <w:tcPr>
            <w:tcW w:w="392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28" w:right="31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73"/>
        </w:trPr>
        <w:tc>
          <w:tcPr>
            <w:tcW w:w="4460" w:type="dxa"/>
            <w:vAlign w:val="bottom"/>
            <w:gridSpan w:val="2"/>
          </w:tcPr>
          <w:p>
            <w:pPr>
              <w:spacing w:after="0"/>
              <w:rPr>
                <w:sz w:val="20"/>
                <w:szCs w:val="20"/>
                <w:color w:val="auto"/>
              </w:rPr>
            </w:pPr>
            <w:r>
              <w:rPr>
                <w:rFonts w:ascii="Arial" w:cs="Arial" w:eastAsia="Arial" w:hAnsi="Arial"/>
                <w:sz w:val="13"/>
                <w:szCs w:val="13"/>
                <w:b w:val="1"/>
                <w:bCs w:val="1"/>
                <w:i w:val="1"/>
                <w:iCs w:val="1"/>
                <w:color w:val="1D2758"/>
              </w:rPr>
              <w:t>Quarterly Consolidated Results for the Year Ended December 31, 2020</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04"/>
        </w:trPr>
        <w:tc>
          <w:tcPr>
            <w:tcW w:w="39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175"/>
        </w:trPr>
        <w:tc>
          <w:tcPr>
            <w:tcW w:w="392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540" w:type="dxa"/>
            <w:vAlign w:val="bottom"/>
            <w:shd w:val="clear" w:color="auto" w:fill="1D2758"/>
          </w:tcPr>
          <w:p>
            <w:pPr>
              <w:spacing w:after="0"/>
              <w:rPr>
                <w:sz w:val="15"/>
                <w:szCs w:val="15"/>
                <w:color w:val="auto"/>
              </w:rPr>
            </w:pPr>
          </w:p>
        </w:tc>
        <w:tc>
          <w:tcPr>
            <w:tcW w:w="960" w:type="dxa"/>
            <w:vAlign w:val="bottom"/>
            <w:gridSpan w:val="2"/>
            <w:shd w:val="clear" w:color="auto" w:fill="1D2758"/>
          </w:tcPr>
          <w:p>
            <w:pPr>
              <w:ind w:left="80"/>
              <w:spacing w:after="0"/>
              <w:rPr>
                <w:sz w:val="20"/>
                <w:szCs w:val="20"/>
                <w:color w:val="auto"/>
              </w:rPr>
            </w:pPr>
            <w:r>
              <w:rPr>
                <w:rFonts w:ascii="Arial" w:cs="Arial" w:eastAsia="Arial" w:hAnsi="Arial"/>
                <w:sz w:val="13"/>
                <w:szCs w:val="13"/>
                <w:b w:val="1"/>
                <w:bCs w:val="1"/>
                <w:color w:val="FFFFFF"/>
              </w:rPr>
              <w:t>Q1</w:t>
            </w:r>
          </w:p>
        </w:tc>
        <w:tc>
          <w:tcPr>
            <w:tcW w:w="340" w:type="dxa"/>
            <w:vAlign w:val="bottom"/>
            <w:shd w:val="clear" w:color="auto" w:fill="1D2758"/>
          </w:tcPr>
          <w:p>
            <w:pPr>
              <w:spacing w:after="0"/>
              <w:rPr>
                <w:sz w:val="15"/>
                <w:szCs w:val="15"/>
                <w:color w:val="auto"/>
              </w:rPr>
            </w:pPr>
          </w:p>
        </w:tc>
        <w:tc>
          <w:tcPr>
            <w:tcW w:w="1140" w:type="dxa"/>
            <w:vAlign w:val="bottom"/>
            <w:gridSpan w:val="2"/>
            <w:shd w:val="clear" w:color="auto" w:fill="1D2758"/>
          </w:tcPr>
          <w:p>
            <w:pPr>
              <w:ind w:left="260"/>
              <w:spacing w:after="0"/>
              <w:rPr>
                <w:sz w:val="20"/>
                <w:szCs w:val="20"/>
                <w:color w:val="auto"/>
              </w:rPr>
            </w:pPr>
            <w:r>
              <w:rPr>
                <w:rFonts w:ascii="Arial" w:cs="Arial" w:eastAsia="Arial" w:hAnsi="Arial"/>
                <w:sz w:val="13"/>
                <w:szCs w:val="13"/>
                <w:b w:val="1"/>
                <w:bCs w:val="1"/>
                <w:color w:val="FFFFFF"/>
              </w:rPr>
              <w:t>Q2</w:t>
            </w:r>
          </w:p>
        </w:tc>
        <w:tc>
          <w:tcPr>
            <w:tcW w:w="340" w:type="dxa"/>
            <w:vAlign w:val="bottom"/>
            <w:shd w:val="clear" w:color="auto" w:fill="1D2758"/>
          </w:tcPr>
          <w:p>
            <w:pPr>
              <w:spacing w:after="0"/>
              <w:rPr>
                <w:sz w:val="15"/>
                <w:szCs w:val="15"/>
                <w:color w:val="auto"/>
              </w:rPr>
            </w:pPr>
          </w:p>
        </w:tc>
        <w:tc>
          <w:tcPr>
            <w:tcW w:w="1140" w:type="dxa"/>
            <w:vAlign w:val="bottom"/>
            <w:gridSpan w:val="2"/>
            <w:shd w:val="clear" w:color="auto" w:fill="1D2758"/>
          </w:tcPr>
          <w:p>
            <w:pPr>
              <w:ind w:left="280"/>
              <w:spacing w:after="0"/>
              <w:rPr>
                <w:sz w:val="20"/>
                <w:szCs w:val="20"/>
                <w:color w:val="auto"/>
              </w:rPr>
            </w:pPr>
            <w:r>
              <w:rPr>
                <w:rFonts w:ascii="Arial" w:cs="Arial" w:eastAsia="Arial" w:hAnsi="Arial"/>
                <w:sz w:val="13"/>
                <w:szCs w:val="13"/>
                <w:b w:val="1"/>
                <w:bCs w:val="1"/>
                <w:color w:val="FFFFFF"/>
              </w:rPr>
              <w:t>Q3</w:t>
            </w:r>
          </w:p>
        </w:tc>
        <w:tc>
          <w:tcPr>
            <w:tcW w:w="360" w:type="dxa"/>
            <w:vAlign w:val="bottom"/>
            <w:shd w:val="clear" w:color="auto" w:fill="1D2758"/>
          </w:tcPr>
          <w:p>
            <w:pPr>
              <w:spacing w:after="0"/>
              <w:rPr>
                <w:sz w:val="15"/>
                <w:szCs w:val="15"/>
                <w:color w:val="auto"/>
              </w:rPr>
            </w:pPr>
          </w:p>
        </w:tc>
        <w:tc>
          <w:tcPr>
            <w:tcW w:w="1140" w:type="dxa"/>
            <w:vAlign w:val="bottom"/>
            <w:gridSpan w:val="2"/>
            <w:shd w:val="clear" w:color="auto" w:fill="1D2758"/>
          </w:tcPr>
          <w:p>
            <w:pPr>
              <w:ind w:left="260"/>
              <w:spacing w:after="0"/>
              <w:rPr>
                <w:sz w:val="20"/>
                <w:szCs w:val="20"/>
                <w:color w:val="auto"/>
              </w:rPr>
            </w:pPr>
            <w:r>
              <w:rPr>
                <w:rFonts w:ascii="Arial" w:cs="Arial" w:eastAsia="Arial" w:hAnsi="Arial"/>
                <w:sz w:val="13"/>
                <w:szCs w:val="13"/>
                <w:b w:val="1"/>
                <w:bCs w:val="1"/>
                <w:color w:val="FFFFFF"/>
              </w:rPr>
              <w:t>Q4</w:t>
            </w:r>
          </w:p>
        </w:tc>
        <w:tc>
          <w:tcPr>
            <w:tcW w:w="260" w:type="dxa"/>
            <w:vAlign w:val="bottom"/>
            <w:shd w:val="clear" w:color="auto" w:fill="1D2758"/>
          </w:tcPr>
          <w:p>
            <w:pPr>
              <w:spacing w:after="0"/>
              <w:rPr>
                <w:sz w:val="15"/>
                <w:szCs w:val="15"/>
                <w:color w:val="auto"/>
              </w:rPr>
            </w:pPr>
          </w:p>
        </w:tc>
        <w:tc>
          <w:tcPr>
            <w:tcW w:w="1140" w:type="dxa"/>
            <w:vAlign w:val="bottom"/>
            <w:shd w:val="clear" w:color="auto" w:fill="1D2758"/>
          </w:tcPr>
          <w:p>
            <w:pPr>
              <w:jc w:val="right"/>
              <w:ind w:right="374"/>
              <w:spacing w:after="0"/>
              <w:rPr>
                <w:sz w:val="20"/>
                <w:szCs w:val="20"/>
                <w:color w:val="auto"/>
              </w:rPr>
            </w:pPr>
            <w:r>
              <w:rPr>
                <w:rFonts w:ascii="Arial" w:cs="Arial" w:eastAsia="Arial" w:hAnsi="Arial"/>
                <w:sz w:val="13"/>
                <w:szCs w:val="13"/>
                <w:b w:val="1"/>
                <w:bCs w:val="1"/>
                <w:color w:val="FFFFFF"/>
              </w:rPr>
              <w:t>Full Year</w:t>
            </w:r>
          </w:p>
        </w:tc>
      </w:tr>
      <w:tr>
        <w:trPr>
          <w:trHeight w:val="175"/>
        </w:trPr>
        <w:tc>
          <w:tcPr>
            <w:tcW w:w="3920" w:type="dxa"/>
            <w:vAlign w:val="bottom"/>
            <w:shd w:val="clear" w:color="auto" w:fill="DBDBDB"/>
          </w:tcPr>
          <w:p>
            <w:pPr>
              <w:ind w:left="20"/>
              <w:spacing w:after="0"/>
              <w:rPr>
                <w:sz w:val="20"/>
                <w:szCs w:val="20"/>
                <w:color w:val="auto"/>
              </w:rPr>
            </w:pPr>
            <w:r>
              <w:rPr>
                <w:rFonts w:ascii="Arial" w:cs="Arial" w:eastAsia="Arial" w:hAnsi="Arial"/>
                <w:sz w:val="13"/>
                <w:szCs w:val="13"/>
                <w:color w:val="auto"/>
              </w:rPr>
              <w:t>Total Capital Expenditures</w:t>
            </w:r>
          </w:p>
        </w:tc>
        <w:tc>
          <w:tcPr>
            <w:tcW w:w="540" w:type="dxa"/>
            <w:vAlign w:val="bottom"/>
            <w:shd w:val="clear" w:color="auto" w:fill="DBDBDB"/>
          </w:tcPr>
          <w:p>
            <w:pPr>
              <w:jc w:val="right"/>
              <w:ind w:right="374"/>
              <w:spacing w:after="0"/>
              <w:rPr>
                <w:sz w:val="20"/>
                <w:szCs w:val="20"/>
                <w:color w:val="auto"/>
              </w:rPr>
            </w:pPr>
            <w:r>
              <w:rPr>
                <w:rFonts w:ascii="Arial" w:cs="Arial" w:eastAsia="Arial" w:hAnsi="Arial"/>
                <w:sz w:val="13"/>
                <w:szCs w:val="13"/>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41,166</w:t>
            </w:r>
          </w:p>
        </w:tc>
        <w:tc>
          <w:tcPr>
            <w:tcW w:w="100" w:type="dxa"/>
            <w:vAlign w:val="bottom"/>
            <w:shd w:val="clear" w:color="auto" w:fill="DBDBDB"/>
          </w:tcPr>
          <w:p>
            <w:pPr>
              <w:spacing w:after="0"/>
              <w:rPr>
                <w:sz w:val="15"/>
                <w:szCs w:val="15"/>
                <w:color w:val="auto"/>
              </w:rPr>
            </w:pPr>
          </w:p>
        </w:tc>
        <w:tc>
          <w:tcPr>
            <w:tcW w:w="340" w:type="dxa"/>
            <w:vAlign w:val="bottom"/>
            <w:shd w:val="clear" w:color="auto" w:fill="DBDBDB"/>
          </w:tcPr>
          <w:p>
            <w:pPr>
              <w:jc w:val="right"/>
              <w:ind w:right="194"/>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41,702</w:t>
            </w:r>
          </w:p>
        </w:tc>
        <w:tc>
          <w:tcPr>
            <w:tcW w:w="80" w:type="dxa"/>
            <w:vAlign w:val="bottom"/>
            <w:shd w:val="clear" w:color="auto" w:fill="DBDBDB"/>
          </w:tcPr>
          <w:p>
            <w:pPr>
              <w:spacing w:after="0"/>
              <w:rPr>
                <w:sz w:val="15"/>
                <w:szCs w:val="15"/>
                <w:color w:val="auto"/>
              </w:rPr>
            </w:pPr>
          </w:p>
        </w:tc>
        <w:tc>
          <w:tcPr>
            <w:tcW w:w="340" w:type="dxa"/>
            <w:vAlign w:val="bottom"/>
            <w:shd w:val="clear" w:color="auto" w:fill="DBDBDB"/>
          </w:tcPr>
          <w:p>
            <w:pPr>
              <w:jc w:val="right"/>
              <w:ind w:right="194"/>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48,484</w:t>
            </w: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jc w:val="right"/>
              <w:ind w:right="19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57,485</w:t>
            </w:r>
          </w:p>
        </w:tc>
        <w:tc>
          <w:tcPr>
            <w:tcW w:w="100" w:type="dxa"/>
            <w:vAlign w:val="bottom"/>
            <w:shd w:val="clear" w:color="auto" w:fill="DBDBDB"/>
          </w:tcPr>
          <w:p>
            <w:pPr>
              <w:spacing w:after="0"/>
              <w:rPr>
                <w:sz w:val="15"/>
                <w:szCs w:val="15"/>
                <w:color w:val="auto"/>
              </w:rPr>
            </w:pPr>
          </w:p>
        </w:tc>
        <w:tc>
          <w:tcPr>
            <w:tcW w:w="260" w:type="dxa"/>
            <w:vAlign w:val="bottom"/>
            <w:shd w:val="clear" w:color="auto" w:fill="DBDBDB"/>
          </w:tcPr>
          <w:p>
            <w:pPr>
              <w:jc w:val="right"/>
              <w:ind w:right="114"/>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188,837</w:t>
            </w:r>
          </w:p>
        </w:tc>
      </w:tr>
      <w:tr>
        <w:trPr>
          <w:trHeight w:val="172"/>
        </w:trPr>
        <w:tc>
          <w:tcPr>
            <w:tcW w:w="392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Total Proceeds</w:t>
            </w:r>
          </w:p>
        </w:tc>
        <w:tc>
          <w:tcPr>
            <w:tcW w:w="5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10,626</w:t>
            </w:r>
          </w:p>
        </w:tc>
        <w:tc>
          <w:tcPr>
            <w:tcW w:w="100" w:type="dxa"/>
            <w:vAlign w:val="bottom"/>
            <w:tcBorders>
              <w:bottom w:val="single" w:sz="8" w:color="DBDBDB"/>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5,319</w:t>
            </w:r>
          </w:p>
        </w:tc>
        <w:tc>
          <w:tcPr>
            <w:tcW w:w="80" w:type="dxa"/>
            <w:vAlign w:val="bottom"/>
            <w:tcBorders>
              <w:bottom w:val="single" w:sz="8" w:color="DBDBDB"/>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15,161</w:t>
            </w:r>
          </w:p>
        </w:tc>
        <w:tc>
          <w:tcPr>
            <w:tcW w:w="80" w:type="dxa"/>
            <w:vAlign w:val="bottom"/>
            <w:tcBorders>
              <w:bottom w:val="single" w:sz="8" w:color="DBDBDB"/>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15,198</w:t>
            </w:r>
          </w:p>
        </w:tc>
        <w:tc>
          <w:tcPr>
            <w:tcW w:w="100" w:type="dxa"/>
            <w:vAlign w:val="bottom"/>
            <w:tcBorders>
              <w:bottom w:val="single" w:sz="8" w:color="DBDBDB"/>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46,304</w:t>
            </w:r>
          </w:p>
        </w:tc>
      </w:tr>
      <w:tr>
        <w:trPr>
          <w:trHeight w:val="194"/>
        </w:trPr>
        <w:tc>
          <w:tcPr>
            <w:tcW w:w="3920" w:type="dxa"/>
            <w:vAlign w:val="bottom"/>
            <w:tcBorders>
              <w:bottom w:val="single" w:sz="8" w:color="DBDBDB"/>
            </w:tcBorders>
            <w:shd w:val="clear" w:color="auto" w:fill="DBDBDB"/>
          </w:tcPr>
          <w:p>
            <w:pPr>
              <w:ind w:left="200"/>
              <w:spacing w:after="0"/>
              <w:rPr>
                <w:sz w:val="20"/>
                <w:szCs w:val="20"/>
                <w:color w:val="auto"/>
              </w:rPr>
            </w:pPr>
            <w:r>
              <w:rPr>
                <w:rFonts w:ascii="Arial" w:cs="Arial" w:eastAsia="Arial" w:hAnsi="Arial"/>
                <w:sz w:val="13"/>
                <w:szCs w:val="13"/>
                <w:color w:val="auto"/>
              </w:rPr>
              <w:t>Net CAPEX</w:t>
            </w:r>
          </w:p>
        </w:tc>
        <w:tc>
          <w:tcPr>
            <w:tcW w:w="540" w:type="dxa"/>
            <w:vAlign w:val="bottom"/>
            <w:tcBorders>
              <w:bottom w:val="single" w:sz="8" w:color="auto"/>
            </w:tcBorders>
            <w:shd w:val="clear" w:color="auto" w:fill="DBDBDB"/>
          </w:tcPr>
          <w:p>
            <w:pPr>
              <w:jc w:val="right"/>
              <w:ind w:right="374"/>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30,540</w:t>
            </w:r>
          </w:p>
        </w:tc>
        <w:tc>
          <w:tcPr>
            <w:tcW w:w="100" w:type="dxa"/>
            <w:vAlign w:val="bottom"/>
            <w:tcBorders>
              <w:bottom w:val="single" w:sz="8" w:color="DBDBDB"/>
            </w:tcBorders>
            <w:shd w:val="clear" w:color="auto" w:fill="DBDBDB"/>
          </w:tcPr>
          <w:p>
            <w:pPr>
              <w:spacing w:after="0"/>
              <w:rPr>
                <w:sz w:val="16"/>
                <w:szCs w:val="16"/>
                <w:color w:val="auto"/>
              </w:rPr>
            </w:pPr>
          </w:p>
        </w:tc>
        <w:tc>
          <w:tcPr>
            <w:tcW w:w="340" w:type="dxa"/>
            <w:vAlign w:val="bottom"/>
            <w:tcBorders>
              <w:bottom w:val="single" w:sz="8" w:color="auto"/>
            </w:tcBorders>
            <w:shd w:val="clear" w:color="auto" w:fill="DBDBDB"/>
          </w:tcPr>
          <w:p>
            <w:pPr>
              <w:jc w:val="right"/>
              <w:ind w:right="194"/>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36,383</w:t>
            </w:r>
          </w:p>
        </w:tc>
        <w:tc>
          <w:tcPr>
            <w:tcW w:w="80" w:type="dxa"/>
            <w:vAlign w:val="bottom"/>
            <w:tcBorders>
              <w:bottom w:val="single" w:sz="8" w:color="DBDBDB"/>
            </w:tcBorders>
            <w:shd w:val="clear" w:color="auto" w:fill="DBDBDB"/>
          </w:tcPr>
          <w:p>
            <w:pPr>
              <w:spacing w:after="0"/>
              <w:rPr>
                <w:sz w:val="16"/>
                <w:szCs w:val="16"/>
                <w:color w:val="auto"/>
              </w:rPr>
            </w:pPr>
          </w:p>
        </w:tc>
        <w:tc>
          <w:tcPr>
            <w:tcW w:w="340" w:type="dxa"/>
            <w:vAlign w:val="bottom"/>
            <w:tcBorders>
              <w:bottom w:val="single" w:sz="8" w:color="auto"/>
            </w:tcBorders>
            <w:shd w:val="clear" w:color="auto" w:fill="DBDBDB"/>
          </w:tcPr>
          <w:p>
            <w:pPr>
              <w:jc w:val="right"/>
              <w:ind w:right="194"/>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33,323</w:t>
            </w:r>
          </w:p>
        </w:tc>
        <w:tc>
          <w:tcPr>
            <w:tcW w:w="80" w:type="dxa"/>
            <w:vAlign w:val="bottom"/>
            <w:tcBorders>
              <w:bottom w:val="single" w:sz="8" w:color="DBDBDB"/>
            </w:tcBorders>
            <w:shd w:val="clear" w:color="auto" w:fill="DBDBDB"/>
          </w:tcPr>
          <w:p>
            <w:pPr>
              <w:spacing w:after="0"/>
              <w:rPr>
                <w:sz w:val="16"/>
                <w:szCs w:val="16"/>
                <w:color w:val="auto"/>
              </w:rPr>
            </w:pPr>
          </w:p>
        </w:tc>
        <w:tc>
          <w:tcPr>
            <w:tcW w:w="360" w:type="dxa"/>
            <w:vAlign w:val="bottom"/>
            <w:tcBorders>
              <w:bottom w:val="single" w:sz="8" w:color="auto"/>
            </w:tcBorders>
            <w:shd w:val="clear" w:color="auto" w:fill="DBDBDB"/>
          </w:tcPr>
          <w:p>
            <w:pPr>
              <w:jc w:val="right"/>
              <w:ind w:right="194"/>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42,287</w:t>
            </w:r>
          </w:p>
        </w:tc>
        <w:tc>
          <w:tcPr>
            <w:tcW w:w="100" w:type="dxa"/>
            <w:vAlign w:val="bottom"/>
            <w:tcBorders>
              <w:bottom w:val="single" w:sz="8" w:color="DBDBDB"/>
            </w:tcBorders>
            <w:shd w:val="clear" w:color="auto" w:fill="DBDBDB"/>
          </w:tcPr>
          <w:p>
            <w:pPr>
              <w:spacing w:after="0"/>
              <w:rPr>
                <w:sz w:val="16"/>
                <w:szCs w:val="16"/>
                <w:color w:val="auto"/>
              </w:rPr>
            </w:pPr>
          </w:p>
        </w:tc>
        <w:tc>
          <w:tcPr>
            <w:tcW w:w="260" w:type="dxa"/>
            <w:vAlign w:val="bottom"/>
            <w:tcBorders>
              <w:bottom w:val="single" w:sz="8" w:color="auto"/>
            </w:tcBorders>
            <w:shd w:val="clear" w:color="auto" w:fill="DBDBDB"/>
          </w:tcPr>
          <w:p>
            <w:pPr>
              <w:jc w:val="right"/>
              <w:ind w:right="114"/>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142,533</w:t>
            </w:r>
          </w:p>
        </w:tc>
      </w:tr>
      <w:tr>
        <w:trPr>
          <w:trHeight w:val="20"/>
        </w:trPr>
        <w:tc>
          <w:tcPr>
            <w:tcW w:w="392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Free Cash Flow</w:t>
      </w:r>
    </w:p>
    <w:p>
      <w:pPr>
        <w:spacing w:after="0" w:line="110"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We define Free Cash Flow as net cash provided by operating activities, less purchases of, and proceeds from, rental equipment and property, plant and equipment, which are all included in cash flows from investing activities. Management believes that the presentation of Free Cash Flow provides useful additional information concerning cash flow available to fund our capital allocation alternatives.</w:t>
      </w:r>
    </w:p>
    <w:p>
      <w:pPr>
        <w:spacing w:after="0" w:line="3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following tables provide a reconciliation of net cash provided by operating activities to Free Cash Flow:</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40" w:type="dxa"/>
            <w:vAlign w:val="bottom"/>
            <w:gridSpan w:val="2"/>
          </w:tcPr>
          <w:p>
            <w:pPr>
              <w:spacing w:after="0"/>
              <w:rPr>
                <w:sz w:val="20"/>
                <w:szCs w:val="20"/>
                <w:color w:val="auto"/>
              </w:rPr>
            </w:pPr>
            <w:r>
              <w:rPr>
                <w:rFonts w:ascii="Arial" w:cs="Arial" w:eastAsia="Arial" w:hAnsi="Arial"/>
                <w:sz w:val="13"/>
                <w:szCs w:val="13"/>
                <w:b w:val="1"/>
                <w:bCs w:val="1"/>
                <w:i w:val="1"/>
                <w:iCs w:val="1"/>
                <w:color w:val="1D2758"/>
              </w:rPr>
              <w:t>Quarterly Consolidated Results for the Year Ended December 31, 2021</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60"/>
        </w:trPr>
        <w:tc>
          <w:tcPr>
            <w:tcW w:w="3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tcPr>
          <w:p>
            <w:pPr>
              <w:spacing w:after="0"/>
              <w:rPr>
                <w:sz w:val="5"/>
                <w:szCs w:val="5"/>
                <w:color w:val="auto"/>
              </w:rPr>
            </w:pPr>
          </w:p>
        </w:tc>
      </w:tr>
      <w:tr>
        <w:trPr>
          <w:trHeight w:val="174"/>
        </w:trPr>
        <w:tc>
          <w:tcPr>
            <w:tcW w:w="3660" w:type="dxa"/>
            <w:vAlign w:val="bottom"/>
            <w:tcBorders>
              <w:bottom w:val="single" w:sz="8" w:color="DBDBDB"/>
            </w:tcBorders>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880" w:type="dxa"/>
            <w:vAlign w:val="bottom"/>
            <w:tcBorders>
              <w:bottom w:val="single" w:sz="8" w:color="DBDBDB"/>
            </w:tcBorders>
            <w:shd w:val="clear" w:color="auto" w:fill="1D2758"/>
          </w:tcPr>
          <w:p>
            <w:pPr>
              <w:jc w:val="right"/>
              <w:spacing w:after="0"/>
              <w:rPr>
                <w:sz w:val="20"/>
                <w:szCs w:val="20"/>
                <w:color w:val="auto"/>
              </w:rPr>
            </w:pPr>
            <w:r>
              <w:rPr>
                <w:rFonts w:ascii="Arial" w:cs="Arial" w:eastAsia="Arial" w:hAnsi="Arial"/>
                <w:sz w:val="13"/>
                <w:szCs w:val="13"/>
                <w:b w:val="1"/>
                <w:bCs w:val="1"/>
                <w:color w:val="FFFFFF"/>
              </w:rPr>
              <w:t>Q1</w:t>
            </w:r>
          </w:p>
        </w:tc>
        <w:tc>
          <w:tcPr>
            <w:tcW w:w="580" w:type="dxa"/>
            <w:vAlign w:val="bottom"/>
            <w:tcBorders>
              <w:bottom w:val="single" w:sz="8" w:color="DBDBDB"/>
            </w:tcBorders>
            <w:shd w:val="clear" w:color="auto" w:fill="1D2758"/>
          </w:tcPr>
          <w:p>
            <w:pPr>
              <w:spacing w:after="0"/>
              <w:rPr>
                <w:sz w:val="15"/>
                <w:szCs w:val="15"/>
                <w:color w:val="auto"/>
              </w:rPr>
            </w:pPr>
          </w:p>
        </w:tc>
        <w:tc>
          <w:tcPr>
            <w:tcW w:w="80" w:type="dxa"/>
            <w:vAlign w:val="bottom"/>
            <w:tcBorders>
              <w:bottom w:val="single" w:sz="8" w:color="DBDBDB"/>
            </w:tcBorders>
            <w:shd w:val="clear" w:color="auto" w:fill="1D2758"/>
          </w:tcPr>
          <w:p>
            <w:pPr>
              <w:spacing w:after="0"/>
              <w:rPr>
                <w:sz w:val="15"/>
                <w:szCs w:val="15"/>
                <w:color w:val="auto"/>
              </w:rPr>
            </w:pPr>
          </w:p>
        </w:tc>
        <w:tc>
          <w:tcPr>
            <w:tcW w:w="880" w:type="dxa"/>
            <w:vAlign w:val="bottom"/>
            <w:tcBorders>
              <w:bottom w:val="single" w:sz="8" w:color="DBDBDB"/>
            </w:tcBorders>
            <w:shd w:val="clear" w:color="auto" w:fill="1D2758"/>
          </w:tcPr>
          <w:p>
            <w:pPr>
              <w:jc w:val="right"/>
              <w:spacing w:after="0"/>
              <w:rPr>
                <w:sz w:val="20"/>
                <w:szCs w:val="20"/>
                <w:color w:val="auto"/>
              </w:rPr>
            </w:pPr>
            <w:r>
              <w:rPr>
                <w:rFonts w:ascii="Arial" w:cs="Arial" w:eastAsia="Arial" w:hAnsi="Arial"/>
                <w:sz w:val="13"/>
                <w:szCs w:val="13"/>
                <w:b w:val="1"/>
                <w:bCs w:val="1"/>
                <w:color w:val="FFFFFF"/>
              </w:rPr>
              <w:t>Q2</w:t>
            </w:r>
          </w:p>
        </w:tc>
        <w:tc>
          <w:tcPr>
            <w:tcW w:w="580" w:type="dxa"/>
            <w:vAlign w:val="bottom"/>
            <w:tcBorders>
              <w:bottom w:val="single" w:sz="8" w:color="DBDBDB"/>
            </w:tcBorders>
            <w:shd w:val="clear" w:color="auto" w:fill="1D2758"/>
          </w:tcPr>
          <w:p>
            <w:pPr>
              <w:spacing w:after="0"/>
              <w:rPr>
                <w:sz w:val="15"/>
                <w:szCs w:val="15"/>
                <w:color w:val="auto"/>
              </w:rPr>
            </w:pPr>
          </w:p>
        </w:tc>
        <w:tc>
          <w:tcPr>
            <w:tcW w:w="80" w:type="dxa"/>
            <w:vAlign w:val="bottom"/>
            <w:tcBorders>
              <w:bottom w:val="single" w:sz="8" w:color="DBDBDB"/>
            </w:tcBorders>
            <w:shd w:val="clear" w:color="auto" w:fill="1D2758"/>
          </w:tcPr>
          <w:p>
            <w:pPr>
              <w:spacing w:after="0"/>
              <w:rPr>
                <w:sz w:val="15"/>
                <w:szCs w:val="15"/>
                <w:color w:val="auto"/>
              </w:rPr>
            </w:pPr>
          </w:p>
        </w:tc>
        <w:tc>
          <w:tcPr>
            <w:tcW w:w="880" w:type="dxa"/>
            <w:vAlign w:val="bottom"/>
            <w:tcBorders>
              <w:bottom w:val="single" w:sz="8" w:color="auto"/>
            </w:tcBorders>
            <w:shd w:val="clear" w:color="auto" w:fill="1D2758"/>
          </w:tcPr>
          <w:p>
            <w:pPr>
              <w:jc w:val="right"/>
              <w:spacing w:after="0"/>
              <w:rPr>
                <w:sz w:val="20"/>
                <w:szCs w:val="20"/>
                <w:color w:val="auto"/>
              </w:rPr>
            </w:pPr>
            <w:r>
              <w:rPr>
                <w:rFonts w:ascii="Arial" w:cs="Arial" w:eastAsia="Arial" w:hAnsi="Arial"/>
                <w:sz w:val="13"/>
                <w:szCs w:val="13"/>
                <w:b w:val="1"/>
                <w:bCs w:val="1"/>
                <w:color w:val="FFFFFF"/>
              </w:rPr>
              <w:t>Q3</w:t>
            </w:r>
          </w:p>
        </w:tc>
        <w:tc>
          <w:tcPr>
            <w:tcW w:w="580" w:type="dxa"/>
            <w:vAlign w:val="bottom"/>
            <w:tcBorders>
              <w:bottom w:val="single" w:sz="8" w:color="auto"/>
            </w:tcBorders>
            <w:shd w:val="clear" w:color="auto" w:fill="1D2758"/>
          </w:tcPr>
          <w:p>
            <w:pPr>
              <w:spacing w:after="0"/>
              <w:rPr>
                <w:sz w:val="15"/>
                <w:szCs w:val="15"/>
                <w:color w:val="auto"/>
              </w:rPr>
            </w:pPr>
          </w:p>
        </w:tc>
        <w:tc>
          <w:tcPr>
            <w:tcW w:w="80" w:type="dxa"/>
            <w:vAlign w:val="bottom"/>
            <w:tcBorders>
              <w:bottom w:val="single" w:sz="8" w:color="DBDBDB"/>
            </w:tcBorders>
            <w:shd w:val="clear" w:color="auto" w:fill="1D2758"/>
          </w:tcPr>
          <w:p>
            <w:pPr>
              <w:spacing w:after="0"/>
              <w:rPr>
                <w:sz w:val="15"/>
                <w:szCs w:val="15"/>
                <w:color w:val="auto"/>
              </w:rPr>
            </w:pPr>
          </w:p>
        </w:tc>
        <w:tc>
          <w:tcPr>
            <w:tcW w:w="840" w:type="dxa"/>
            <w:vAlign w:val="bottom"/>
            <w:tcBorders>
              <w:bottom w:val="single" w:sz="8" w:color="DBDBDB"/>
            </w:tcBorders>
            <w:shd w:val="clear" w:color="auto" w:fill="1D2758"/>
          </w:tcPr>
          <w:p>
            <w:pPr>
              <w:jc w:val="right"/>
              <w:spacing w:after="0"/>
              <w:rPr>
                <w:sz w:val="20"/>
                <w:szCs w:val="20"/>
                <w:color w:val="auto"/>
              </w:rPr>
            </w:pPr>
            <w:r>
              <w:rPr>
                <w:rFonts w:ascii="Arial" w:cs="Arial" w:eastAsia="Arial" w:hAnsi="Arial"/>
                <w:sz w:val="13"/>
                <w:szCs w:val="13"/>
                <w:b w:val="1"/>
                <w:bCs w:val="1"/>
                <w:color w:val="FFFFFF"/>
              </w:rPr>
              <w:t>Q4</w:t>
            </w:r>
          </w:p>
        </w:tc>
        <w:tc>
          <w:tcPr>
            <w:tcW w:w="620" w:type="dxa"/>
            <w:vAlign w:val="bottom"/>
            <w:tcBorders>
              <w:bottom w:val="single" w:sz="8" w:color="DBDBDB"/>
            </w:tcBorders>
            <w:shd w:val="clear" w:color="auto" w:fill="1D2758"/>
          </w:tcPr>
          <w:p>
            <w:pPr>
              <w:spacing w:after="0"/>
              <w:rPr>
                <w:sz w:val="15"/>
                <w:szCs w:val="15"/>
                <w:color w:val="auto"/>
              </w:rPr>
            </w:pPr>
          </w:p>
        </w:tc>
        <w:tc>
          <w:tcPr>
            <w:tcW w:w="80" w:type="dxa"/>
            <w:vAlign w:val="bottom"/>
            <w:tcBorders>
              <w:bottom w:val="single" w:sz="8" w:color="DBDBDB"/>
            </w:tcBorders>
            <w:shd w:val="clear" w:color="auto" w:fill="1D2758"/>
          </w:tcPr>
          <w:p>
            <w:pPr>
              <w:spacing w:after="0"/>
              <w:rPr>
                <w:sz w:val="15"/>
                <w:szCs w:val="15"/>
                <w:color w:val="auto"/>
              </w:rPr>
            </w:pPr>
          </w:p>
        </w:tc>
        <w:tc>
          <w:tcPr>
            <w:tcW w:w="280" w:type="dxa"/>
            <w:vAlign w:val="bottom"/>
            <w:tcBorders>
              <w:bottom w:val="single" w:sz="8" w:color="DBDBDB"/>
            </w:tcBorders>
            <w:shd w:val="clear" w:color="auto" w:fill="1D2758"/>
          </w:tcPr>
          <w:p>
            <w:pPr>
              <w:spacing w:after="0"/>
              <w:rPr>
                <w:sz w:val="15"/>
                <w:szCs w:val="15"/>
                <w:color w:val="auto"/>
              </w:rPr>
            </w:pPr>
          </w:p>
        </w:tc>
        <w:tc>
          <w:tcPr>
            <w:tcW w:w="1180" w:type="dxa"/>
            <w:vAlign w:val="bottom"/>
            <w:tcBorders>
              <w:bottom w:val="single" w:sz="8" w:color="DBDBDB"/>
            </w:tcBorders>
            <w:shd w:val="clear" w:color="auto" w:fill="1D2758"/>
          </w:tcPr>
          <w:p>
            <w:pPr>
              <w:jc w:val="right"/>
              <w:ind w:right="394"/>
              <w:spacing w:after="0"/>
              <w:rPr>
                <w:sz w:val="20"/>
                <w:szCs w:val="20"/>
                <w:color w:val="auto"/>
              </w:rPr>
            </w:pPr>
            <w:r>
              <w:rPr>
                <w:rFonts w:ascii="Arial" w:cs="Arial" w:eastAsia="Arial" w:hAnsi="Arial"/>
                <w:sz w:val="13"/>
                <w:szCs w:val="13"/>
                <w:b w:val="1"/>
                <w:bCs w:val="1"/>
                <w:color w:val="FFFFFF"/>
              </w:rPr>
              <w:t>Full Year</w:t>
            </w:r>
          </w:p>
        </w:tc>
      </w:tr>
      <w:tr>
        <w:trPr>
          <w:trHeight w:val="167"/>
        </w:trPr>
        <w:tc>
          <w:tcPr>
            <w:tcW w:w="3660" w:type="dxa"/>
            <w:vAlign w:val="bottom"/>
            <w:shd w:val="clear" w:color="auto" w:fill="DBDBDB"/>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880" w:type="dxa"/>
            <w:vAlign w:val="bottom"/>
            <w:shd w:val="clear" w:color="auto" w:fill="DBDBDB"/>
          </w:tcPr>
          <w:p>
            <w:pPr>
              <w:jc w:val="right"/>
              <w:ind w:right="714"/>
              <w:spacing w:after="0"/>
              <w:rPr>
                <w:sz w:val="20"/>
                <w:szCs w:val="20"/>
                <w:color w:val="auto"/>
              </w:rPr>
            </w:pPr>
            <w:r>
              <w:rPr>
                <w:rFonts w:ascii="Arial" w:cs="Arial" w:eastAsia="Arial" w:hAnsi="Arial"/>
                <w:sz w:val="13"/>
                <w:szCs w:val="13"/>
                <w:color w:val="auto"/>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122,071</w:t>
            </w:r>
          </w:p>
        </w:tc>
        <w:tc>
          <w:tcPr>
            <w:tcW w:w="80" w:type="dxa"/>
            <w:vAlign w:val="bottom"/>
            <w:shd w:val="clear" w:color="auto" w:fill="DBDBDB"/>
          </w:tcPr>
          <w:p>
            <w:pPr>
              <w:spacing w:after="0"/>
              <w:rPr>
                <w:sz w:val="14"/>
                <w:szCs w:val="14"/>
                <w:color w:val="auto"/>
              </w:rPr>
            </w:pPr>
          </w:p>
        </w:tc>
        <w:tc>
          <w:tcPr>
            <w:tcW w:w="880" w:type="dxa"/>
            <w:vAlign w:val="bottom"/>
            <w:shd w:val="clear" w:color="auto" w:fill="DBDBDB"/>
          </w:tcPr>
          <w:p>
            <w:pPr>
              <w:jc w:val="right"/>
              <w:ind w:right="714"/>
              <w:spacing w:after="0"/>
              <w:rPr>
                <w:sz w:val="20"/>
                <w:szCs w:val="20"/>
                <w:color w:val="auto"/>
              </w:rPr>
            </w:pPr>
            <w:r>
              <w:rPr>
                <w:rFonts w:ascii="Arial" w:cs="Arial" w:eastAsia="Arial" w:hAnsi="Arial"/>
                <w:sz w:val="13"/>
                <w:szCs w:val="13"/>
                <w:color w:val="auto"/>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139,537</w:t>
            </w:r>
          </w:p>
        </w:tc>
        <w:tc>
          <w:tcPr>
            <w:tcW w:w="80" w:type="dxa"/>
            <w:vAlign w:val="bottom"/>
            <w:shd w:val="clear" w:color="auto" w:fill="DBDBDB"/>
          </w:tcPr>
          <w:p>
            <w:pPr>
              <w:spacing w:after="0"/>
              <w:rPr>
                <w:sz w:val="14"/>
                <w:szCs w:val="14"/>
                <w:color w:val="auto"/>
              </w:rPr>
            </w:pPr>
          </w:p>
        </w:tc>
        <w:tc>
          <w:tcPr>
            <w:tcW w:w="880" w:type="dxa"/>
            <w:vAlign w:val="bottom"/>
            <w:shd w:val="clear" w:color="auto" w:fill="DBDBDB"/>
          </w:tcPr>
          <w:p>
            <w:pPr>
              <w:jc w:val="right"/>
              <w:ind w:right="714"/>
              <w:spacing w:after="0"/>
              <w:rPr>
                <w:sz w:val="20"/>
                <w:szCs w:val="20"/>
                <w:color w:val="auto"/>
              </w:rPr>
            </w:pPr>
            <w:r>
              <w:rPr>
                <w:rFonts w:ascii="Arial" w:cs="Arial" w:eastAsia="Arial" w:hAnsi="Arial"/>
                <w:sz w:val="13"/>
                <w:szCs w:val="13"/>
                <w:color w:val="auto"/>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130,447</w:t>
            </w:r>
          </w:p>
        </w:tc>
        <w:tc>
          <w:tcPr>
            <w:tcW w:w="80" w:type="dxa"/>
            <w:vAlign w:val="bottom"/>
            <w:shd w:val="clear" w:color="auto" w:fill="DBDBDB"/>
          </w:tcPr>
          <w:p>
            <w:pPr>
              <w:spacing w:after="0"/>
              <w:rPr>
                <w:sz w:val="14"/>
                <w:szCs w:val="14"/>
                <w:color w:val="auto"/>
              </w:rPr>
            </w:pPr>
          </w:p>
        </w:tc>
        <w:tc>
          <w:tcPr>
            <w:tcW w:w="840" w:type="dxa"/>
            <w:vAlign w:val="bottom"/>
            <w:shd w:val="clear" w:color="auto" w:fill="DBDBDB"/>
          </w:tcPr>
          <w:p>
            <w:pPr>
              <w:jc w:val="right"/>
              <w:ind w:right="674"/>
              <w:spacing w:after="0"/>
              <w:rPr>
                <w:sz w:val="20"/>
                <w:szCs w:val="20"/>
                <w:color w:val="auto"/>
              </w:rPr>
            </w:pPr>
            <w:r>
              <w:rPr>
                <w:rFonts w:ascii="Arial" w:cs="Arial" w:eastAsia="Arial" w:hAnsi="Arial"/>
                <w:sz w:val="13"/>
                <w:szCs w:val="13"/>
                <w:color w:val="auto"/>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147,847</w:t>
            </w:r>
          </w:p>
        </w:tc>
        <w:tc>
          <w:tcPr>
            <w:tcW w:w="80" w:type="dxa"/>
            <w:vAlign w:val="bottom"/>
            <w:shd w:val="clear" w:color="auto" w:fill="DBDBDB"/>
          </w:tcPr>
          <w:p>
            <w:pPr>
              <w:spacing w:after="0"/>
              <w:rPr>
                <w:sz w:val="14"/>
                <w:szCs w:val="14"/>
                <w:color w:val="auto"/>
              </w:rPr>
            </w:pPr>
          </w:p>
        </w:tc>
        <w:tc>
          <w:tcPr>
            <w:tcW w:w="280" w:type="dxa"/>
            <w:vAlign w:val="bottom"/>
            <w:shd w:val="clear" w:color="auto" w:fill="DBDBDB"/>
          </w:tcPr>
          <w:p>
            <w:pPr>
              <w:jc w:val="right"/>
              <w:ind w:right="114"/>
              <w:spacing w:after="0"/>
              <w:rPr>
                <w:sz w:val="20"/>
                <w:szCs w:val="20"/>
                <w:color w:val="auto"/>
              </w:rPr>
            </w:pPr>
            <w:r>
              <w:rPr>
                <w:rFonts w:ascii="Arial" w:cs="Arial" w:eastAsia="Arial" w:hAnsi="Arial"/>
                <w:sz w:val="13"/>
                <w:szCs w:val="13"/>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539,902</w:t>
            </w:r>
          </w:p>
        </w:tc>
      </w:tr>
      <w:tr>
        <w:trPr>
          <w:trHeight w:val="172"/>
        </w:trPr>
        <w:tc>
          <w:tcPr>
            <w:tcW w:w="3660" w:type="dxa"/>
            <w:vAlign w:val="bottom"/>
          </w:tcPr>
          <w:p>
            <w:pPr>
              <w:ind w:left="20"/>
              <w:spacing w:after="0"/>
              <w:rPr>
                <w:sz w:val="20"/>
                <w:szCs w:val="20"/>
                <w:color w:val="auto"/>
              </w:rPr>
            </w:pPr>
            <w:r>
              <w:rPr>
                <w:rFonts w:ascii="Arial" w:cs="Arial" w:eastAsia="Arial" w:hAnsi="Arial"/>
                <w:sz w:val="13"/>
                <w:szCs w:val="13"/>
                <w:color w:val="auto"/>
              </w:rPr>
              <w:t>Purchase of rental equipment and refurbishments</w:t>
            </w:r>
          </w:p>
        </w:tc>
        <w:tc>
          <w:tcPr>
            <w:tcW w:w="8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(52,535)</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(65,282)</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(60,374)</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(100,307)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(278,498)</w:t>
            </w:r>
          </w:p>
        </w:tc>
      </w:tr>
      <w:tr>
        <w:trPr>
          <w:trHeight w:val="178"/>
        </w:trPr>
        <w:tc>
          <w:tcPr>
            <w:tcW w:w="3660" w:type="dxa"/>
            <w:vAlign w:val="bottom"/>
            <w:shd w:val="clear" w:color="auto" w:fill="DBDBDB"/>
          </w:tcPr>
          <w:p>
            <w:pPr>
              <w:ind w:left="20"/>
              <w:spacing w:after="0"/>
              <w:rPr>
                <w:sz w:val="20"/>
                <w:szCs w:val="20"/>
                <w:color w:val="auto"/>
              </w:rPr>
            </w:pPr>
            <w:r>
              <w:rPr>
                <w:rFonts w:ascii="Arial" w:cs="Arial" w:eastAsia="Arial" w:hAnsi="Arial"/>
                <w:sz w:val="13"/>
                <w:szCs w:val="13"/>
                <w:color w:val="auto"/>
              </w:rPr>
              <w:t>Proceeds from sale of rental equipment</w:t>
            </w:r>
          </w:p>
        </w:tc>
        <w:tc>
          <w:tcPr>
            <w:tcW w:w="880" w:type="dxa"/>
            <w:vAlign w:val="bottom"/>
            <w:shd w:val="clear" w:color="auto" w:fill="DBDBDB"/>
          </w:tcPr>
          <w:p>
            <w:pPr>
              <w:spacing w:after="0"/>
              <w:rPr>
                <w:sz w:val="15"/>
                <w:szCs w:val="15"/>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15,202</w:t>
            </w:r>
          </w:p>
        </w:tc>
        <w:tc>
          <w:tcPr>
            <w:tcW w:w="80" w:type="dxa"/>
            <w:vAlign w:val="bottom"/>
            <w:shd w:val="clear" w:color="auto" w:fill="DBDBDB"/>
          </w:tcPr>
          <w:p>
            <w:pPr>
              <w:spacing w:after="0"/>
              <w:rPr>
                <w:sz w:val="15"/>
                <w:szCs w:val="15"/>
                <w:color w:val="auto"/>
              </w:rPr>
            </w:pPr>
          </w:p>
        </w:tc>
        <w:tc>
          <w:tcPr>
            <w:tcW w:w="880" w:type="dxa"/>
            <w:vAlign w:val="bottom"/>
            <w:shd w:val="clear" w:color="auto" w:fill="DBDBDB"/>
          </w:tcPr>
          <w:p>
            <w:pPr>
              <w:spacing w:after="0"/>
              <w:rPr>
                <w:sz w:val="15"/>
                <w:szCs w:val="15"/>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15,235</w:t>
            </w:r>
          </w:p>
        </w:tc>
        <w:tc>
          <w:tcPr>
            <w:tcW w:w="80" w:type="dxa"/>
            <w:vAlign w:val="bottom"/>
            <w:shd w:val="clear" w:color="auto" w:fill="DBDBDB"/>
          </w:tcPr>
          <w:p>
            <w:pPr>
              <w:spacing w:after="0"/>
              <w:rPr>
                <w:sz w:val="15"/>
                <w:szCs w:val="15"/>
                <w:color w:val="auto"/>
              </w:rPr>
            </w:pPr>
          </w:p>
        </w:tc>
        <w:tc>
          <w:tcPr>
            <w:tcW w:w="880" w:type="dxa"/>
            <w:vAlign w:val="bottom"/>
            <w:shd w:val="clear" w:color="auto" w:fill="DBDBDB"/>
          </w:tcPr>
          <w:p>
            <w:pPr>
              <w:spacing w:after="0"/>
              <w:rPr>
                <w:sz w:val="15"/>
                <w:szCs w:val="15"/>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11,597</w:t>
            </w:r>
          </w:p>
        </w:tc>
        <w:tc>
          <w:tcPr>
            <w:tcW w:w="8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13,176</w:t>
            </w:r>
          </w:p>
        </w:tc>
        <w:tc>
          <w:tcPr>
            <w:tcW w:w="8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55,210</w:t>
            </w:r>
          </w:p>
        </w:tc>
      </w:tr>
      <w:tr>
        <w:trPr>
          <w:trHeight w:val="172"/>
        </w:trPr>
        <w:tc>
          <w:tcPr>
            <w:tcW w:w="3660" w:type="dxa"/>
            <w:vAlign w:val="bottom"/>
          </w:tcPr>
          <w:p>
            <w:pPr>
              <w:ind w:left="20"/>
              <w:spacing w:after="0"/>
              <w:rPr>
                <w:sz w:val="20"/>
                <w:szCs w:val="20"/>
                <w:color w:val="auto"/>
              </w:rPr>
            </w:pPr>
            <w:r>
              <w:rPr>
                <w:rFonts w:ascii="Arial" w:cs="Arial" w:eastAsia="Arial" w:hAnsi="Arial"/>
                <w:sz w:val="13"/>
                <w:szCs w:val="13"/>
                <w:color w:val="auto"/>
              </w:rPr>
              <w:t>Purchase of property, plant and equipment</w:t>
            </w:r>
          </w:p>
        </w:tc>
        <w:tc>
          <w:tcPr>
            <w:tcW w:w="8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(7,307)</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(10,143)</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(3,386)</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(9,662)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(30,498)</w:t>
            </w:r>
          </w:p>
        </w:tc>
      </w:tr>
      <w:tr>
        <w:trPr>
          <w:trHeight w:val="178"/>
        </w:trPr>
        <w:tc>
          <w:tcPr>
            <w:tcW w:w="3660" w:type="dxa"/>
            <w:vAlign w:val="bottom"/>
            <w:shd w:val="clear" w:color="auto" w:fill="DBDBDB"/>
          </w:tcPr>
          <w:p>
            <w:pPr>
              <w:ind w:left="20"/>
              <w:spacing w:after="0"/>
              <w:rPr>
                <w:sz w:val="20"/>
                <w:szCs w:val="20"/>
                <w:color w:val="auto"/>
              </w:rPr>
            </w:pPr>
            <w:r>
              <w:rPr>
                <w:rFonts w:ascii="Arial" w:cs="Arial" w:eastAsia="Arial" w:hAnsi="Arial"/>
                <w:sz w:val="13"/>
                <w:szCs w:val="13"/>
                <w:color w:val="auto"/>
              </w:rPr>
              <w:t>Proceeds from the sale of property, plant and equipment</w:t>
            </w:r>
          </w:p>
        </w:tc>
        <w:tc>
          <w:tcPr>
            <w:tcW w:w="880" w:type="dxa"/>
            <w:vAlign w:val="bottom"/>
            <w:tcBorders>
              <w:bottom w:val="single" w:sz="8" w:color="auto"/>
            </w:tcBorders>
            <w:shd w:val="clear" w:color="auto" w:fill="DBDBDB"/>
          </w:tcPr>
          <w:p>
            <w:pPr>
              <w:spacing w:after="0"/>
              <w:rPr>
                <w:sz w:val="15"/>
                <w:szCs w:val="15"/>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13,729</w:t>
            </w:r>
          </w:p>
        </w:tc>
        <w:tc>
          <w:tcPr>
            <w:tcW w:w="80" w:type="dxa"/>
            <w:vAlign w:val="bottom"/>
            <w:shd w:val="clear" w:color="auto" w:fill="DBDBDB"/>
          </w:tcPr>
          <w:p>
            <w:pPr>
              <w:spacing w:after="0"/>
              <w:rPr>
                <w:sz w:val="15"/>
                <w:szCs w:val="15"/>
                <w:color w:val="auto"/>
              </w:rPr>
            </w:pPr>
          </w:p>
        </w:tc>
        <w:tc>
          <w:tcPr>
            <w:tcW w:w="880" w:type="dxa"/>
            <w:vAlign w:val="bottom"/>
            <w:tcBorders>
              <w:bottom w:val="single" w:sz="8" w:color="auto"/>
            </w:tcBorders>
            <w:shd w:val="clear" w:color="auto" w:fill="DBDBDB"/>
          </w:tcPr>
          <w:p>
            <w:pPr>
              <w:spacing w:after="0"/>
              <w:rPr>
                <w:sz w:val="15"/>
                <w:szCs w:val="15"/>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2,709</w:t>
            </w:r>
          </w:p>
        </w:tc>
        <w:tc>
          <w:tcPr>
            <w:tcW w:w="80" w:type="dxa"/>
            <w:vAlign w:val="bottom"/>
            <w:shd w:val="clear" w:color="auto" w:fill="DBDBDB"/>
          </w:tcPr>
          <w:p>
            <w:pPr>
              <w:spacing w:after="0"/>
              <w:rPr>
                <w:sz w:val="15"/>
                <w:szCs w:val="15"/>
                <w:color w:val="auto"/>
              </w:rPr>
            </w:pPr>
          </w:p>
        </w:tc>
        <w:tc>
          <w:tcPr>
            <w:tcW w:w="880" w:type="dxa"/>
            <w:vAlign w:val="bottom"/>
            <w:tcBorders>
              <w:bottom w:val="single" w:sz="8" w:color="auto"/>
            </w:tcBorders>
            <w:shd w:val="clear" w:color="auto" w:fill="DBDBDB"/>
          </w:tcPr>
          <w:p>
            <w:pPr>
              <w:spacing w:after="0"/>
              <w:rPr>
                <w:sz w:val="15"/>
                <w:szCs w:val="15"/>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209</w:t>
            </w:r>
          </w:p>
        </w:tc>
        <w:tc>
          <w:tcPr>
            <w:tcW w:w="80" w:type="dxa"/>
            <w:vAlign w:val="bottom"/>
            <w:shd w:val="clear" w:color="auto" w:fill="DBDBDB"/>
          </w:tcPr>
          <w:p>
            <w:pPr>
              <w:spacing w:after="0"/>
              <w:rPr>
                <w:sz w:val="15"/>
                <w:szCs w:val="15"/>
                <w:color w:val="auto"/>
              </w:rPr>
            </w:pPr>
          </w:p>
        </w:tc>
        <w:tc>
          <w:tcPr>
            <w:tcW w:w="840" w:type="dxa"/>
            <w:vAlign w:val="bottom"/>
            <w:tcBorders>
              <w:bottom w:val="single" w:sz="8" w:color="auto"/>
            </w:tcBorders>
            <w:shd w:val="clear" w:color="auto" w:fill="DBDBDB"/>
          </w:tcPr>
          <w:p>
            <w:pPr>
              <w:spacing w:after="0"/>
              <w:rPr>
                <w:sz w:val="15"/>
                <w:szCs w:val="15"/>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264</w:t>
            </w:r>
          </w:p>
        </w:tc>
        <w:tc>
          <w:tcPr>
            <w:tcW w:w="80" w:type="dxa"/>
            <w:vAlign w:val="bottom"/>
            <w:tcBorders>
              <w:bottom w:val="single" w:sz="8" w:color="auto"/>
            </w:tcBorders>
            <w:shd w:val="clear" w:color="auto" w:fill="DBDBDB"/>
          </w:tcPr>
          <w:p>
            <w:pPr>
              <w:spacing w:after="0"/>
              <w:rPr>
                <w:sz w:val="15"/>
                <w:szCs w:val="15"/>
                <w:color w:val="auto"/>
              </w:rPr>
            </w:pPr>
          </w:p>
        </w:tc>
        <w:tc>
          <w:tcPr>
            <w:tcW w:w="280" w:type="dxa"/>
            <w:vAlign w:val="bottom"/>
            <w:tcBorders>
              <w:bottom w:val="single" w:sz="8" w:color="auto"/>
            </w:tcBorders>
            <w:shd w:val="clear" w:color="auto" w:fill="DBDBDB"/>
          </w:tcPr>
          <w:p>
            <w:pPr>
              <w:spacing w:after="0"/>
              <w:rPr>
                <w:sz w:val="15"/>
                <w:szCs w:val="15"/>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16,911</w:t>
            </w:r>
          </w:p>
        </w:tc>
      </w:tr>
      <w:tr>
        <w:trPr>
          <w:trHeight w:val="163"/>
        </w:trPr>
        <w:tc>
          <w:tcPr>
            <w:tcW w:w="3660" w:type="dxa"/>
            <w:vAlign w:val="bottom"/>
          </w:tcPr>
          <w:p>
            <w:pPr>
              <w:ind w:left="200"/>
              <w:spacing w:after="0"/>
              <w:rPr>
                <w:sz w:val="20"/>
                <w:szCs w:val="20"/>
                <w:color w:val="auto"/>
              </w:rPr>
            </w:pPr>
            <w:r>
              <w:rPr>
                <w:rFonts w:ascii="Arial" w:cs="Arial" w:eastAsia="Arial" w:hAnsi="Arial"/>
                <w:sz w:val="13"/>
                <w:szCs w:val="13"/>
                <w:color w:val="auto"/>
              </w:rPr>
              <w:t>Free Cash Flow</w:t>
            </w:r>
          </w:p>
        </w:tc>
        <w:tc>
          <w:tcPr>
            <w:tcW w:w="880" w:type="dxa"/>
            <w:vAlign w:val="bottom"/>
            <w:tcBorders>
              <w:bottom w:val="single" w:sz="8" w:color="auto"/>
            </w:tcBorders>
          </w:tcPr>
          <w:p>
            <w:pPr>
              <w:jc w:val="right"/>
              <w:ind w:right="714"/>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91,160</w:t>
            </w:r>
          </w:p>
        </w:tc>
        <w:tc>
          <w:tcPr>
            <w:tcW w:w="80" w:type="dxa"/>
            <w:vAlign w:val="bottom"/>
          </w:tcPr>
          <w:p>
            <w:pPr>
              <w:spacing w:after="0"/>
              <w:rPr>
                <w:sz w:val="14"/>
                <w:szCs w:val="14"/>
                <w:color w:val="auto"/>
              </w:rPr>
            </w:pPr>
          </w:p>
        </w:tc>
        <w:tc>
          <w:tcPr>
            <w:tcW w:w="880" w:type="dxa"/>
            <w:vAlign w:val="bottom"/>
            <w:tcBorders>
              <w:bottom w:val="single" w:sz="8" w:color="auto"/>
            </w:tcBorders>
          </w:tcPr>
          <w:p>
            <w:pPr>
              <w:jc w:val="right"/>
              <w:ind w:right="714"/>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82,056</w:t>
            </w:r>
          </w:p>
        </w:tc>
        <w:tc>
          <w:tcPr>
            <w:tcW w:w="80" w:type="dxa"/>
            <w:vAlign w:val="bottom"/>
          </w:tcPr>
          <w:p>
            <w:pPr>
              <w:spacing w:after="0"/>
              <w:rPr>
                <w:sz w:val="14"/>
                <w:szCs w:val="14"/>
                <w:color w:val="auto"/>
              </w:rPr>
            </w:pPr>
          </w:p>
        </w:tc>
        <w:tc>
          <w:tcPr>
            <w:tcW w:w="880" w:type="dxa"/>
            <w:vAlign w:val="bottom"/>
            <w:tcBorders>
              <w:bottom w:val="single" w:sz="8" w:color="auto"/>
            </w:tcBorders>
          </w:tcPr>
          <w:p>
            <w:pPr>
              <w:jc w:val="right"/>
              <w:ind w:right="714"/>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78,493</w:t>
            </w:r>
          </w:p>
        </w:tc>
        <w:tc>
          <w:tcPr>
            <w:tcW w:w="80" w:type="dxa"/>
            <w:vAlign w:val="bottom"/>
          </w:tcPr>
          <w:p>
            <w:pPr>
              <w:spacing w:after="0"/>
              <w:rPr>
                <w:sz w:val="14"/>
                <w:szCs w:val="14"/>
                <w:color w:val="auto"/>
              </w:rPr>
            </w:pPr>
          </w:p>
        </w:tc>
        <w:tc>
          <w:tcPr>
            <w:tcW w:w="840" w:type="dxa"/>
            <w:vAlign w:val="bottom"/>
            <w:tcBorders>
              <w:bottom w:val="single" w:sz="8" w:color="auto"/>
            </w:tcBorders>
          </w:tcPr>
          <w:p>
            <w:pPr>
              <w:jc w:val="right"/>
              <w:ind w:right="674"/>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51,318</w:t>
            </w: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303,027</w:t>
            </w:r>
          </w:p>
        </w:tc>
      </w:tr>
      <w:tr>
        <w:trPr>
          <w:trHeight w:val="20"/>
        </w:trPr>
        <w:tc>
          <w:tcPr>
            <w:tcW w:w="36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98"/>
        </w:trPr>
        <w:tc>
          <w:tcPr>
            <w:tcW w:w="4540" w:type="dxa"/>
            <w:vAlign w:val="bottom"/>
            <w:gridSpan w:val="2"/>
          </w:tcPr>
          <w:p>
            <w:pPr>
              <w:spacing w:after="0"/>
              <w:rPr>
                <w:sz w:val="20"/>
                <w:szCs w:val="20"/>
                <w:color w:val="auto"/>
              </w:rPr>
            </w:pPr>
            <w:r>
              <w:rPr>
                <w:rFonts w:ascii="Arial" w:cs="Arial" w:eastAsia="Arial" w:hAnsi="Arial"/>
                <w:sz w:val="13"/>
                <w:szCs w:val="13"/>
                <w:b w:val="1"/>
                <w:bCs w:val="1"/>
                <w:i w:val="1"/>
                <w:iCs w:val="1"/>
                <w:color w:val="1D2758"/>
              </w:rPr>
              <w:t>Quarterly Consolidated Results for the Year Ended December 31, 2020</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04"/>
        </w:trPr>
        <w:tc>
          <w:tcPr>
            <w:tcW w:w="3660" w:type="dxa"/>
            <w:vAlign w:val="bottom"/>
          </w:tcPr>
          <w:p>
            <w:pPr>
              <w:spacing w:after="0"/>
              <w:rPr>
                <w:sz w:val="9"/>
                <w:szCs w:val="9"/>
                <w:color w:val="auto"/>
              </w:rPr>
            </w:pPr>
          </w:p>
        </w:tc>
        <w:tc>
          <w:tcPr>
            <w:tcW w:w="8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175"/>
        </w:trPr>
        <w:tc>
          <w:tcPr>
            <w:tcW w:w="366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880" w:type="dxa"/>
            <w:vAlign w:val="bottom"/>
            <w:shd w:val="clear" w:color="auto" w:fill="1D2758"/>
          </w:tcPr>
          <w:p>
            <w:pPr>
              <w:jc w:val="right"/>
              <w:spacing w:after="0"/>
              <w:rPr>
                <w:sz w:val="20"/>
                <w:szCs w:val="20"/>
                <w:color w:val="auto"/>
              </w:rPr>
            </w:pPr>
            <w:r>
              <w:rPr>
                <w:rFonts w:ascii="Arial" w:cs="Arial" w:eastAsia="Arial" w:hAnsi="Arial"/>
                <w:sz w:val="13"/>
                <w:szCs w:val="13"/>
                <w:b w:val="1"/>
                <w:bCs w:val="1"/>
                <w:color w:val="FFFFFF"/>
              </w:rPr>
              <w:t>Q1</w:t>
            </w:r>
          </w:p>
        </w:tc>
        <w:tc>
          <w:tcPr>
            <w:tcW w:w="58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880" w:type="dxa"/>
            <w:vAlign w:val="bottom"/>
            <w:shd w:val="clear" w:color="auto" w:fill="1D2758"/>
          </w:tcPr>
          <w:p>
            <w:pPr>
              <w:jc w:val="right"/>
              <w:spacing w:after="0"/>
              <w:rPr>
                <w:sz w:val="20"/>
                <w:szCs w:val="20"/>
                <w:color w:val="auto"/>
              </w:rPr>
            </w:pPr>
            <w:r>
              <w:rPr>
                <w:rFonts w:ascii="Arial" w:cs="Arial" w:eastAsia="Arial" w:hAnsi="Arial"/>
                <w:sz w:val="13"/>
                <w:szCs w:val="13"/>
                <w:b w:val="1"/>
                <w:bCs w:val="1"/>
                <w:color w:val="FFFFFF"/>
              </w:rPr>
              <w:t>Q2</w:t>
            </w:r>
          </w:p>
        </w:tc>
        <w:tc>
          <w:tcPr>
            <w:tcW w:w="58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880" w:type="dxa"/>
            <w:vAlign w:val="bottom"/>
            <w:shd w:val="clear" w:color="auto" w:fill="1D2758"/>
          </w:tcPr>
          <w:p>
            <w:pPr>
              <w:jc w:val="right"/>
              <w:spacing w:after="0"/>
              <w:rPr>
                <w:sz w:val="20"/>
                <w:szCs w:val="20"/>
                <w:color w:val="auto"/>
              </w:rPr>
            </w:pPr>
            <w:r>
              <w:rPr>
                <w:rFonts w:ascii="Arial" w:cs="Arial" w:eastAsia="Arial" w:hAnsi="Arial"/>
                <w:sz w:val="13"/>
                <w:szCs w:val="13"/>
                <w:b w:val="1"/>
                <w:bCs w:val="1"/>
                <w:color w:val="FFFFFF"/>
              </w:rPr>
              <w:t>Q3</w:t>
            </w:r>
          </w:p>
        </w:tc>
        <w:tc>
          <w:tcPr>
            <w:tcW w:w="58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840" w:type="dxa"/>
            <w:vAlign w:val="bottom"/>
            <w:shd w:val="clear" w:color="auto" w:fill="1D2758"/>
          </w:tcPr>
          <w:p>
            <w:pPr>
              <w:jc w:val="right"/>
              <w:spacing w:after="0"/>
              <w:rPr>
                <w:sz w:val="20"/>
                <w:szCs w:val="20"/>
                <w:color w:val="auto"/>
              </w:rPr>
            </w:pPr>
            <w:r>
              <w:rPr>
                <w:rFonts w:ascii="Arial" w:cs="Arial" w:eastAsia="Arial" w:hAnsi="Arial"/>
                <w:sz w:val="13"/>
                <w:szCs w:val="13"/>
                <w:b w:val="1"/>
                <w:bCs w:val="1"/>
                <w:color w:val="FFFFFF"/>
              </w:rPr>
              <w:t>Q4</w:t>
            </w:r>
          </w:p>
        </w:tc>
        <w:tc>
          <w:tcPr>
            <w:tcW w:w="62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280" w:type="dxa"/>
            <w:vAlign w:val="bottom"/>
            <w:shd w:val="clear" w:color="auto" w:fill="1D2758"/>
          </w:tcPr>
          <w:p>
            <w:pPr>
              <w:spacing w:after="0"/>
              <w:rPr>
                <w:sz w:val="15"/>
                <w:szCs w:val="15"/>
                <w:color w:val="auto"/>
              </w:rPr>
            </w:pPr>
          </w:p>
        </w:tc>
        <w:tc>
          <w:tcPr>
            <w:tcW w:w="1180" w:type="dxa"/>
            <w:vAlign w:val="bottom"/>
            <w:shd w:val="clear" w:color="auto" w:fill="1D2758"/>
          </w:tcPr>
          <w:p>
            <w:pPr>
              <w:jc w:val="right"/>
              <w:ind w:right="394"/>
              <w:spacing w:after="0"/>
              <w:rPr>
                <w:sz w:val="20"/>
                <w:szCs w:val="20"/>
                <w:color w:val="auto"/>
              </w:rPr>
            </w:pPr>
            <w:r>
              <w:rPr>
                <w:rFonts w:ascii="Arial" w:cs="Arial" w:eastAsia="Arial" w:hAnsi="Arial"/>
                <w:sz w:val="13"/>
                <w:szCs w:val="13"/>
                <w:b w:val="1"/>
                <w:bCs w:val="1"/>
                <w:color w:val="FFFFFF"/>
              </w:rPr>
              <w:t>Full Year</w:t>
            </w:r>
          </w:p>
        </w:tc>
      </w:tr>
      <w:tr>
        <w:trPr>
          <w:trHeight w:val="175"/>
        </w:trPr>
        <w:tc>
          <w:tcPr>
            <w:tcW w:w="3660" w:type="dxa"/>
            <w:vAlign w:val="bottom"/>
            <w:shd w:val="clear" w:color="auto" w:fill="DBDBDB"/>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880" w:type="dxa"/>
            <w:vAlign w:val="bottom"/>
            <w:shd w:val="clear" w:color="auto" w:fill="DBDBDB"/>
          </w:tcPr>
          <w:p>
            <w:pPr>
              <w:jc w:val="right"/>
              <w:ind w:right="714"/>
              <w:spacing w:after="0"/>
              <w:rPr>
                <w:sz w:val="20"/>
                <w:szCs w:val="20"/>
                <w:color w:val="auto"/>
              </w:rPr>
            </w:pPr>
            <w:r>
              <w:rPr>
                <w:rFonts w:ascii="Arial" w:cs="Arial" w:eastAsia="Arial" w:hAnsi="Arial"/>
                <w:sz w:val="13"/>
                <w:szCs w:val="13"/>
                <w:color w:val="auto"/>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38,348</w:t>
            </w:r>
          </w:p>
        </w:tc>
        <w:tc>
          <w:tcPr>
            <w:tcW w:w="80" w:type="dxa"/>
            <w:vAlign w:val="bottom"/>
            <w:shd w:val="clear" w:color="auto" w:fill="DBDBDB"/>
          </w:tcPr>
          <w:p>
            <w:pPr>
              <w:spacing w:after="0"/>
              <w:rPr>
                <w:sz w:val="15"/>
                <w:szCs w:val="15"/>
                <w:color w:val="auto"/>
              </w:rPr>
            </w:pPr>
          </w:p>
        </w:tc>
        <w:tc>
          <w:tcPr>
            <w:tcW w:w="880" w:type="dxa"/>
            <w:vAlign w:val="bottom"/>
            <w:shd w:val="clear" w:color="auto" w:fill="DBDBDB"/>
          </w:tcPr>
          <w:p>
            <w:pPr>
              <w:jc w:val="right"/>
              <w:ind w:right="714"/>
              <w:spacing w:after="0"/>
              <w:rPr>
                <w:sz w:val="20"/>
                <w:szCs w:val="20"/>
                <w:color w:val="auto"/>
              </w:rPr>
            </w:pPr>
            <w:r>
              <w:rPr>
                <w:rFonts w:ascii="Arial" w:cs="Arial" w:eastAsia="Arial" w:hAnsi="Arial"/>
                <w:sz w:val="13"/>
                <w:szCs w:val="13"/>
                <w:color w:val="auto"/>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75,379</w:t>
            </w:r>
          </w:p>
        </w:tc>
        <w:tc>
          <w:tcPr>
            <w:tcW w:w="80" w:type="dxa"/>
            <w:vAlign w:val="bottom"/>
            <w:shd w:val="clear" w:color="auto" w:fill="DBDBDB"/>
          </w:tcPr>
          <w:p>
            <w:pPr>
              <w:spacing w:after="0"/>
              <w:rPr>
                <w:sz w:val="15"/>
                <w:szCs w:val="15"/>
                <w:color w:val="auto"/>
              </w:rPr>
            </w:pPr>
          </w:p>
        </w:tc>
        <w:tc>
          <w:tcPr>
            <w:tcW w:w="880" w:type="dxa"/>
            <w:vAlign w:val="bottom"/>
            <w:shd w:val="clear" w:color="auto" w:fill="DBDBDB"/>
          </w:tcPr>
          <w:p>
            <w:pPr>
              <w:jc w:val="right"/>
              <w:ind w:right="714"/>
              <w:spacing w:after="0"/>
              <w:rPr>
                <w:sz w:val="20"/>
                <w:szCs w:val="20"/>
                <w:color w:val="auto"/>
              </w:rPr>
            </w:pPr>
            <w:r>
              <w:rPr>
                <w:rFonts w:ascii="Arial" w:cs="Arial" w:eastAsia="Arial" w:hAnsi="Arial"/>
                <w:sz w:val="13"/>
                <w:szCs w:val="13"/>
                <w:color w:val="auto"/>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61,368</w:t>
            </w:r>
          </w:p>
        </w:tc>
        <w:tc>
          <w:tcPr>
            <w:tcW w:w="80" w:type="dxa"/>
            <w:vAlign w:val="bottom"/>
            <w:shd w:val="clear" w:color="auto" w:fill="DBDBDB"/>
          </w:tcPr>
          <w:p>
            <w:pPr>
              <w:spacing w:after="0"/>
              <w:rPr>
                <w:sz w:val="15"/>
                <w:szCs w:val="15"/>
                <w:color w:val="auto"/>
              </w:rPr>
            </w:pPr>
          </w:p>
        </w:tc>
        <w:tc>
          <w:tcPr>
            <w:tcW w:w="840" w:type="dxa"/>
            <w:vAlign w:val="bottom"/>
            <w:shd w:val="clear" w:color="auto" w:fill="DBDBDB"/>
          </w:tcPr>
          <w:p>
            <w:pPr>
              <w:jc w:val="right"/>
              <w:ind w:right="674"/>
              <w:spacing w:after="0"/>
              <w:rPr>
                <w:sz w:val="20"/>
                <w:szCs w:val="20"/>
                <w:color w:val="auto"/>
              </w:rPr>
            </w:pPr>
            <w:r>
              <w:rPr>
                <w:rFonts w:ascii="Arial" w:cs="Arial" w:eastAsia="Arial" w:hAnsi="Arial"/>
                <w:sz w:val="13"/>
                <w:szCs w:val="13"/>
                <w:color w:val="auto"/>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129,717</w:t>
            </w:r>
          </w:p>
        </w:tc>
        <w:tc>
          <w:tcPr>
            <w:tcW w:w="80" w:type="dxa"/>
            <w:vAlign w:val="bottom"/>
            <w:shd w:val="clear" w:color="auto" w:fill="DBDBDB"/>
          </w:tcPr>
          <w:p>
            <w:pPr>
              <w:spacing w:after="0"/>
              <w:rPr>
                <w:sz w:val="15"/>
                <w:szCs w:val="15"/>
                <w:color w:val="auto"/>
              </w:rPr>
            </w:pPr>
          </w:p>
        </w:tc>
        <w:tc>
          <w:tcPr>
            <w:tcW w:w="280" w:type="dxa"/>
            <w:vAlign w:val="bottom"/>
            <w:shd w:val="clear" w:color="auto" w:fill="DBDBDB"/>
          </w:tcPr>
          <w:p>
            <w:pPr>
              <w:jc w:val="right"/>
              <w:ind w:right="114"/>
              <w:spacing w:after="0"/>
              <w:rPr>
                <w:sz w:val="20"/>
                <w:szCs w:val="20"/>
                <w:color w:val="auto"/>
              </w:rPr>
            </w:pPr>
            <w:r>
              <w:rPr>
                <w:rFonts w:ascii="Arial" w:cs="Arial" w:eastAsia="Arial" w:hAnsi="Arial"/>
                <w:sz w:val="13"/>
                <w:szCs w:val="13"/>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304,812</w:t>
            </w:r>
          </w:p>
        </w:tc>
      </w:tr>
      <w:tr>
        <w:trPr>
          <w:trHeight w:val="172"/>
        </w:trPr>
        <w:tc>
          <w:tcPr>
            <w:tcW w:w="3660" w:type="dxa"/>
            <w:vAlign w:val="bottom"/>
          </w:tcPr>
          <w:p>
            <w:pPr>
              <w:ind w:left="20"/>
              <w:spacing w:after="0"/>
              <w:rPr>
                <w:sz w:val="20"/>
                <w:szCs w:val="20"/>
                <w:color w:val="auto"/>
              </w:rPr>
            </w:pPr>
            <w:r>
              <w:rPr>
                <w:rFonts w:ascii="Arial" w:cs="Arial" w:eastAsia="Arial" w:hAnsi="Arial"/>
                <w:sz w:val="13"/>
                <w:szCs w:val="13"/>
                <w:color w:val="auto"/>
              </w:rPr>
              <w:t>Purchase of rental equipment and refurbishments</w:t>
            </w:r>
          </w:p>
        </w:tc>
        <w:tc>
          <w:tcPr>
            <w:tcW w:w="8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(39,648)</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(40,034)</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(42,591)</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(50,110)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(172,383)</w:t>
            </w:r>
          </w:p>
        </w:tc>
      </w:tr>
      <w:tr>
        <w:trPr>
          <w:trHeight w:val="178"/>
        </w:trPr>
        <w:tc>
          <w:tcPr>
            <w:tcW w:w="3660" w:type="dxa"/>
            <w:vAlign w:val="bottom"/>
            <w:shd w:val="clear" w:color="auto" w:fill="DBDBDB"/>
          </w:tcPr>
          <w:p>
            <w:pPr>
              <w:ind w:left="20"/>
              <w:spacing w:after="0"/>
              <w:rPr>
                <w:sz w:val="20"/>
                <w:szCs w:val="20"/>
                <w:color w:val="auto"/>
              </w:rPr>
            </w:pPr>
            <w:r>
              <w:rPr>
                <w:rFonts w:ascii="Arial" w:cs="Arial" w:eastAsia="Arial" w:hAnsi="Arial"/>
                <w:sz w:val="13"/>
                <w:szCs w:val="13"/>
                <w:color w:val="auto"/>
              </w:rPr>
              <w:t>Proceeds from sale of rental equipment</w:t>
            </w:r>
          </w:p>
        </w:tc>
        <w:tc>
          <w:tcPr>
            <w:tcW w:w="880" w:type="dxa"/>
            <w:vAlign w:val="bottom"/>
            <w:shd w:val="clear" w:color="auto" w:fill="DBDBDB"/>
          </w:tcPr>
          <w:p>
            <w:pPr>
              <w:spacing w:after="0"/>
              <w:rPr>
                <w:sz w:val="15"/>
                <w:szCs w:val="15"/>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6,786</w:t>
            </w:r>
          </w:p>
        </w:tc>
        <w:tc>
          <w:tcPr>
            <w:tcW w:w="80" w:type="dxa"/>
            <w:vAlign w:val="bottom"/>
            <w:shd w:val="clear" w:color="auto" w:fill="DBDBDB"/>
          </w:tcPr>
          <w:p>
            <w:pPr>
              <w:spacing w:after="0"/>
              <w:rPr>
                <w:sz w:val="15"/>
                <w:szCs w:val="15"/>
                <w:color w:val="auto"/>
              </w:rPr>
            </w:pPr>
          </w:p>
        </w:tc>
        <w:tc>
          <w:tcPr>
            <w:tcW w:w="880" w:type="dxa"/>
            <w:vAlign w:val="bottom"/>
            <w:shd w:val="clear" w:color="auto" w:fill="DBDBDB"/>
          </w:tcPr>
          <w:p>
            <w:pPr>
              <w:spacing w:after="0"/>
              <w:rPr>
                <w:sz w:val="15"/>
                <w:szCs w:val="15"/>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5,316</w:t>
            </w:r>
          </w:p>
        </w:tc>
        <w:tc>
          <w:tcPr>
            <w:tcW w:w="80" w:type="dxa"/>
            <w:vAlign w:val="bottom"/>
            <w:shd w:val="clear" w:color="auto" w:fill="DBDBDB"/>
          </w:tcPr>
          <w:p>
            <w:pPr>
              <w:spacing w:after="0"/>
              <w:rPr>
                <w:sz w:val="15"/>
                <w:szCs w:val="15"/>
                <w:color w:val="auto"/>
              </w:rPr>
            </w:pPr>
          </w:p>
        </w:tc>
        <w:tc>
          <w:tcPr>
            <w:tcW w:w="880" w:type="dxa"/>
            <w:vAlign w:val="bottom"/>
            <w:shd w:val="clear" w:color="auto" w:fill="DBDBDB"/>
          </w:tcPr>
          <w:p>
            <w:pPr>
              <w:spacing w:after="0"/>
              <w:rPr>
                <w:sz w:val="15"/>
                <w:szCs w:val="15"/>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13,179</w:t>
            </w:r>
          </w:p>
        </w:tc>
        <w:tc>
          <w:tcPr>
            <w:tcW w:w="8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13,668</w:t>
            </w:r>
          </w:p>
        </w:tc>
        <w:tc>
          <w:tcPr>
            <w:tcW w:w="8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38,949</w:t>
            </w:r>
          </w:p>
        </w:tc>
      </w:tr>
      <w:tr>
        <w:trPr>
          <w:trHeight w:val="172"/>
        </w:trPr>
        <w:tc>
          <w:tcPr>
            <w:tcW w:w="3660" w:type="dxa"/>
            <w:vAlign w:val="bottom"/>
          </w:tcPr>
          <w:p>
            <w:pPr>
              <w:ind w:left="20"/>
              <w:spacing w:after="0"/>
              <w:rPr>
                <w:sz w:val="20"/>
                <w:szCs w:val="20"/>
                <w:color w:val="auto"/>
              </w:rPr>
            </w:pPr>
            <w:r>
              <w:rPr>
                <w:rFonts w:ascii="Arial" w:cs="Arial" w:eastAsia="Arial" w:hAnsi="Arial"/>
                <w:sz w:val="13"/>
                <w:szCs w:val="13"/>
                <w:color w:val="auto"/>
              </w:rPr>
              <w:t>Purchase of property, plant and equipment</w:t>
            </w:r>
          </w:p>
        </w:tc>
        <w:tc>
          <w:tcPr>
            <w:tcW w:w="8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(1,518)</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(1,668)</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(5,893)</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(7,375)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(16,454)</w:t>
            </w:r>
          </w:p>
        </w:tc>
      </w:tr>
      <w:tr>
        <w:trPr>
          <w:trHeight w:val="178"/>
        </w:trPr>
        <w:tc>
          <w:tcPr>
            <w:tcW w:w="3660" w:type="dxa"/>
            <w:vAlign w:val="bottom"/>
            <w:shd w:val="clear" w:color="auto" w:fill="DBDBDB"/>
          </w:tcPr>
          <w:p>
            <w:pPr>
              <w:ind w:left="20"/>
              <w:spacing w:after="0"/>
              <w:rPr>
                <w:sz w:val="20"/>
                <w:szCs w:val="20"/>
                <w:color w:val="auto"/>
              </w:rPr>
            </w:pPr>
            <w:r>
              <w:rPr>
                <w:rFonts w:ascii="Arial" w:cs="Arial" w:eastAsia="Arial" w:hAnsi="Arial"/>
                <w:sz w:val="13"/>
                <w:szCs w:val="13"/>
                <w:color w:val="auto"/>
              </w:rPr>
              <w:t>Proceeds from the sale of property, plant and equipment</w:t>
            </w:r>
          </w:p>
        </w:tc>
        <w:tc>
          <w:tcPr>
            <w:tcW w:w="880" w:type="dxa"/>
            <w:vAlign w:val="bottom"/>
            <w:tcBorders>
              <w:bottom w:val="single" w:sz="8" w:color="auto"/>
            </w:tcBorders>
            <w:shd w:val="clear" w:color="auto" w:fill="DBDBDB"/>
          </w:tcPr>
          <w:p>
            <w:pPr>
              <w:spacing w:after="0"/>
              <w:rPr>
                <w:sz w:val="15"/>
                <w:szCs w:val="15"/>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3,840</w:t>
            </w:r>
          </w:p>
        </w:tc>
        <w:tc>
          <w:tcPr>
            <w:tcW w:w="80" w:type="dxa"/>
            <w:vAlign w:val="bottom"/>
            <w:shd w:val="clear" w:color="auto" w:fill="DBDBDB"/>
          </w:tcPr>
          <w:p>
            <w:pPr>
              <w:spacing w:after="0"/>
              <w:rPr>
                <w:sz w:val="15"/>
                <w:szCs w:val="15"/>
                <w:color w:val="auto"/>
              </w:rPr>
            </w:pPr>
          </w:p>
        </w:tc>
        <w:tc>
          <w:tcPr>
            <w:tcW w:w="880" w:type="dxa"/>
            <w:vAlign w:val="bottom"/>
            <w:tcBorders>
              <w:bottom w:val="single" w:sz="8" w:color="auto"/>
            </w:tcBorders>
            <w:shd w:val="clear" w:color="auto" w:fill="DBDBDB"/>
          </w:tcPr>
          <w:p>
            <w:pPr>
              <w:spacing w:after="0"/>
              <w:rPr>
                <w:sz w:val="15"/>
                <w:szCs w:val="15"/>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DBDBDB"/>
          </w:tcPr>
          <w:p>
            <w:pPr>
              <w:spacing w:after="0"/>
              <w:rPr>
                <w:sz w:val="15"/>
                <w:szCs w:val="15"/>
                <w:color w:val="auto"/>
              </w:rPr>
            </w:pPr>
          </w:p>
        </w:tc>
        <w:tc>
          <w:tcPr>
            <w:tcW w:w="880" w:type="dxa"/>
            <w:vAlign w:val="bottom"/>
            <w:tcBorders>
              <w:bottom w:val="single" w:sz="8" w:color="auto"/>
            </w:tcBorders>
            <w:shd w:val="clear" w:color="auto" w:fill="DBDBDB"/>
          </w:tcPr>
          <w:p>
            <w:pPr>
              <w:spacing w:after="0"/>
              <w:rPr>
                <w:sz w:val="15"/>
                <w:szCs w:val="15"/>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1,982</w:t>
            </w:r>
          </w:p>
        </w:tc>
        <w:tc>
          <w:tcPr>
            <w:tcW w:w="80" w:type="dxa"/>
            <w:vAlign w:val="bottom"/>
            <w:shd w:val="clear" w:color="auto" w:fill="DBDBDB"/>
          </w:tcPr>
          <w:p>
            <w:pPr>
              <w:spacing w:after="0"/>
              <w:rPr>
                <w:sz w:val="15"/>
                <w:szCs w:val="15"/>
                <w:color w:val="auto"/>
              </w:rPr>
            </w:pPr>
          </w:p>
        </w:tc>
        <w:tc>
          <w:tcPr>
            <w:tcW w:w="840" w:type="dxa"/>
            <w:vAlign w:val="bottom"/>
            <w:tcBorders>
              <w:bottom w:val="single" w:sz="8" w:color="auto"/>
            </w:tcBorders>
            <w:shd w:val="clear" w:color="auto" w:fill="DBDBDB"/>
          </w:tcPr>
          <w:p>
            <w:pPr>
              <w:spacing w:after="0"/>
              <w:rPr>
                <w:sz w:val="15"/>
                <w:szCs w:val="15"/>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1,530</w:t>
            </w:r>
          </w:p>
        </w:tc>
        <w:tc>
          <w:tcPr>
            <w:tcW w:w="80" w:type="dxa"/>
            <w:vAlign w:val="bottom"/>
            <w:shd w:val="clear" w:color="auto" w:fill="DBDBDB"/>
          </w:tcPr>
          <w:p>
            <w:pPr>
              <w:spacing w:after="0"/>
              <w:rPr>
                <w:sz w:val="15"/>
                <w:szCs w:val="15"/>
                <w:color w:val="auto"/>
              </w:rPr>
            </w:pPr>
          </w:p>
        </w:tc>
        <w:tc>
          <w:tcPr>
            <w:tcW w:w="280" w:type="dxa"/>
            <w:vAlign w:val="bottom"/>
            <w:tcBorders>
              <w:bottom w:val="single" w:sz="8" w:color="auto"/>
            </w:tcBorders>
            <w:shd w:val="clear" w:color="auto" w:fill="DBDBDB"/>
          </w:tcPr>
          <w:p>
            <w:pPr>
              <w:spacing w:after="0"/>
              <w:rPr>
                <w:sz w:val="15"/>
                <w:szCs w:val="15"/>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7,355</w:t>
            </w:r>
          </w:p>
        </w:tc>
      </w:tr>
      <w:tr>
        <w:trPr>
          <w:trHeight w:val="163"/>
        </w:trPr>
        <w:tc>
          <w:tcPr>
            <w:tcW w:w="3660" w:type="dxa"/>
            <w:vAlign w:val="bottom"/>
          </w:tcPr>
          <w:p>
            <w:pPr>
              <w:ind w:left="200"/>
              <w:spacing w:after="0"/>
              <w:rPr>
                <w:sz w:val="20"/>
                <w:szCs w:val="20"/>
                <w:color w:val="auto"/>
              </w:rPr>
            </w:pPr>
            <w:r>
              <w:rPr>
                <w:rFonts w:ascii="Arial" w:cs="Arial" w:eastAsia="Arial" w:hAnsi="Arial"/>
                <w:sz w:val="13"/>
                <w:szCs w:val="13"/>
                <w:color w:val="auto"/>
              </w:rPr>
              <w:t>Free Cash Flow</w:t>
            </w:r>
          </w:p>
        </w:tc>
        <w:tc>
          <w:tcPr>
            <w:tcW w:w="880" w:type="dxa"/>
            <w:vAlign w:val="bottom"/>
            <w:tcBorders>
              <w:bottom w:val="single" w:sz="8" w:color="auto"/>
            </w:tcBorders>
          </w:tcPr>
          <w:p>
            <w:pPr>
              <w:jc w:val="right"/>
              <w:ind w:right="714"/>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7,808</w:t>
            </w:r>
          </w:p>
        </w:tc>
        <w:tc>
          <w:tcPr>
            <w:tcW w:w="80" w:type="dxa"/>
            <w:vAlign w:val="bottom"/>
          </w:tcPr>
          <w:p>
            <w:pPr>
              <w:spacing w:after="0"/>
              <w:rPr>
                <w:sz w:val="14"/>
                <w:szCs w:val="14"/>
                <w:color w:val="auto"/>
              </w:rPr>
            </w:pPr>
          </w:p>
        </w:tc>
        <w:tc>
          <w:tcPr>
            <w:tcW w:w="880" w:type="dxa"/>
            <w:vAlign w:val="bottom"/>
            <w:tcBorders>
              <w:bottom w:val="single" w:sz="8" w:color="auto"/>
            </w:tcBorders>
          </w:tcPr>
          <w:p>
            <w:pPr>
              <w:jc w:val="right"/>
              <w:ind w:right="714"/>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38,996</w:t>
            </w:r>
          </w:p>
        </w:tc>
        <w:tc>
          <w:tcPr>
            <w:tcW w:w="80" w:type="dxa"/>
            <w:vAlign w:val="bottom"/>
          </w:tcPr>
          <w:p>
            <w:pPr>
              <w:spacing w:after="0"/>
              <w:rPr>
                <w:sz w:val="14"/>
                <w:szCs w:val="14"/>
                <w:color w:val="auto"/>
              </w:rPr>
            </w:pPr>
          </w:p>
        </w:tc>
        <w:tc>
          <w:tcPr>
            <w:tcW w:w="880" w:type="dxa"/>
            <w:vAlign w:val="bottom"/>
            <w:tcBorders>
              <w:bottom w:val="single" w:sz="8" w:color="auto"/>
            </w:tcBorders>
          </w:tcPr>
          <w:p>
            <w:pPr>
              <w:jc w:val="right"/>
              <w:ind w:right="714"/>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28,045</w:t>
            </w:r>
          </w:p>
        </w:tc>
        <w:tc>
          <w:tcPr>
            <w:tcW w:w="80" w:type="dxa"/>
            <w:vAlign w:val="bottom"/>
          </w:tcPr>
          <w:p>
            <w:pPr>
              <w:spacing w:after="0"/>
              <w:rPr>
                <w:sz w:val="14"/>
                <w:szCs w:val="14"/>
                <w:color w:val="auto"/>
              </w:rPr>
            </w:pPr>
          </w:p>
        </w:tc>
        <w:tc>
          <w:tcPr>
            <w:tcW w:w="840" w:type="dxa"/>
            <w:vAlign w:val="bottom"/>
            <w:tcBorders>
              <w:bottom w:val="single" w:sz="8" w:color="auto"/>
            </w:tcBorders>
          </w:tcPr>
          <w:p>
            <w:pPr>
              <w:jc w:val="right"/>
              <w:ind w:right="674"/>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87,430</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162,279</w:t>
            </w:r>
          </w:p>
        </w:tc>
      </w:tr>
      <w:tr>
        <w:trPr>
          <w:trHeight w:val="20"/>
        </w:trPr>
        <w:tc>
          <w:tcPr>
            <w:tcW w:w="36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9"/>
          <w:szCs w:val="19"/>
          <w:color w:val="1D2758"/>
        </w:rPr>
        <w:t>Supplemental Pro Forma Information</w:t>
      </w:r>
    </w:p>
    <w:p>
      <w:pPr>
        <w:spacing w:after="0" w:line="85"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The following pro forma financial information has been prepared for WillScot Mobile Mini, for the year ended December 31, 2020. This pro forma statement of operations presents the historical consolidated statement of operations of WillScot Mobile Mini, giving effect to the following items as if they had occurred on January 1, 2019:</w:t>
      </w:r>
    </w:p>
    <w:p>
      <w:pPr>
        <w:spacing w:after="0" w:line="31" w:lineRule="exact"/>
        <w:rPr>
          <w:sz w:val="20"/>
          <w:szCs w:val="20"/>
          <w:color w:val="auto"/>
        </w:rPr>
      </w:pPr>
    </w:p>
    <w:p>
      <w:pPr>
        <w:ind w:left="440" w:hanging="302"/>
        <w:spacing w:after="0"/>
        <w:tabs>
          <w:tab w:leader="none" w:pos="4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Merger with Mobile Mini;</w:t>
      </w:r>
    </w:p>
    <w:p>
      <w:pPr>
        <w:spacing w:after="0" w:line="47" w:lineRule="exact"/>
        <w:rPr>
          <w:rFonts w:ascii="Arial" w:cs="Arial" w:eastAsia="Arial" w:hAnsi="Arial"/>
          <w:sz w:val="13"/>
          <w:szCs w:val="13"/>
          <w:color w:val="auto"/>
        </w:rPr>
      </w:pPr>
    </w:p>
    <w:p>
      <w:pPr>
        <w:ind w:left="420" w:hanging="282"/>
        <w:spacing w:after="0"/>
        <w:tabs>
          <w:tab w:leader="none" w:pos="4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borrowings under the Company’s 2025 Secured Notes and the 2020 ABL Facility;</w:t>
      </w:r>
    </w:p>
    <w:p>
      <w:pPr>
        <w:spacing w:after="0" w:line="47" w:lineRule="exact"/>
        <w:rPr>
          <w:rFonts w:ascii="Arial" w:cs="Arial" w:eastAsia="Arial" w:hAnsi="Arial"/>
          <w:sz w:val="13"/>
          <w:szCs w:val="13"/>
          <w:color w:val="auto"/>
        </w:rPr>
      </w:pPr>
    </w:p>
    <w:p>
      <w:pPr>
        <w:ind w:left="460" w:hanging="322"/>
        <w:spacing w:after="0"/>
        <w:tabs>
          <w:tab w:leader="none" w:pos="4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extinguishment of the Mobile Mini line of credit and senior notes assumed in the Merger and subsequently repaid;</w:t>
      </w:r>
    </w:p>
    <w:p>
      <w:pPr>
        <w:spacing w:after="0" w:line="47" w:lineRule="exact"/>
        <w:rPr>
          <w:rFonts w:ascii="Arial" w:cs="Arial" w:eastAsia="Arial" w:hAnsi="Arial"/>
          <w:sz w:val="13"/>
          <w:szCs w:val="13"/>
          <w:color w:val="auto"/>
        </w:rPr>
      </w:pPr>
    </w:p>
    <w:p>
      <w:pPr>
        <w:ind w:left="460" w:hanging="322"/>
        <w:spacing w:after="0"/>
        <w:tabs>
          <w:tab w:leader="none" w:pos="4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repayment of the 2017 ABL Facility and the 2022 Secured Notes repaid contemporaneously with the Merger;</w:t>
      </w:r>
    </w:p>
    <w:p>
      <w:pPr>
        <w:spacing w:after="0" w:line="47" w:lineRule="exact"/>
        <w:rPr>
          <w:rFonts w:ascii="Arial" w:cs="Arial" w:eastAsia="Arial" w:hAnsi="Arial"/>
          <w:sz w:val="13"/>
          <w:szCs w:val="13"/>
          <w:color w:val="auto"/>
        </w:rPr>
      </w:pPr>
    </w:p>
    <w:p>
      <w:pPr>
        <w:ind w:left="440" w:hanging="302"/>
        <w:spacing w:after="0"/>
        <w:tabs>
          <w:tab w:leader="none" w:pos="4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transaction costs incurred in connection with the Merger; and</w:t>
      </w:r>
    </w:p>
    <w:p>
      <w:pPr>
        <w:spacing w:after="0" w:line="47" w:lineRule="exact"/>
        <w:rPr>
          <w:rFonts w:ascii="Arial" w:cs="Arial" w:eastAsia="Arial" w:hAnsi="Arial"/>
          <w:sz w:val="13"/>
          <w:szCs w:val="13"/>
          <w:color w:val="auto"/>
        </w:rPr>
      </w:pPr>
    </w:p>
    <w:p>
      <w:pPr>
        <w:ind w:left="460" w:hanging="322"/>
        <w:spacing w:after="0"/>
        <w:tabs>
          <w:tab w:leader="none" w:pos="4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elimination of non-controlling interest in connection with the Sapphire Exchange as contemplated by the Merger.</w:t>
      </w:r>
    </w:p>
    <w:p>
      <w:pPr>
        <w:spacing w:after="0" w:line="47"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The adjustments presented on the pro forma financial statement have been identified and presented to provide relevant information necessary for an accurate understanding of the combined company following the transactions and events described above. We believe this pro forma financial statement is important for purposes of comparison to the prior period due to the addition of a significant acquisition during the reported financial reporting periods. This information is used by management to measure the performance of ongoing operations and analyze our business performance and trends. This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12" w:right="319" w:bottom="1440" w:gutter="0" w:footer="0" w:header="0"/>
        </w:sectPr>
      </w:pPr>
    </w:p>
    <w:bookmarkStart w:id="55" w:name="page56"/>
    <w:bookmarkEnd w:id="55"/>
    <w:p>
      <w:pPr>
        <w:jc w:val="both"/>
        <w:spacing w:after="0" w:line="256" w:lineRule="auto"/>
        <w:rPr>
          <w:sz w:val="20"/>
          <w:szCs w:val="20"/>
          <w:color w:val="auto"/>
        </w:rPr>
      </w:pPr>
      <w:r>
        <w:rPr>
          <w:rFonts w:ascii="Arial" w:cs="Arial" w:eastAsia="Arial" w:hAnsi="Arial"/>
          <w:sz w:val="13"/>
          <w:szCs w:val="13"/>
          <w:color w:val="auto"/>
        </w:rPr>
        <w:t>information is also useful to investors in order for them to better understand the combined historical financial results of the legacy businesses for comparative purposes and for the purposes of development of future projections and earnings growth prospects.</w:t>
      </w:r>
    </w:p>
    <w:p>
      <w:pPr>
        <w:spacing w:after="0" w:line="31" w:lineRule="exact"/>
        <w:rPr>
          <w:sz w:val="20"/>
          <w:szCs w:val="20"/>
          <w:color w:val="auto"/>
        </w:rPr>
      </w:pPr>
    </w:p>
    <w:p>
      <w:pPr>
        <w:jc w:val="both"/>
        <w:ind w:firstLine="524"/>
        <w:spacing w:after="0" w:line="248" w:lineRule="auto"/>
        <w:rPr>
          <w:sz w:val="20"/>
          <w:szCs w:val="20"/>
          <w:color w:val="auto"/>
        </w:rPr>
      </w:pPr>
      <w:r>
        <w:rPr>
          <w:rFonts w:ascii="Arial" w:cs="Arial" w:eastAsia="Arial" w:hAnsi="Arial"/>
          <w:sz w:val="13"/>
          <w:szCs w:val="13"/>
          <w:color w:val="auto"/>
        </w:rPr>
        <w:t>The pro forma financial information set forth below is based upon available information and assumptions that we believe are reasonable and is for illustrative purposes only. The financial results may have been different if the transactions described above had been completed sooner. You should not rely on the pro forma financial information as being indicative of the historical results that would have been achieved if these transactions and events had been completed as of January 1, 2019. The pro forma combined financial information below should be read in conjunction with the consolidated financial statements and related notes of the Company included elsewhere in this Annual Report on Form 10-K. All pro forma adjustments and their underlying assumptions are described more fully in the notes below.</w:t>
      </w:r>
    </w:p>
    <w:p>
      <w:pPr>
        <w:spacing w:after="0" w:line="6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Accounting Policies</w:t>
      </w:r>
    </w:p>
    <w:p>
      <w:pPr>
        <w:spacing w:after="0" w:line="63"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During the preparation of this pro forma combined financial statement, we assessed whether there were any material differences between the Company’s accounting policies and Mobile Mini’s accounting policies. The assessment performed did not identify any material differences and, as such, this pro forma combined financial statement does not adjust for or assume any differences in accounting policies between WillScot and Mobile Mini.</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Pro forma Presentation</w:t>
      </w:r>
    </w:p>
    <w:p>
      <w:pPr>
        <w:spacing w:after="0" w:line="63"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The following pro forma combined financial information and associated notes are based on the historical financial statement of WillScot and Mobile Mini as described below. In preparing the pro forma combined statement of operations for the year ended December 31, 2020, certain historical financial information for Mobile Mini was reclassified to align to the reporting classifications of WillScot.</w:t>
      </w:r>
    </w:p>
    <w:p>
      <w:pPr>
        <w:spacing w:after="0" w:line="33"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The pro forma combined statement of operations for the year ended December 31, 2020 is based on, derived from, and should be read in conjunction with, WillScot’s historical financial statement. The aforementioned pro forma financial statement is also based on, derived from, and should be read in conjunction with Mobile Mini's historical financial statement.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40" w:type="dxa"/>
            <w:vAlign w:val="bottom"/>
            <w:shd w:val="clear" w:color="auto" w:fill="1D2758"/>
          </w:tcPr>
          <w:p>
            <w:pPr>
              <w:spacing w:after="0"/>
              <w:rPr>
                <w:sz w:val="15"/>
                <w:szCs w:val="15"/>
                <w:color w:val="auto"/>
              </w:rPr>
            </w:pPr>
          </w:p>
        </w:tc>
        <w:tc>
          <w:tcPr>
            <w:tcW w:w="180" w:type="dxa"/>
            <w:vAlign w:val="bottom"/>
            <w:shd w:val="clear" w:color="auto" w:fill="1D2758"/>
          </w:tcPr>
          <w:p>
            <w:pPr>
              <w:spacing w:after="0"/>
              <w:rPr>
                <w:sz w:val="15"/>
                <w:szCs w:val="15"/>
                <w:color w:val="auto"/>
              </w:rPr>
            </w:pPr>
          </w:p>
        </w:tc>
        <w:tc>
          <w:tcPr>
            <w:tcW w:w="1540" w:type="dxa"/>
            <w:vAlign w:val="bottom"/>
            <w:shd w:val="clear" w:color="auto" w:fill="1D2758"/>
          </w:tcPr>
          <w:p>
            <w:pPr>
              <w:spacing w:after="0"/>
              <w:rPr>
                <w:sz w:val="15"/>
                <w:szCs w:val="15"/>
                <w:color w:val="auto"/>
              </w:rPr>
            </w:pPr>
          </w:p>
        </w:tc>
        <w:tc>
          <w:tcPr>
            <w:tcW w:w="100" w:type="dxa"/>
            <w:vAlign w:val="bottom"/>
            <w:shd w:val="clear" w:color="auto" w:fill="1D2758"/>
          </w:tcPr>
          <w:p>
            <w:pPr>
              <w:spacing w:after="0"/>
              <w:rPr>
                <w:sz w:val="15"/>
                <w:szCs w:val="15"/>
                <w:color w:val="auto"/>
              </w:rPr>
            </w:pPr>
          </w:p>
        </w:tc>
        <w:tc>
          <w:tcPr>
            <w:tcW w:w="280" w:type="dxa"/>
            <w:vAlign w:val="bottom"/>
            <w:shd w:val="clear" w:color="auto" w:fill="1D2758"/>
          </w:tcPr>
          <w:p>
            <w:pPr>
              <w:spacing w:after="0"/>
              <w:rPr>
                <w:sz w:val="15"/>
                <w:szCs w:val="15"/>
                <w:color w:val="auto"/>
              </w:rPr>
            </w:pPr>
          </w:p>
        </w:tc>
        <w:tc>
          <w:tcPr>
            <w:tcW w:w="3040" w:type="dxa"/>
            <w:vAlign w:val="bottom"/>
            <w:gridSpan w:val="5"/>
            <w:shd w:val="clear" w:color="auto" w:fill="1D2758"/>
          </w:tcPr>
          <w:p>
            <w:pPr>
              <w:ind w:left="200"/>
              <w:spacing w:after="0"/>
              <w:rPr>
                <w:sz w:val="20"/>
                <w:szCs w:val="20"/>
                <w:color w:val="auto"/>
              </w:rPr>
            </w:pPr>
            <w:r>
              <w:rPr>
                <w:rFonts w:ascii="Arial" w:cs="Arial" w:eastAsia="Arial" w:hAnsi="Arial"/>
                <w:sz w:val="13"/>
                <w:szCs w:val="13"/>
                <w:b w:val="1"/>
                <w:bCs w:val="1"/>
                <w:color w:val="FFFFFF"/>
              </w:rPr>
              <w:t>Year Ended December 31, 2020</w:t>
            </w:r>
          </w:p>
        </w:tc>
        <w:tc>
          <w:tcPr>
            <w:tcW w:w="420" w:type="dxa"/>
            <w:vAlign w:val="bottom"/>
            <w:shd w:val="clear" w:color="auto" w:fill="1D2758"/>
          </w:tcPr>
          <w:p>
            <w:pPr>
              <w:spacing w:after="0"/>
              <w:rPr>
                <w:sz w:val="15"/>
                <w:szCs w:val="15"/>
                <w:color w:val="auto"/>
              </w:rPr>
            </w:pPr>
          </w:p>
        </w:tc>
        <w:tc>
          <w:tcPr>
            <w:tcW w:w="980" w:type="dxa"/>
            <w:vAlign w:val="bottom"/>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740" w:type="dxa"/>
            <w:vAlign w:val="bottom"/>
            <w:vMerge w:val="restart"/>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180" w:type="dxa"/>
            <w:vAlign w:val="bottom"/>
            <w:shd w:val="clear" w:color="auto" w:fill="1D2758"/>
          </w:tcPr>
          <w:p>
            <w:pPr>
              <w:spacing w:after="0"/>
              <w:rPr>
                <w:sz w:val="11"/>
                <w:szCs w:val="11"/>
                <w:color w:val="auto"/>
              </w:rPr>
            </w:pPr>
          </w:p>
        </w:tc>
        <w:tc>
          <w:tcPr>
            <w:tcW w:w="1640" w:type="dxa"/>
            <w:vAlign w:val="bottom"/>
            <w:gridSpan w:val="2"/>
            <w:shd w:val="clear" w:color="auto" w:fill="1D2758"/>
          </w:tcPr>
          <w:p>
            <w:pPr>
              <w:jc w:val="center"/>
              <w:ind w:right="180"/>
              <w:spacing w:after="0" w:line="131" w:lineRule="exact"/>
              <w:rPr>
                <w:sz w:val="20"/>
                <w:szCs w:val="20"/>
                <w:color w:val="auto"/>
              </w:rPr>
            </w:pPr>
            <w:r>
              <w:rPr>
                <w:rFonts w:ascii="Arial" w:cs="Arial" w:eastAsia="Arial" w:hAnsi="Arial"/>
                <w:sz w:val="13"/>
                <w:szCs w:val="13"/>
                <w:b w:val="1"/>
                <w:bCs w:val="1"/>
                <w:color w:val="FFFFFF"/>
              </w:rPr>
              <w:t>WillScot Mobile Mini</w:t>
            </w:r>
          </w:p>
        </w:tc>
        <w:tc>
          <w:tcPr>
            <w:tcW w:w="1800" w:type="dxa"/>
            <w:vAlign w:val="bottom"/>
            <w:gridSpan w:val="3"/>
            <w:shd w:val="clear" w:color="auto" w:fill="1D2758"/>
          </w:tcPr>
          <w:p>
            <w:pPr>
              <w:ind w:left="60"/>
              <w:spacing w:after="0" w:line="131" w:lineRule="exact"/>
              <w:rPr>
                <w:sz w:val="20"/>
                <w:szCs w:val="20"/>
                <w:color w:val="auto"/>
              </w:rPr>
            </w:pPr>
            <w:r>
              <w:rPr>
                <w:rFonts w:ascii="Arial" w:cs="Arial" w:eastAsia="Arial" w:hAnsi="Arial"/>
                <w:sz w:val="13"/>
                <w:szCs w:val="13"/>
                <w:b w:val="1"/>
                <w:bCs w:val="1"/>
                <w:color w:val="FFFFFF"/>
              </w:rPr>
              <w:t>Historical Mobile Mini (as</w:t>
            </w:r>
          </w:p>
        </w:tc>
        <w:tc>
          <w:tcPr>
            <w:tcW w:w="200" w:type="dxa"/>
            <w:vAlign w:val="bottom"/>
            <w:shd w:val="clear" w:color="auto" w:fill="1D2758"/>
          </w:tcPr>
          <w:p>
            <w:pPr>
              <w:spacing w:after="0"/>
              <w:rPr>
                <w:sz w:val="11"/>
                <w:szCs w:val="11"/>
                <w:color w:val="auto"/>
              </w:rPr>
            </w:pPr>
          </w:p>
        </w:tc>
        <w:tc>
          <w:tcPr>
            <w:tcW w:w="1320" w:type="dxa"/>
            <w:vAlign w:val="bottom"/>
            <w:gridSpan w:val="2"/>
            <w:shd w:val="clear" w:color="auto" w:fill="1D2758"/>
          </w:tcPr>
          <w:p>
            <w:pPr>
              <w:jc w:val="center"/>
              <w:ind w:right="280"/>
              <w:spacing w:after="0" w:line="131" w:lineRule="exact"/>
              <w:rPr>
                <w:sz w:val="20"/>
                <w:szCs w:val="20"/>
                <w:color w:val="auto"/>
              </w:rPr>
            </w:pPr>
            <w:r>
              <w:rPr>
                <w:rFonts w:ascii="Arial" w:cs="Arial" w:eastAsia="Arial" w:hAnsi="Arial"/>
                <w:sz w:val="13"/>
                <w:szCs w:val="13"/>
                <w:b w:val="1"/>
                <w:bCs w:val="1"/>
                <w:color w:val="FFFFFF"/>
                <w:w w:val="98"/>
              </w:rPr>
              <w:t>Pro Forma</w:t>
            </w:r>
          </w:p>
        </w:tc>
        <w:tc>
          <w:tcPr>
            <w:tcW w:w="420" w:type="dxa"/>
            <w:vAlign w:val="bottom"/>
            <w:shd w:val="clear" w:color="auto" w:fill="1D2758"/>
          </w:tcPr>
          <w:p>
            <w:pPr>
              <w:spacing w:after="0"/>
              <w:rPr>
                <w:sz w:val="11"/>
                <w:szCs w:val="11"/>
                <w:color w:val="auto"/>
              </w:rPr>
            </w:pPr>
          </w:p>
        </w:tc>
        <w:tc>
          <w:tcPr>
            <w:tcW w:w="980" w:type="dxa"/>
            <w:vAlign w:val="bottom"/>
            <w:shd w:val="clear" w:color="auto" w:fill="1D2758"/>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740" w:type="dxa"/>
            <w:vAlign w:val="bottom"/>
            <w:vMerge w:val="continue"/>
            <w:shd w:val="clear" w:color="auto" w:fill="1D2758"/>
          </w:tcPr>
          <w:p>
            <w:pPr>
              <w:spacing w:after="0"/>
              <w:rPr>
                <w:sz w:val="8"/>
                <w:szCs w:val="8"/>
                <w:color w:val="auto"/>
              </w:rPr>
            </w:pPr>
          </w:p>
        </w:tc>
        <w:tc>
          <w:tcPr>
            <w:tcW w:w="180" w:type="dxa"/>
            <w:vAlign w:val="bottom"/>
            <w:shd w:val="clear" w:color="auto" w:fill="1D2758"/>
          </w:tcPr>
          <w:p>
            <w:pPr>
              <w:spacing w:after="0"/>
              <w:rPr>
                <w:sz w:val="8"/>
                <w:szCs w:val="8"/>
                <w:color w:val="auto"/>
              </w:rPr>
            </w:pPr>
          </w:p>
        </w:tc>
        <w:tc>
          <w:tcPr>
            <w:tcW w:w="1640" w:type="dxa"/>
            <w:vAlign w:val="bottom"/>
            <w:gridSpan w:val="2"/>
            <w:vMerge w:val="restart"/>
            <w:shd w:val="clear" w:color="auto" w:fill="1D2758"/>
          </w:tcPr>
          <w:p>
            <w:pPr>
              <w:jc w:val="center"/>
              <w:ind w:right="180"/>
              <w:spacing w:after="0"/>
              <w:rPr>
                <w:sz w:val="20"/>
                <w:szCs w:val="20"/>
                <w:color w:val="auto"/>
              </w:rPr>
            </w:pPr>
            <w:r>
              <w:rPr>
                <w:rFonts w:ascii="Arial" w:cs="Arial" w:eastAsia="Arial" w:hAnsi="Arial"/>
                <w:sz w:val="13"/>
                <w:szCs w:val="13"/>
                <w:b w:val="1"/>
                <w:bCs w:val="1"/>
                <w:color w:val="FFFFFF"/>
              </w:rPr>
              <w:t>Holdings Corp.</w:t>
            </w:r>
          </w:p>
        </w:tc>
        <w:tc>
          <w:tcPr>
            <w:tcW w:w="280" w:type="dxa"/>
            <w:vAlign w:val="bottom"/>
            <w:shd w:val="clear" w:color="auto" w:fill="1D2758"/>
          </w:tcPr>
          <w:p>
            <w:pPr>
              <w:spacing w:after="0"/>
              <w:rPr>
                <w:sz w:val="8"/>
                <w:szCs w:val="8"/>
                <w:color w:val="auto"/>
              </w:rPr>
            </w:pPr>
          </w:p>
        </w:tc>
        <w:tc>
          <w:tcPr>
            <w:tcW w:w="1520" w:type="dxa"/>
            <w:vAlign w:val="bottom"/>
            <w:gridSpan w:val="2"/>
            <w:vMerge w:val="restart"/>
            <w:shd w:val="clear" w:color="auto" w:fill="1D2758"/>
          </w:tcPr>
          <w:p>
            <w:pPr>
              <w:ind w:left="200"/>
              <w:spacing w:after="0"/>
              <w:rPr>
                <w:sz w:val="20"/>
                <w:szCs w:val="20"/>
                <w:color w:val="auto"/>
              </w:rPr>
            </w:pPr>
            <w:r>
              <w:rPr>
                <w:rFonts w:ascii="Arial" w:cs="Arial" w:eastAsia="Arial" w:hAnsi="Arial"/>
                <w:sz w:val="13"/>
                <w:szCs w:val="13"/>
                <w:b w:val="1"/>
                <w:bCs w:val="1"/>
                <w:color w:val="FFFFFF"/>
              </w:rPr>
              <w:t>reclassified)</w:t>
            </w:r>
          </w:p>
        </w:tc>
        <w:tc>
          <w:tcPr>
            <w:tcW w:w="200" w:type="dxa"/>
            <w:vAlign w:val="bottom"/>
            <w:shd w:val="clear" w:color="auto" w:fill="1D2758"/>
          </w:tcPr>
          <w:p>
            <w:pPr>
              <w:spacing w:after="0"/>
              <w:rPr>
                <w:sz w:val="8"/>
                <w:szCs w:val="8"/>
                <w:color w:val="auto"/>
              </w:rPr>
            </w:pPr>
          </w:p>
        </w:tc>
        <w:tc>
          <w:tcPr>
            <w:tcW w:w="1320" w:type="dxa"/>
            <w:vAlign w:val="bottom"/>
            <w:gridSpan w:val="2"/>
            <w:vMerge w:val="restart"/>
            <w:shd w:val="clear" w:color="auto" w:fill="1D2758"/>
          </w:tcPr>
          <w:p>
            <w:pPr>
              <w:jc w:val="center"/>
              <w:ind w:right="280"/>
              <w:spacing w:after="0"/>
              <w:rPr>
                <w:sz w:val="20"/>
                <w:szCs w:val="20"/>
                <w:color w:val="auto"/>
              </w:rPr>
            </w:pPr>
            <w:r>
              <w:rPr>
                <w:rFonts w:ascii="Arial" w:cs="Arial" w:eastAsia="Arial" w:hAnsi="Arial"/>
                <w:sz w:val="13"/>
                <w:szCs w:val="13"/>
                <w:b w:val="1"/>
                <w:bCs w:val="1"/>
                <w:color w:val="FFFFFF"/>
              </w:rPr>
              <w:t>Adjustments</w:t>
            </w:r>
          </w:p>
        </w:tc>
        <w:tc>
          <w:tcPr>
            <w:tcW w:w="1400" w:type="dxa"/>
            <w:vAlign w:val="bottom"/>
            <w:gridSpan w:val="2"/>
            <w:vMerge w:val="restart"/>
            <w:shd w:val="clear" w:color="auto" w:fill="1D2758"/>
          </w:tcPr>
          <w:p>
            <w:pPr>
              <w:jc w:val="right"/>
              <w:spacing w:after="0"/>
              <w:rPr>
                <w:sz w:val="20"/>
                <w:szCs w:val="20"/>
                <w:color w:val="auto"/>
              </w:rPr>
            </w:pPr>
            <w:r>
              <w:rPr>
                <w:rFonts w:ascii="Arial" w:cs="Arial" w:eastAsia="Arial" w:hAnsi="Arial"/>
                <w:sz w:val="13"/>
                <w:szCs w:val="13"/>
                <w:b w:val="1"/>
                <w:bCs w:val="1"/>
                <w:color w:val="FFFFFF"/>
              </w:rPr>
              <w:t>Pro Forma Combined</w:t>
            </w:r>
          </w:p>
        </w:tc>
        <w:tc>
          <w:tcPr>
            <w:tcW w:w="0" w:type="dxa"/>
            <w:vAlign w:val="bottom"/>
          </w:tcPr>
          <w:p>
            <w:pPr>
              <w:spacing w:after="0"/>
              <w:rPr>
                <w:sz w:val="1"/>
                <w:szCs w:val="1"/>
                <w:color w:val="auto"/>
              </w:rPr>
            </w:pPr>
          </w:p>
        </w:tc>
      </w:tr>
      <w:tr>
        <w:trPr>
          <w:trHeight w:val="82"/>
        </w:trPr>
        <w:tc>
          <w:tcPr>
            <w:tcW w:w="4740" w:type="dxa"/>
            <w:vAlign w:val="bottom"/>
            <w:shd w:val="clear" w:color="auto" w:fill="1D2758"/>
          </w:tcPr>
          <w:p>
            <w:pPr>
              <w:spacing w:after="0"/>
              <w:rPr>
                <w:sz w:val="7"/>
                <w:szCs w:val="7"/>
                <w:color w:val="auto"/>
              </w:rPr>
            </w:pPr>
          </w:p>
        </w:tc>
        <w:tc>
          <w:tcPr>
            <w:tcW w:w="180" w:type="dxa"/>
            <w:vAlign w:val="bottom"/>
            <w:shd w:val="clear" w:color="auto" w:fill="1D2758"/>
          </w:tcPr>
          <w:p>
            <w:pPr>
              <w:spacing w:after="0"/>
              <w:rPr>
                <w:sz w:val="7"/>
                <w:szCs w:val="7"/>
                <w:color w:val="auto"/>
              </w:rPr>
            </w:pPr>
          </w:p>
        </w:tc>
        <w:tc>
          <w:tcPr>
            <w:tcW w:w="1640" w:type="dxa"/>
            <w:vAlign w:val="bottom"/>
            <w:gridSpan w:val="2"/>
            <w:vMerge w:val="continue"/>
            <w:shd w:val="clear" w:color="auto" w:fill="1D2758"/>
          </w:tcPr>
          <w:p>
            <w:pPr>
              <w:spacing w:after="0"/>
              <w:rPr>
                <w:sz w:val="7"/>
                <w:szCs w:val="7"/>
                <w:color w:val="auto"/>
              </w:rPr>
            </w:pPr>
          </w:p>
        </w:tc>
        <w:tc>
          <w:tcPr>
            <w:tcW w:w="280" w:type="dxa"/>
            <w:vAlign w:val="bottom"/>
            <w:shd w:val="clear" w:color="auto" w:fill="1D2758"/>
          </w:tcPr>
          <w:p>
            <w:pPr>
              <w:spacing w:after="0"/>
              <w:rPr>
                <w:sz w:val="7"/>
                <w:szCs w:val="7"/>
                <w:color w:val="auto"/>
              </w:rPr>
            </w:pPr>
          </w:p>
        </w:tc>
        <w:tc>
          <w:tcPr>
            <w:tcW w:w="1520" w:type="dxa"/>
            <w:vAlign w:val="bottom"/>
            <w:gridSpan w:val="2"/>
            <w:vMerge w:val="continue"/>
            <w:shd w:val="clear" w:color="auto" w:fill="1D2758"/>
          </w:tcPr>
          <w:p>
            <w:pPr>
              <w:spacing w:after="0"/>
              <w:rPr>
                <w:sz w:val="7"/>
                <w:szCs w:val="7"/>
                <w:color w:val="auto"/>
              </w:rPr>
            </w:pPr>
          </w:p>
        </w:tc>
        <w:tc>
          <w:tcPr>
            <w:tcW w:w="200" w:type="dxa"/>
            <w:vAlign w:val="bottom"/>
            <w:shd w:val="clear" w:color="auto" w:fill="1D2758"/>
          </w:tcPr>
          <w:p>
            <w:pPr>
              <w:spacing w:after="0"/>
              <w:rPr>
                <w:sz w:val="7"/>
                <w:szCs w:val="7"/>
                <w:color w:val="auto"/>
              </w:rPr>
            </w:pPr>
          </w:p>
        </w:tc>
        <w:tc>
          <w:tcPr>
            <w:tcW w:w="1320" w:type="dxa"/>
            <w:vAlign w:val="bottom"/>
            <w:gridSpan w:val="2"/>
            <w:vMerge w:val="continue"/>
            <w:shd w:val="clear" w:color="auto" w:fill="1D2758"/>
          </w:tcPr>
          <w:p>
            <w:pPr>
              <w:spacing w:after="0"/>
              <w:rPr>
                <w:sz w:val="7"/>
                <w:szCs w:val="7"/>
                <w:color w:val="auto"/>
              </w:rPr>
            </w:pPr>
          </w:p>
        </w:tc>
        <w:tc>
          <w:tcPr>
            <w:tcW w:w="1400" w:type="dxa"/>
            <w:vAlign w:val="bottom"/>
            <w:gridSpan w:val="2"/>
            <w:vMerge w:val="continue"/>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4740" w:type="dxa"/>
            <w:vAlign w:val="bottom"/>
            <w:shd w:val="clear" w:color="auto" w:fill="DBDBDB"/>
          </w:tcPr>
          <w:p>
            <w:pPr>
              <w:ind w:left="20"/>
              <w:spacing w:after="0"/>
              <w:rPr>
                <w:sz w:val="20"/>
                <w:szCs w:val="20"/>
                <w:color w:val="auto"/>
              </w:rPr>
            </w:pPr>
            <w:r>
              <w:rPr>
                <w:rFonts w:ascii="Arial" w:cs="Arial" w:eastAsia="Arial" w:hAnsi="Arial"/>
                <w:sz w:val="13"/>
                <w:szCs w:val="13"/>
                <w:color w:val="auto"/>
              </w:rPr>
              <w:t>Revenues:</w:t>
            </w:r>
          </w:p>
        </w:tc>
        <w:tc>
          <w:tcPr>
            <w:tcW w:w="180" w:type="dxa"/>
            <w:vAlign w:val="bottom"/>
            <w:shd w:val="clear" w:color="auto" w:fill="DBDBDB"/>
          </w:tcPr>
          <w:p>
            <w:pPr>
              <w:spacing w:after="0"/>
              <w:rPr>
                <w:sz w:val="15"/>
                <w:szCs w:val="15"/>
                <w:color w:val="auto"/>
              </w:rPr>
            </w:pPr>
          </w:p>
        </w:tc>
        <w:tc>
          <w:tcPr>
            <w:tcW w:w="15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4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2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740" w:type="dxa"/>
            <w:vAlign w:val="bottom"/>
          </w:tcPr>
          <w:p>
            <w:pPr>
              <w:ind w:left="200"/>
              <w:spacing w:after="0"/>
              <w:rPr>
                <w:sz w:val="20"/>
                <w:szCs w:val="20"/>
                <w:color w:val="auto"/>
              </w:rPr>
            </w:pPr>
            <w:r>
              <w:rPr>
                <w:rFonts w:ascii="Arial" w:cs="Arial" w:eastAsia="Arial" w:hAnsi="Arial"/>
                <w:sz w:val="13"/>
                <w:szCs w:val="13"/>
                <w:color w:val="auto"/>
              </w:rPr>
              <w:t>Leasing and services revenue:</w:t>
            </w: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740" w:type="dxa"/>
            <w:vAlign w:val="bottom"/>
            <w:shd w:val="clear" w:color="auto" w:fill="DBDBDB"/>
          </w:tcPr>
          <w:p>
            <w:pPr>
              <w:ind w:left="380"/>
              <w:spacing w:after="0"/>
              <w:rPr>
                <w:sz w:val="20"/>
                <w:szCs w:val="20"/>
                <w:color w:val="auto"/>
              </w:rPr>
            </w:pPr>
            <w:r>
              <w:rPr>
                <w:rFonts w:ascii="Arial" w:cs="Arial" w:eastAsia="Arial" w:hAnsi="Arial"/>
                <w:sz w:val="13"/>
                <w:szCs w:val="13"/>
                <w:color w:val="auto"/>
              </w:rPr>
              <w:t>Leasing</w:t>
            </w:r>
          </w:p>
        </w:tc>
        <w:tc>
          <w:tcPr>
            <w:tcW w:w="180" w:type="dxa"/>
            <w:vAlign w:val="bottom"/>
            <w:shd w:val="clear" w:color="auto" w:fill="DBDBDB"/>
          </w:tcPr>
          <w:p>
            <w:pPr>
              <w:jc w:val="right"/>
              <w:ind w:right="14"/>
              <w:spacing w:after="0"/>
              <w:rPr>
                <w:sz w:val="20"/>
                <w:szCs w:val="20"/>
                <w:color w:val="auto"/>
              </w:rPr>
            </w:pPr>
            <w:r>
              <w:rPr>
                <w:rFonts w:ascii="Arial" w:cs="Arial" w:eastAsia="Arial" w:hAnsi="Arial"/>
                <w:sz w:val="13"/>
                <w:szCs w:val="13"/>
                <w:color w:val="auto"/>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1,001,447</w:t>
            </w:r>
          </w:p>
        </w:tc>
        <w:tc>
          <w:tcPr>
            <w:tcW w:w="100" w:type="dxa"/>
            <w:vAlign w:val="bottom"/>
            <w:shd w:val="clear" w:color="auto" w:fill="DBDBDB"/>
          </w:tcPr>
          <w:p>
            <w:pPr>
              <w:spacing w:after="0"/>
              <w:rPr>
                <w:sz w:val="15"/>
                <w:szCs w:val="15"/>
                <w:color w:val="auto"/>
              </w:rPr>
            </w:pPr>
          </w:p>
        </w:tc>
        <w:tc>
          <w:tcPr>
            <w:tcW w:w="28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w w:val="82"/>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208,374</w:t>
            </w: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jc w:val="right"/>
              <w:ind w:right="34"/>
              <w:spacing w:after="0"/>
              <w:rPr>
                <w:sz w:val="20"/>
                <w:szCs w:val="20"/>
                <w:color w:val="auto"/>
              </w:rPr>
            </w:pPr>
            <w:r>
              <w:rPr>
                <w:rFonts w:ascii="Arial" w:cs="Arial" w:eastAsia="Arial" w:hAnsi="Arial"/>
                <w:sz w:val="13"/>
                <w:szCs w:val="13"/>
                <w:color w:val="auto"/>
              </w:rPr>
              <w:t>$</w:t>
            </w:r>
          </w:p>
        </w:tc>
        <w:tc>
          <w:tcPr>
            <w:tcW w:w="13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shd w:val="clear" w:color="auto" w:fill="DBDBDB"/>
          </w:tcPr>
          <w:p>
            <w:pPr>
              <w:jc w:val="right"/>
              <w:ind w:right="274"/>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1,209,821</w:t>
            </w:r>
          </w:p>
        </w:tc>
        <w:tc>
          <w:tcPr>
            <w:tcW w:w="0" w:type="dxa"/>
            <w:vAlign w:val="bottom"/>
          </w:tcPr>
          <w:p>
            <w:pPr>
              <w:spacing w:after="0"/>
              <w:rPr>
                <w:sz w:val="1"/>
                <w:szCs w:val="1"/>
                <w:color w:val="auto"/>
              </w:rPr>
            </w:pPr>
          </w:p>
        </w:tc>
      </w:tr>
      <w:tr>
        <w:trPr>
          <w:trHeight w:val="172"/>
        </w:trPr>
        <w:tc>
          <w:tcPr>
            <w:tcW w:w="4740" w:type="dxa"/>
            <w:vAlign w:val="bottom"/>
          </w:tcPr>
          <w:p>
            <w:pPr>
              <w:ind w:left="380"/>
              <w:spacing w:after="0"/>
              <w:rPr>
                <w:sz w:val="20"/>
                <w:szCs w:val="20"/>
                <w:color w:val="auto"/>
              </w:rPr>
            </w:pPr>
            <w:r>
              <w:rPr>
                <w:rFonts w:ascii="Arial" w:cs="Arial" w:eastAsia="Arial" w:hAnsi="Arial"/>
                <w:sz w:val="13"/>
                <w:szCs w:val="13"/>
                <w:color w:val="auto"/>
              </w:rPr>
              <w:t>Delivery and installation</w:t>
            </w:r>
          </w:p>
        </w:tc>
        <w:tc>
          <w:tcPr>
            <w:tcW w:w="1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274,156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59,999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334,155</w:t>
            </w:r>
          </w:p>
        </w:tc>
        <w:tc>
          <w:tcPr>
            <w:tcW w:w="0" w:type="dxa"/>
            <w:vAlign w:val="bottom"/>
          </w:tcPr>
          <w:p>
            <w:pPr>
              <w:spacing w:after="0"/>
              <w:rPr>
                <w:sz w:val="1"/>
                <w:szCs w:val="1"/>
                <w:color w:val="auto"/>
              </w:rPr>
            </w:pPr>
          </w:p>
        </w:tc>
      </w:tr>
      <w:tr>
        <w:trPr>
          <w:trHeight w:val="178"/>
        </w:trPr>
        <w:tc>
          <w:tcPr>
            <w:tcW w:w="47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Sales revenue:</w:t>
            </w:r>
          </w:p>
        </w:tc>
        <w:tc>
          <w:tcPr>
            <w:tcW w:w="180" w:type="dxa"/>
            <w:vAlign w:val="bottom"/>
            <w:shd w:val="clear" w:color="auto" w:fill="DBDBDB"/>
          </w:tcPr>
          <w:p>
            <w:pPr>
              <w:spacing w:after="0"/>
              <w:rPr>
                <w:sz w:val="15"/>
                <w:szCs w:val="15"/>
                <w:color w:val="auto"/>
              </w:rPr>
            </w:pPr>
          </w:p>
        </w:tc>
        <w:tc>
          <w:tcPr>
            <w:tcW w:w="15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4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2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740" w:type="dxa"/>
            <w:vAlign w:val="bottom"/>
          </w:tcPr>
          <w:p>
            <w:pPr>
              <w:ind w:left="380"/>
              <w:spacing w:after="0"/>
              <w:rPr>
                <w:sz w:val="20"/>
                <w:szCs w:val="20"/>
                <w:color w:val="auto"/>
              </w:rPr>
            </w:pPr>
            <w:r>
              <w:rPr>
                <w:rFonts w:ascii="Arial" w:cs="Arial" w:eastAsia="Arial" w:hAnsi="Arial"/>
                <w:sz w:val="13"/>
                <w:szCs w:val="13"/>
                <w:color w:val="auto"/>
              </w:rPr>
              <w:t>New units</w:t>
            </w:r>
          </w:p>
        </w:tc>
        <w:tc>
          <w:tcPr>
            <w:tcW w:w="1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53,093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8,402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61,495</w:t>
            </w:r>
          </w:p>
        </w:tc>
        <w:tc>
          <w:tcPr>
            <w:tcW w:w="0" w:type="dxa"/>
            <w:vAlign w:val="bottom"/>
          </w:tcPr>
          <w:p>
            <w:pPr>
              <w:spacing w:after="0"/>
              <w:rPr>
                <w:sz w:val="1"/>
                <w:szCs w:val="1"/>
                <w:color w:val="auto"/>
              </w:rPr>
            </w:pPr>
          </w:p>
        </w:tc>
      </w:tr>
      <w:tr>
        <w:trPr>
          <w:trHeight w:val="175"/>
        </w:trPr>
        <w:tc>
          <w:tcPr>
            <w:tcW w:w="4740" w:type="dxa"/>
            <w:vAlign w:val="bottom"/>
            <w:shd w:val="clear" w:color="auto" w:fill="DBDBDB"/>
          </w:tcPr>
          <w:p>
            <w:pPr>
              <w:ind w:left="380"/>
              <w:spacing w:after="0"/>
              <w:rPr>
                <w:sz w:val="20"/>
                <w:szCs w:val="20"/>
                <w:color w:val="auto"/>
              </w:rPr>
            </w:pPr>
            <w:r>
              <w:rPr>
                <w:rFonts w:ascii="Arial" w:cs="Arial" w:eastAsia="Arial" w:hAnsi="Arial"/>
                <w:sz w:val="13"/>
                <w:szCs w:val="13"/>
                <w:color w:val="auto"/>
              </w:rPr>
              <w:t>Rental units</w:t>
            </w:r>
          </w:p>
        </w:tc>
        <w:tc>
          <w:tcPr>
            <w:tcW w:w="180" w:type="dxa"/>
            <w:vAlign w:val="bottom"/>
            <w:tcBorders>
              <w:bottom w:val="single" w:sz="8" w:color="auto"/>
            </w:tcBorders>
            <w:shd w:val="clear" w:color="auto" w:fill="DBDBDB"/>
          </w:tcPr>
          <w:p>
            <w:pPr>
              <w:spacing w:after="0"/>
              <w:rPr>
                <w:sz w:val="15"/>
                <w:szCs w:val="15"/>
                <w:color w:val="auto"/>
              </w:rPr>
            </w:pP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38,949</w:t>
            </w:r>
          </w:p>
        </w:tc>
        <w:tc>
          <w:tcPr>
            <w:tcW w:w="100" w:type="dxa"/>
            <w:vAlign w:val="bottom"/>
            <w:shd w:val="clear" w:color="auto" w:fill="DBDBDB"/>
          </w:tcPr>
          <w:p>
            <w:pPr>
              <w:spacing w:after="0"/>
              <w:rPr>
                <w:sz w:val="15"/>
                <w:szCs w:val="15"/>
                <w:color w:val="auto"/>
              </w:rPr>
            </w:pPr>
          </w:p>
        </w:tc>
        <w:tc>
          <w:tcPr>
            <w:tcW w:w="280" w:type="dxa"/>
            <w:vAlign w:val="bottom"/>
            <w:tcBorders>
              <w:bottom w:val="single" w:sz="8" w:color="auto"/>
            </w:tcBorders>
            <w:shd w:val="clear" w:color="auto" w:fill="DBDBDB"/>
          </w:tcPr>
          <w:p>
            <w:pPr>
              <w:spacing w:after="0"/>
              <w:rPr>
                <w:sz w:val="15"/>
                <w:szCs w:val="15"/>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7,465</w:t>
            </w:r>
          </w:p>
        </w:tc>
        <w:tc>
          <w:tcPr>
            <w:tcW w:w="80" w:type="dxa"/>
            <w:vAlign w:val="bottom"/>
            <w:shd w:val="clear" w:color="auto" w:fill="DBDBDB"/>
          </w:tcPr>
          <w:p>
            <w:pPr>
              <w:spacing w:after="0"/>
              <w:rPr>
                <w:sz w:val="15"/>
                <w:szCs w:val="15"/>
                <w:color w:val="auto"/>
              </w:rPr>
            </w:pPr>
          </w:p>
        </w:tc>
        <w:tc>
          <w:tcPr>
            <w:tcW w:w="200" w:type="dxa"/>
            <w:vAlign w:val="bottom"/>
            <w:tcBorders>
              <w:bottom w:val="single" w:sz="8" w:color="auto"/>
            </w:tcBorders>
            <w:shd w:val="clear" w:color="auto" w:fill="DBDBDB"/>
          </w:tcPr>
          <w:p>
            <w:pPr>
              <w:spacing w:after="0"/>
              <w:rPr>
                <w:sz w:val="15"/>
                <w:szCs w:val="15"/>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5"/>
                <w:szCs w:val="15"/>
                <w:color w:val="auto"/>
              </w:rPr>
            </w:pPr>
          </w:p>
        </w:tc>
        <w:tc>
          <w:tcPr>
            <w:tcW w:w="42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46,414</w:t>
            </w:r>
          </w:p>
        </w:tc>
        <w:tc>
          <w:tcPr>
            <w:tcW w:w="0" w:type="dxa"/>
            <w:vAlign w:val="bottom"/>
          </w:tcPr>
          <w:p>
            <w:pPr>
              <w:spacing w:after="0"/>
              <w:rPr>
                <w:sz w:val="1"/>
                <w:szCs w:val="1"/>
                <w:color w:val="auto"/>
              </w:rPr>
            </w:pPr>
          </w:p>
        </w:tc>
      </w:tr>
      <w:tr>
        <w:trPr>
          <w:trHeight w:val="166"/>
        </w:trPr>
        <w:tc>
          <w:tcPr>
            <w:tcW w:w="4740" w:type="dxa"/>
            <w:vAlign w:val="bottom"/>
          </w:tcPr>
          <w:p>
            <w:pPr>
              <w:ind w:left="540"/>
              <w:spacing w:after="0"/>
              <w:rPr>
                <w:sz w:val="20"/>
                <w:szCs w:val="20"/>
                <w:color w:val="auto"/>
              </w:rPr>
            </w:pPr>
            <w:r>
              <w:rPr>
                <w:rFonts w:ascii="Arial" w:cs="Arial" w:eastAsia="Arial" w:hAnsi="Arial"/>
                <w:sz w:val="13"/>
                <w:szCs w:val="13"/>
                <w:color w:val="auto"/>
              </w:rPr>
              <w:t>Total revenues</w:t>
            </w:r>
          </w:p>
        </w:tc>
        <w:tc>
          <w:tcPr>
            <w:tcW w:w="1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1,367,645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284,240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1,651,885</w:t>
            </w:r>
          </w:p>
        </w:tc>
        <w:tc>
          <w:tcPr>
            <w:tcW w:w="0" w:type="dxa"/>
            <w:vAlign w:val="bottom"/>
          </w:tcPr>
          <w:p>
            <w:pPr>
              <w:spacing w:after="0"/>
              <w:rPr>
                <w:sz w:val="1"/>
                <w:szCs w:val="1"/>
                <w:color w:val="auto"/>
              </w:rPr>
            </w:pPr>
          </w:p>
        </w:tc>
      </w:tr>
      <w:tr>
        <w:trPr>
          <w:trHeight w:val="178"/>
        </w:trPr>
        <w:tc>
          <w:tcPr>
            <w:tcW w:w="4740" w:type="dxa"/>
            <w:vAlign w:val="bottom"/>
            <w:shd w:val="clear" w:color="auto" w:fill="DBDBDB"/>
          </w:tcPr>
          <w:p>
            <w:pPr>
              <w:ind w:left="20"/>
              <w:spacing w:after="0"/>
              <w:rPr>
                <w:sz w:val="20"/>
                <w:szCs w:val="20"/>
                <w:color w:val="auto"/>
              </w:rPr>
            </w:pPr>
            <w:r>
              <w:rPr>
                <w:rFonts w:ascii="Arial" w:cs="Arial" w:eastAsia="Arial" w:hAnsi="Arial"/>
                <w:sz w:val="13"/>
                <w:szCs w:val="13"/>
                <w:color w:val="auto"/>
              </w:rPr>
              <w:t>Costs:</w:t>
            </w:r>
          </w:p>
        </w:tc>
        <w:tc>
          <w:tcPr>
            <w:tcW w:w="180" w:type="dxa"/>
            <w:vAlign w:val="bottom"/>
            <w:shd w:val="clear" w:color="auto" w:fill="DBDBDB"/>
          </w:tcPr>
          <w:p>
            <w:pPr>
              <w:spacing w:after="0"/>
              <w:rPr>
                <w:sz w:val="15"/>
                <w:szCs w:val="15"/>
                <w:color w:val="auto"/>
              </w:rPr>
            </w:pPr>
          </w:p>
        </w:tc>
        <w:tc>
          <w:tcPr>
            <w:tcW w:w="15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4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2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740" w:type="dxa"/>
            <w:vAlign w:val="bottom"/>
          </w:tcPr>
          <w:p>
            <w:pPr>
              <w:ind w:left="200"/>
              <w:spacing w:after="0"/>
              <w:rPr>
                <w:sz w:val="20"/>
                <w:szCs w:val="20"/>
                <w:color w:val="auto"/>
              </w:rPr>
            </w:pPr>
            <w:r>
              <w:rPr>
                <w:rFonts w:ascii="Arial" w:cs="Arial" w:eastAsia="Arial" w:hAnsi="Arial"/>
                <w:sz w:val="13"/>
                <w:szCs w:val="13"/>
                <w:color w:val="auto"/>
              </w:rPr>
              <w:t>Costs of leasing and services:</w:t>
            </w: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740" w:type="dxa"/>
            <w:vAlign w:val="bottom"/>
            <w:shd w:val="clear" w:color="auto" w:fill="DBDBDB"/>
          </w:tcPr>
          <w:p>
            <w:pPr>
              <w:ind w:left="380"/>
              <w:spacing w:after="0"/>
              <w:rPr>
                <w:sz w:val="20"/>
                <w:szCs w:val="20"/>
                <w:color w:val="auto"/>
              </w:rPr>
            </w:pPr>
            <w:r>
              <w:rPr>
                <w:rFonts w:ascii="Arial" w:cs="Arial" w:eastAsia="Arial" w:hAnsi="Arial"/>
                <w:sz w:val="13"/>
                <w:szCs w:val="13"/>
                <w:color w:val="auto"/>
              </w:rPr>
              <w:t>Leasing</w:t>
            </w:r>
          </w:p>
        </w:tc>
        <w:tc>
          <w:tcPr>
            <w:tcW w:w="180" w:type="dxa"/>
            <w:vAlign w:val="bottom"/>
            <w:shd w:val="clear" w:color="auto" w:fill="DBDBDB"/>
          </w:tcPr>
          <w:p>
            <w:pPr>
              <w:spacing w:after="0"/>
              <w:rPr>
                <w:sz w:val="15"/>
                <w:szCs w:val="15"/>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227,376</w:t>
            </w:r>
          </w:p>
        </w:tc>
        <w:tc>
          <w:tcPr>
            <w:tcW w:w="10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28,584</w:t>
            </w: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3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shd w:val="clear" w:color="auto" w:fill="DBDBDB"/>
          </w:tcPr>
          <w:p>
            <w:pPr>
              <w:spacing w:after="0"/>
              <w:rPr>
                <w:sz w:val="15"/>
                <w:szCs w:val="15"/>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255,960</w:t>
            </w:r>
          </w:p>
        </w:tc>
        <w:tc>
          <w:tcPr>
            <w:tcW w:w="0" w:type="dxa"/>
            <w:vAlign w:val="bottom"/>
          </w:tcPr>
          <w:p>
            <w:pPr>
              <w:spacing w:after="0"/>
              <w:rPr>
                <w:sz w:val="1"/>
                <w:szCs w:val="1"/>
                <w:color w:val="auto"/>
              </w:rPr>
            </w:pPr>
          </w:p>
        </w:tc>
      </w:tr>
      <w:tr>
        <w:trPr>
          <w:trHeight w:val="172"/>
        </w:trPr>
        <w:tc>
          <w:tcPr>
            <w:tcW w:w="4740" w:type="dxa"/>
            <w:vAlign w:val="bottom"/>
          </w:tcPr>
          <w:p>
            <w:pPr>
              <w:ind w:left="380"/>
              <w:spacing w:after="0"/>
              <w:rPr>
                <w:sz w:val="20"/>
                <w:szCs w:val="20"/>
                <w:color w:val="auto"/>
              </w:rPr>
            </w:pPr>
            <w:r>
              <w:rPr>
                <w:rFonts w:ascii="Arial" w:cs="Arial" w:eastAsia="Arial" w:hAnsi="Arial"/>
                <w:sz w:val="13"/>
                <w:szCs w:val="13"/>
                <w:color w:val="auto"/>
              </w:rPr>
              <w:t>Delivery and installation</w:t>
            </w:r>
          </w:p>
        </w:tc>
        <w:tc>
          <w:tcPr>
            <w:tcW w:w="1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220,102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42,476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262,578</w:t>
            </w:r>
          </w:p>
        </w:tc>
        <w:tc>
          <w:tcPr>
            <w:tcW w:w="0" w:type="dxa"/>
            <w:vAlign w:val="bottom"/>
          </w:tcPr>
          <w:p>
            <w:pPr>
              <w:spacing w:after="0"/>
              <w:rPr>
                <w:sz w:val="1"/>
                <w:szCs w:val="1"/>
                <w:color w:val="auto"/>
              </w:rPr>
            </w:pPr>
          </w:p>
        </w:tc>
      </w:tr>
      <w:tr>
        <w:trPr>
          <w:trHeight w:val="178"/>
        </w:trPr>
        <w:tc>
          <w:tcPr>
            <w:tcW w:w="47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Costs of sales:</w:t>
            </w:r>
          </w:p>
        </w:tc>
        <w:tc>
          <w:tcPr>
            <w:tcW w:w="180" w:type="dxa"/>
            <w:vAlign w:val="bottom"/>
            <w:shd w:val="clear" w:color="auto" w:fill="DBDBDB"/>
          </w:tcPr>
          <w:p>
            <w:pPr>
              <w:spacing w:after="0"/>
              <w:rPr>
                <w:sz w:val="15"/>
                <w:szCs w:val="15"/>
                <w:color w:val="auto"/>
              </w:rPr>
            </w:pPr>
          </w:p>
        </w:tc>
        <w:tc>
          <w:tcPr>
            <w:tcW w:w="15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4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2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740" w:type="dxa"/>
            <w:vAlign w:val="bottom"/>
          </w:tcPr>
          <w:p>
            <w:pPr>
              <w:ind w:left="380"/>
              <w:spacing w:after="0"/>
              <w:rPr>
                <w:sz w:val="20"/>
                <w:szCs w:val="20"/>
                <w:color w:val="auto"/>
              </w:rPr>
            </w:pPr>
            <w:r>
              <w:rPr>
                <w:rFonts w:ascii="Arial" w:cs="Arial" w:eastAsia="Arial" w:hAnsi="Arial"/>
                <w:sz w:val="13"/>
                <w:szCs w:val="13"/>
                <w:color w:val="auto"/>
              </w:rPr>
              <w:t>New units</w:t>
            </w:r>
          </w:p>
        </w:tc>
        <w:tc>
          <w:tcPr>
            <w:tcW w:w="1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34,841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5,457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40,298</w:t>
            </w:r>
          </w:p>
        </w:tc>
        <w:tc>
          <w:tcPr>
            <w:tcW w:w="0" w:type="dxa"/>
            <w:vAlign w:val="bottom"/>
          </w:tcPr>
          <w:p>
            <w:pPr>
              <w:spacing w:after="0"/>
              <w:rPr>
                <w:sz w:val="1"/>
                <w:szCs w:val="1"/>
                <w:color w:val="auto"/>
              </w:rPr>
            </w:pPr>
          </w:p>
        </w:tc>
      </w:tr>
      <w:tr>
        <w:trPr>
          <w:trHeight w:val="178"/>
        </w:trPr>
        <w:tc>
          <w:tcPr>
            <w:tcW w:w="4740" w:type="dxa"/>
            <w:vAlign w:val="bottom"/>
            <w:shd w:val="clear" w:color="auto" w:fill="DBDBDB"/>
          </w:tcPr>
          <w:p>
            <w:pPr>
              <w:ind w:left="380"/>
              <w:spacing w:after="0"/>
              <w:rPr>
                <w:sz w:val="20"/>
                <w:szCs w:val="20"/>
                <w:color w:val="auto"/>
              </w:rPr>
            </w:pPr>
            <w:r>
              <w:rPr>
                <w:rFonts w:ascii="Arial" w:cs="Arial" w:eastAsia="Arial" w:hAnsi="Arial"/>
                <w:sz w:val="13"/>
                <w:szCs w:val="13"/>
                <w:color w:val="auto"/>
              </w:rPr>
              <w:t>Rental units</w:t>
            </w:r>
          </w:p>
        </w:tc>
        <w:tc>
          <w:tcPr>
            <w:tcW w:w="180" w:type="dxa"/>
            <w:vAlign w:val="bottom"/>
            <w:shd w:val="clear" w:color="auto" w:fill="DBDBDB"/>
          </w:tcPr>
          <w:p>
            <w:pPr>
              <w:spacing w:after="0"/>
              <w:rPr>
                <w:sz w:val="15"/>
                <w:szCs w:val="15"/>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24,772</w:t>
            </w:r>
          </w:p>
        </w:tc>
        <w:tc>
          <w:tcPr>
            <w:tcW w:w="10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4,625</w:t>
            </w: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3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shd w:val="clear" w:color="auto" w:fill="DBDBDB"/>
          </w:tcPr>
          <w:p>
            <w:pPr>
              <w:spacing w:after="0"/>
              <w:rPr>
                <w:sz w:val="15"/>
                <w:szCs w:val="15"/>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29,397</w:t>
            </w:r>
          </w:p>
        </w:tc>
        <w:tc>
          <w:tcPr>
            <w:tcW w:w="0" w:type="dxa"/>
            <w:vAlign w:val="bottom"/>
          </w:tcPr>
          <w:p>
            <w:pPr>
              <w:spacing w:after="0"/>
              <w:rPr>
                <w:sz w:val="1"/>
                <w:szCs w:val="1"/>
                <w:color w:val="auto"/>
              </w:rPr>
            </w:pPr>
          </w:p>
        </w:tc>
      </w:tr>
      <w:tr>
        <w:trPr>
          <w:trHeight w:val="172"/>
        </w:trPr>
        <w:tc>
          <w:tcPr>
            <w:tcW w:w="4740" w:type="dxa"/>
            <w:vAlign w:val="bottom"/>
            <w:tcBorders>
              <w:bottom w:val="single" w:sz="8" w:color="DBDBDB"/>
            </w:tcBorders>
          </w:tcPr>
          <w:p>
            <w:pPr>
              <w:ind w:left="200"/>
              <w:spacing w:after="0"/>
              <w:rPr>
                <w:sz w:val="20"/>
                <w:szCs w:val="20"/>
                <w:color w:val="auto"/>
              </w:rPr>
            </w:pPr>
            <w:r>
              <w:rPr>
                <w:rFonts w:ascii="Arial" w:cs="Arial" w:eastAsia="Arial" w:hAnsi="Arial"/>
                <w:sz w:val="13"/>
                <w:szCs w:val="13"/>
                <w:color w:val="auto"/>
              </w:rPr>
              <w:t>Depreciation of rental equipment (b)</w:t>
            </w: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200,581</w:t>
            </w:r>
          </w:p>
        </w:tc>
        <w:tc>
          <w:tcPr>
            <w:tcW w:w="100" w:type="dxa"/>
            <w:vAlign w:val="bottom"/>
            <w:tcBorders>
              <w:bottom w:val="single" w:sz="8" w:color="DBDBDB"/>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15,360</w:t>
            </w:r>
          </w:p>
        </w:tc>
        <w:tc>
          <w:tcPr>
            <w:tcW w:w="80" w:type="dxa"/>
            <w:vAlign w:val="bottom"/>
            <w:tcBorders>
              <w:bottom w:val="single" w:sz="8" w:color="DBDBDB"/>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2,334</w:t>
            </w:r>
          </w:p>
        </w:tc>
        <w:tc>
          <w:tcPr>
            <w:tcW w:w="80" w:type="dxa"/>
            <w:vAlign w:val="bottom"/>
            <w:tcBorders>
              <w:bottom w:val="single" w:sz="8" w:color="DBDBDB"/>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218,275</w:t>
            </w:r>
          </w:p>
        </w:tc>
        <w:tc>
          <w:tcPr>
            <w:tcW w:w="0" w:type="dxa"/>
            <w:vAlign w:val="bottom"/>
          </w:tcPr>
          <w:p>
            <w:pPr>
              <w:spacing w:after="0"/>
              <w:rPr>
                <w:sz w:val="1"/>
                <w:szCs w:val="1"/>
                <w:color w:val="auto"/>
              </w:rPr>
            </w:pPr>
          </w:p>
        </w:tc>
      </w:tr>
      <w:tr>
        <w:trPr>
          <w:trHeight w:val="169"/>
        </w:trPr>
        <w:tc>
          <w:tcPr>
            <w:tcW w:w="4740" w:type="dxa"/>
            <w:vAlign w:val="bottom"/>
            <w:shd w:val="clear" w:color="auto" w:fill="DBDBDB"/>
          </w:tcPr>
          <w:p>
            <w:pPr>
              <w:ind w:left="380"/>
              <w:spacing w:after="0"/>
              <w:rPr>
                <w:sz w:val="20"/>
                <w:szCs w:val="20"/>
                <w:color w:val="auto"/>
              </w:rPr>
            </w:pPr>
            <w:r>
              <w:rPr>
                <w:rFonts w:ascii="Arial" w:cs="Arial" w:eastAsia="Arial" w:hAnsi="Arial"/>
                <w:sz w:val="13"/>
                <w:szCs w:val="13"/>
                <w:color w:val="auto"/>
              </w:rPr>
              <w:t>Gross profit</w:t>
            </w:r>
          </w:p>
        </w:tc>
        <w:tc>
          <w:tcPr>
            <w:tcW w:w="180" w:type="dxa"/>
            <w:vAlign w:val="bottom"/>
            <w:shd w:val="clear" w:color="auto" w:fill="DBDBDB"/>
          </w:tcPr>
          <w:p>
            <w:pPr>
              <w:spacing w:after="0"/>
              <w:rPr>
                <w:sz w:val="14"/>
                <w:szCs w:val="14"/>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659,973</w:t>
            </w:r>
          </w:p>
        </w:tc>
        <w:tc>
          <w:tcPr>
            <w:tcW w:w="100" w:type="dxa"/>
            <w:vAlign w:val="bottom"/>
            <w:shd w:val="clear" w:color="auto" w:fill="DBDBDB"/>
          </w:tcPr>
          <w:p>
            <w:pPr>
              <w:spacing w:after="0"/>
              <w:rPr>
                <w:sz w:val="14"/>
                <w:szCs w:val="14"/>
                <w:color w:val="auto"/>
              </w:rPr>
            </w:pPr>
          </w:p>
        </w:tc>
        <w:tc>
          <w:tcPr>
            <w:tcW w:w="280" w:type="dxa"/>
            <w:vAlign w:val="bottom"/>
            <w:shd w:val="clear" w:color="auto" w:fill="DBDBDB"/>
          </w:tcPr>
          <w:p>
            <w:pPr>
              <w:spacing w:after="0"/>
              <w:rPr>
                <w:sz w:val="14"/>
                <w:szCs w:val="14"/>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187,738</w:t>
            </w:r>
          </w:p>
        </w:tc>
        <w:tc>
          <w:tcPr>
            <w:tcW w:w="80" w:type="dxa"/>
            <w:vAlign w:val="bottom"/>
            <w:shd w:val="clear" w:color="auto" w:fill="DBDBDB"/>
          </w:tcPr>
          <w:p>
            <w:pPr>
              <w:spacing w:after="0"/>
              <w:rPr>
                <w:sz w:val="14"/>
                <w:szCs w:val="14"/>
                <w:color w:val="auto"/>
              </w:rPr>
            </w:pPr>
          </w:p>
        </w:tc>
        <w:tc>
          <w:tcPr>
            <w:tcW w:w="200" w:type="dxa"/>
            <w:vAlign w:val="bottom"/>
            <w:shd w:val="clear" w:color="auto" w:fill="DBDBDB"/>
          </w:tcPr>
          <w:p>
            <w:pPr>
              <w:spacing w:after="0"/>
              <w:rPr>
                <w:sz w:val="14"/>
                <w:szCs w:val="14"/>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(2,334)</w:t>
            </w:r>
          </w:p>
        </w:tc>
        <w:tc>
          <w:tcPr>
            <w:tcW w:w="80" w:type="dxa"/>
            <w:vAlign w:val="bottom"/>
            <w:shd w:val="clear" w:color="auto" w:fill="DBDBDB"/>
          </w:tcPr>
          <w:p>
            <w:pPr>
              <w:spacing w:after="0"/>
              <w:rPr>
                <w:sz w:val="14"/>
                <w:szCs w:val="14"/>
                <w:color w:val="auto"/>
              </w:rPr>
            </w:pPr>
          </w:p>
        </w:tc>
        <w:tc>
          <w:tcPr>
            <w:tcW w:w="420" w:type="dxa"/>
            <w:vAlign w:val="bottom"/>
            <w:shd w:val="clear" w:color="auto" w:fill="DBDBDB"/>
          </w:tcPr>
          <w:p>
            <w:pPr>
              <w:spacing w:after="0"/>
              <w:rPr>
                <w:sz w:val="14"/>
                <w:szCs w:val="14"/>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845,377</w:t>
            </w:r>
          </w:p>
        </w:tc>
        <w:tc>
          <w:tcPr>
            <w:tcW w:w="0" w:type="dxa"/>
            <w:vAlign w:val="bottom"/>
          </w:tcPr>
          <w:p>
            <w:pPr>
              <w:spacing w:after="0"/>
              <w:rPr>
                <w:sz w:val="1"/>
                <w:szCs w:val="1"/>
                <w:color w:val="auto"/>
              </w:rPr>
            </w:pPr>
          </w:p>
        </w:tc>
      </w:tr>
      <w:tr>
        <w:trPr>
          <w:trHeight w:val="172"/>
        </w:trPr>
        <w:tc>
          <w:tcPr>
            <w:tcW w:w="4740" w:type="dxa"/>
            <w:vAlign w:val="bottom"/>
          </w:tcPr>
          <w:p>
            <w:pPr>
              <w:ind w:left="20"/>
              <w:spacing w:after="0"/>
              <w:rPr>
                <w:sz w:val="20"/>
                <w:szCs w:val="20"/>
                <w:color w:val="auto"/>
              </w:rPr>
            </w:pPr>
            <w:r>
              <w:rPr>
                <w:rFonts w:ascii="Arial" w:cs="Arial" w:eastAsia="Arial" w:hAnsi="Arial"/>
                <w:sz w:val="13"/>
                <w:szCs w:val="13"/>
                <w:color w:val="auto"/>
              </w:rPr>
              <w:t>Expenses:</w:t>
            </w: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7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Selling, general and administrative</w:t>
            </w:r>
          </w:p>
        </w:tc>
        <w:tc>
          <w:tcPr>
            <w:tcW w:w="180" w:type="dxa"/>
            <w:vAlign w:val="bottom"/>
            <w:shd w:val="clear" w:color="auto" w:fill="DBDBDB"/>
          </w:tcPr>
          <w:p>
            <w:pPr>
              <w:spacing w:after="0"/>
              <w:rPr>
                <w:sz w:val="15"/>
                <w:szCs w:val="15"/>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360,626</w:t>
            </w:r>
          </w:p>
        </w:tc>
        <w:tc>
          <w:tcPr>
            <w:tcW w:w="10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96,170</w:t>
            </w: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2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456,796</w:t>
            </w:r>
          </w:p>
        </w:tc>
        <w:tc>
          <w:tcPr>
            <w:tcW w:w="0" w:type="dxa"/>
            <w:vAlign w:val="bottom"/>
          </w:tcPr>
          <w:p>
            <w:pPr>
              <w:spacing w:after="0"/>
              <w:rPr>
                <w:sz w:val="1"/>
                <w:szCs w:val="1"/>
                <w:color w:val="auto"/>
              </w:rPr>
            </w:pPr>
          </w:p>
        </w:tc>
      </w:tr>
      <w:tr>
        <w:trPr>
          <w:trHeight w:val="172"/>
        </w:trPr>
        <w:tc>
          <w:tcPr>
            <w:tcW w:w="4740" w:type="dxa"/>
            <w:vAlign w:val="bottom"/>
          </w:tcPr>
          <w:p>
            <w:pPr>
              <w:ind w:left="200"/>
              <w:spacing w:after="0"/>
              <w:rPr>
                <w:sz w:val="20"/>
                <w:szCs w:val="20"/>
                <w:color w:val="auto"/>
              </w:rPr>
            </w:pPr>
            <w:r>
              <w:rPr>
                <w:rFonts w:ascii="Arial" w:cs="Arial" w:eastAsia="Arial" w:hAnsi="Arial"/>
                <w:sz w:val="13"/>
                <w:szCs w:val="13"/>
                <w:color w:val="auto"/>
              </w:rPr>
              <w:t>Transaction costs (a)</w:t>
            </w:r>
          </w:p>
        </w:tc>
        <w:tc>
          <w:tcPr>
            <w:tcW w:w="1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64,053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16,799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(80,852)</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8"/>
        </w:trPr>
        <w:tc>
          <w:tcPr>
            <w:tcW w:w="47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Other depreciation and amortization (c)</w:t>
            </w:r>
          </w:p>
        </w:tc>
        <w:tc>
          <w:tcPr>
            <w:tcW w:w="180" w:type="dxa"/>
            <w:vAlign w:val="bottom"/>
            <w:shd w:val="clear" w:color="auto" w:fill="DBDBDB"/>
          </w:tcPr>
          <w:p>
            <w:pPr>
              <w:spacing w:after="0"/>
              <w:rPr>
                <w:sz w:val="15"/>
                <w:szCs w:val="15"/>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43,249</w:t>
            </w:r>
          </w:p>
        </w:tc>
        <w:tc>
          <w:tcPr>
            <w:tcW w:w="10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19,695</w:t>
            </w: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11,397</w:t>
            </w:r>
          </w:p>
        </w:tc>
        <w:tc>
          <w:tcPr>
            <w:tcW w:w="8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74,341</w:t>
            </w:r>
          </w:p>
        </w:tc>
        <w:tc>
          <w:tcPr>
            <w:tcW w:w="0" w:type="dxa"/>
            <w:vAlign w:val="bottom"/>
          </w:tcPr>
          <w:p>
            <w:pPr>
              <w:spacing w:after="0"/>
              <w:rPr>
                <w:sz w:val="1"/>
                <w:szCs w:val="1"/>
                <w:color w:val="auto"/>
              </w:rPr>
            </w:pPr>
          </w:p>
        </w:tc>
      </w:tr>
      <w:tr>
        <w:trPr>
          <w:trHeight w:val="172"/>
        </w:trPr>
        <w:tc>
          <w:tcPr>
            <w:tcW w:w="4740" w:type="dxa"/>
            <w:vAlign w:val="bottom"/>
          </w:tcPr>
          <w:p>
            <w:pPr>
              <w:ind w:left="200"/>
              <w:spacing w:after="0"/>
              <w:rPr>
                <w:sz w:val="20"/>
                <w:szCs w:val="20"/>
                <w:color w:val="auto"/>
              </w:rPr>
            </w:pPr>
            <w:r>
              <w:rPr>
                <w:rFonts w:ascii="Arial" w:cs="Arial" w:eastAsia="Arial" w:hAnsi="Arial"/>
                <w:sz w:val="13"/>
                <w:szCs w:val="13"/>
                <w:color w:val="auto"/>
              </w:rPr>
              <w:t>Lease impairment expense and other related charges</w:t>
            </w:r>
          </w:p>
        </w:tc>
        <w:tc>
          <w:tcPr>
            <w:tcW w:w="1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4,876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4,876</w:t>
            </w:r>
          </w:p>
        </w:tc>
        <w:tc>
          <w:tcPr>
            <w:tcW w:w="0" w:type="dxa"/>
            <w:vAlign w:val="bottom"/>
          </w:tcPr>
          <w:p>
            <w:pPr>
              <w:spacing w:after="0"/>
              <w:rPr>
                <w:sz w:val="1"/>
                <w:szCs w:val="1"/>
                <w:color w:val="auto"/>
              </w:rPr>
            </w:pPr>
          </w:p>
        </w:tc>
      </w:tr>
      <w:tr>
        <w:trPr>
          <w:trHeight w:val="178"/>
        </w:trPr>
        <w:tc>
          <w:tcPr>
            <w:tcW w:w="47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Restructuring costs</w:t>
            </w:r>
          </w:p>
        </w:tc>
        <w:tc>
          <w:tcPr>
            <w:tcW w:w="180" w:type="dxa"/>
            <w:vAlign w:val="bottom"/>
            <w:shd w:val="clear" w:color="auto" w:fill="DBDBDB"/>
          </w:tcPr>
          <w:p>
            <w:pPr>
              <w:spacing w:after="0"/>
              <w:rPr>
                <w:sz w:val="15"/>
                <w:szCs w:val="15"/>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6,527</w:t>
            </w:r>
          </w:p>
        </w:tc>
        <w:tc>
          <w:tcPr>
            <w:tcW w:w="10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5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DBDBDB"/>
          </w:tcPr>
          <w:p>
            <w:pPr>
              <w:spacing w:after="0"/>
              <w:rPr>
                <w:sz w:val="15"/>
                <w:szCs w:val="15"/>
                <w:color w:val="auto"/>
              </w:rPr>
            </w:pPr>
          </w:p>
        </w:tc>
        <w:tc>
          <w:tcPr>
            <w:tcW w:w="13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shd w:val="clear" w:color="auto" w:fill="DBDBDB"/>
          </w:tcPr>
          <w:p>
            <w:pPr>
              <w:spacing w:after="0"/>
              <w:rPr>
                <w:sz w:val="15"/>
                <w:szCs w:val="15"/>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6,527</w:t>
            </w:r>
          </w:p>
        </w:tc>
        <w:tc>
          <w:tcPr>
            <w:tcW w:w="0" w:type="dxa"/>
            <w:vAlign w:val="bottom"/>
          </w:tcPr>
          <w:p>
            <w:pPr>
              <w:spacing w:after="0"/>
              <w:rPr>
                <w:sz w:val="1"/>
                <w:szCs w:val="1"/>
                <w:color w:val="auto"/>
              </w:rPr>
            </w:pPr>
          </w:p>
        </w:tc>
      </w:tr>
      <w:tr>
        <w:trPr>
          <w:trHeight w:val="875"/>
        </w:trPr>
        <w:tc>
          <w:tcPr>
            <w:tcW w:w="4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jc w:val="center"/>
              <w:ind w:right="35"/>
              <w:spacing w:after="0"/>
              <w:rPr>
                <w:sz w:val="20"/>
                <w:szCs w:val="20"/>
                <w:color w:val="auto"/>
              </w:rPr>
            </w:pPr>
            <w:r>
              <w:rPr>
                <w:rFonts w:ascii="Arial" w:cs="Arial" w:eastAsia="Arial" w:hAnsi="Arial"/>
                <w:sz w:val="12"/>
                <w:szCs w:val="12"/>
                <w:color w:val="auto"/>
                <w:w w:val="89"/>
              </w:rPr>
              <w:t>56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47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5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4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-26035</wp:posOffset>
            </wp:positionV>
            <wp:extent cx="32385" cy="393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928" w:right="3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59"/>
        </w:trPr>
        <w:tc>
          <w:tcPr>
            <w:tcW w:w="4760" w:type="dxa"/>
            <w:vAlign w:val="bottom"/>
          </w:tcPr>
          <w:p>
            <w:pPr>
              <w:ind w:left="200"/>
              <w:spacing w:after="0"/>
              <w:rPr>
                <w:sz w:val="20"/>
                <w:szCs w:val="20"/>
                <w:color w:val="auto"/>
              </w:rPr>
            </w:pPr>
            <w:r>
              <w:rPr>
                <w:rFonts w:ascii="Arial" w:cs="Arial" w:eastAsia="Arial" w:hAnsi="Arial"/>
                <w:sz w:val="13"/>
                <w:szCs w:val="13"/>
                <w:color w:val="auto"/>
              </w:rPr>
              <w:t>Currency (gains) losses, net</w:t>
            </w:r>
          </w:p>
        </w:tc>
        <w:tc>
          <w:tcPr>
            <w:tcW w:w="6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(355)</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39</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(316)</w:t>
            </w:r>
          </w:p>
        </w:tc>
      </w:tr>
      <w:tr>
        <w:trPr>
          <w:trHeight w:val="175"/>
        </w:trPr>
        <w:tc>
          <w:tcPr>
            <w:tcW w:w="47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Other (income) expense, net</w:t>
            </w:r>
          </w:p>
        </w:tc>
        <w:tc>
          <w:tcPr>
            <w:tcW w:w="640" w:type="dxa"/>
            <w:vAlign w:val="bottom"/>
            <w:shd w:val="clear" w:color="auto" w:fill="DBDBDB"/>
          </w:tcPr>
          <w:p>
            <w:pPr>
              <w:spacing w:after="0"/>
              <w:rPr>
                <w:sz w:val="15"/>
                <w:szCs w:val="15"/>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(1,718)</w:t>
            </w:r>
          </w:p>
        </w:tc>
        <w:tc>
          <w:tcPr>
            <w:tcW w:w="8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186</w:t>
            </w:r>
          </w:p>
        </w:tc>
        <w:tc>
          <w:tcPr>
            <w:tcW w:w="80" w:type="dxa"/>
            <w:vAlign w:val="bottom"/>
            <w:shd w:val="clear" w:color="auto" w:fill="DBDBDB"/>
          </w:tcPr>
          <w:p>
            <w:pPr>
              <w:spacing w:after="0"/>
              <w:rPr>
                <w:sz w:val="15"/>
                <w:szCs w:val="15"/>
                <w:color w:val="auto"/>
              </w:rPr>
            </w:pPr>
          </w:p>
        </w:tc>
        <w:tc>
          <w:tcPr>
            <w:tcW w:w="500" w:type="dxa"/>
            <w:vAlign w:val="bottom"/>
            <w:shd w:val="clear" w:color="auto" w:fill="DBDBDB"/>
          </w:tcPr>
          <w:p>
            <w:pPr>
              <w:spacing w:after="0"/>
              <w:rPr>
                <w:sz w:val="15"/>
                <w:szCs w:val="15"/>
                <w:color w:val="auto"/>
              </w:rPr>
            </w:pPr>
          </w:p>
        </w:tc>
        <w:tc>
          <w:tcPr>
            <w:tcW w:w="10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shd w:val="clear" w:color="auto" w:fill="DBDBDB"/>
          </w:tcPr>
          <w:p>
            <w:pPr>
              <w:spacing w:after="0"/>
              <w:rPr>
                <w:sz w:val="15"/>
                <w:szCs w:val="15"/>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(1,532)</w:t>
            </w:r>
          </w:p>
        </w:tc>
      </w:tr>
      <w:tr>
        <w:trPr>
          <w:trHeight w:val="166"/>
        </w:trPr>
        <w:tc>
          <w:tcPr>
            <w:tcW w:w="4760" w:type="dxa"/>
            <w:vAlign w:val="bottom"/>
          </w:tcPr>
          <w:p>
            <w:pPr>
              <w:ind w:left="380"/>
              <w:spacing w:after="0"/>
              <w:rPr>
                <w:sz w:val="20"/>
                <w:szCs w:val="20"/>
                <w:color w:val="auto"/>
              </w:rPr>
            </w:pPr>
            <w:r>
              <w:rPr>
                <w:rFonts w:ascii="Arial" w:cs="Arial" w:eastAsia="Arial" w:hAnsi="Arial"/>
                <w:sz w:val="13"/>
                <w:szCs w:val="13"/>
                <w:color w:val="auto"/>
              </w:rPr>
              <w:t>Operating income</w:t>
            </w:r>
          </w:p>
        </w:tc>
        <w:tc>
          <w:tcPr>
            <w:tcW w:w="6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182,715</w:t>
            </w:r>
          </w:p>
        </w:tc>
        <w:tc>
          <w:tcPr>
            <w:tcW w:w="8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54,849</w:t>
            </w:r>
          </w:p>
        </w:tc>
        <w:tc>
          <w:tcPr>
            <w:tcW w:w="8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67,121</w:t>
            </w:r>
          </w:p>
        </w:tc>
        <w:tc>
          <w:tcPr>
            <w:tcW w:w="8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304,685</w:t>
            </w:r>
          </w:p>
        </w:tc>
      </w:tr>
      <w:tr>
        <w:trPr>
          <w:trHeight w:val="178"/>
        </w:trPr>
        <w:tc>
          <w:tcPr>
            <w:tcW w:w="47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Interest expense (d)</w:t>
            </w:r>
          </w:p>
        </w:tc>
        <w:tc>
          <w:tcPr>
            <w:tcW w:w="640" w:type="dxa"/>
            <w:vAlign w:val="bottom"/>
            <w:shd w:val="clear" w:color="auto" w:fill="DBDBDB"/>
          </w:tcPr>
          <w:p>
            <w:pPr>
              <w:spacing w:after="0"/>
              <w:rPr>
                <w:sz w:val="15"/>
                <w:szCs w:val="15"/>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119,886</w:t>
            </w:r>
          </w:p>
        </w:tc>
        <w:tc>
          <w:tcPr>
            <w:tcW w:w="8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16,974</w:t>
            </w:r>
          </w:p>
        </w:tc>
        <w:tc>
          <w:tcPr>
            <w:tcW w:w="80" w:type="dxa"/>
            <w:vAlign w:val="bottom"/>
            <w:shd w:val="clear" w:color="auto" w:fill="DBDBDB"/>
          </w:tcPr>
          <w:p>
            <w:pPr>
              <w:spacing w:after="0"/>
              <w:rPr>
                <w:sz w:val="15"/>
                <w:szCs w:val="15"/>
                <w:color w:val="auto"/>
              </w:rPr>
            </w:pPr>
          </w:p>
        </w:tc>
        <w:tc>
          <w:tcPr>
            <w:tcW w:w="500" w:type="dxa"/>
            <w:vAlign w:val="bottom"/>
            <w:shd w:val="clear" w:color="auto" w:fill="DBDBDB"/>
          </w:tcPr>
          <w:p>
            <w:pPr>
              <w:spacing w:after="0"/>
              <w:rPr>
                <w:sz w:val="15"/>
                <w:szCs w:val="15"/>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(9,808)</w:t>
            </w:r>
          </w:p>
        </w:tc>
        <w:tc>
          <w:tcPr>
            <w:tcW w:w="80" w:type="dxa"/>
            <w:vAlign w:val="bottom"/>
            <w:shd w:val="clear" w:color="auto" w:fill="DBDBDB"/>
          </w:tcPr>
          <w:p>
            <w:pPr>
              <w:spacing w:after="0"/>
              <w:rPr>
                <w:sz w:val="15"/>
                <w:szCs w:val="15"/>
                <w:color w:val="auto"/>
              </w:rPr>
            </w:pPr>
          </w:p>
        </w:tc>
        <w:tc>
          <w:tcPr>
            <w:tcW w:w="480" w:type="dxa"/>
            <w:vAlign w:val="bottom"/>
            <w:shd w:val="clear" w:color="auto" w:fill="DBDBDB"/>
          </w:tcPr>
          <w:p>
            <w:pPr>
              <w:spacing w:after="0"/>
              <w:rPr>
                <w:sz w:val="15"/>
                <w:szCs w:val="15"/>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127,052</w:t>
            </w:r>
          </w:p>
        </w:tc>
      </w:tr>
      <w:tr>
        <w:trPr>
          <w:trHeight w:val="172"/>
        </w:trPr>
        <w:tc>
          <w:tcPr>
            <w:tcW w:w="4760" w:type="dxa"/>
            <w:vAlign w:val="bottom"/>
          </w:tcPr>
          <w:p>
            <w:pPr>
              <w:ind w:left="200"/>
              <w:spacing w:after="0"/>
              <w:rPr>
                <w:sz w:val="20"/>
                <w:szCs w:val="20"/>
                <w:color w:val="auto"/>
              </w:rPr>
            </w:pPr>
            <w:r>
              <w:rPr>
                <w:rFonts w:ascii="Arial" w:cs="Arial" w:eastAsia="Arial" w:hAnsi="Arial"/>
                <w:sz w:val="13"/>
                <w:szCs w:val="13"/>
                <w:color w:val="auto"/>
              </w:rPr>
              <w:t>Fair value gain on common stock warrant liabilities</w:t>
            </w:r>
          </w:p>
        </w:tc>
        <w:tc>
          <w:tcPr>
            <w:tcW w:w="6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(3,461)</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(3,461)</w:t>
            </w:r>
          </w:p>
        </w:tc>
      </w:tr>
      <w:tr>
        <w:trPr>
          <w:trHeight w:val="175"/>
        </w:trPr>
        <w:tc>
          <w:tcPr>
            <w:tcW w:w="47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Loss on extinguishment of debt (e)</w:t>
            </w:r>
          </w:p>
        </w:tc>
        <w:tc>
          <w:tcPr>
            <w:tcW w:w="640" w:type="dxa"/>
            <w:vAlign w:val="bottom"/>
            <w:shd w:val="clear" w:color="auto" w:fill="DBDBDB"/>
          </w:tcPr>
          <w:p>
            <w:pPr>
              <w:spacing w:after="0"/>
              <w:rPr>
                <w:sz w:val="15"/>
                <w:szCs w:val="15"/>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42,401</w:t>
            </w:r>
          </w:p>
        </w:tc>
        <w:tc>
          <w:tcPr>
            <w:tcW w:w="8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11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500" w:type="dxa"/>
            <w:vAlign w:val="bottom"/>
            <w:shd w:val="clear" w:color="auto" w:fill="DBDBDB"/>
          </w:tcPr>
          <w:p>
            <w:pPr>
              <w:spacing w:after="0"/>
              <w:rPr>
                <w:sz w:val="15"/>
                <w:szCs w:val="15"/>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(19,682)</w:t>
            </w:r>
          </w:p>
        </w:tc>
        <w:tc>
          <w:tcPr>
            <w:tcW w:w="80" w:type="dxa"/>
            <w:vAlign w:val="bottom"/>
            <w:shd w:val="clear" w:color="auto" w:fill="DBDBDB"/>
          </w:tcPr>
          <w:p>
            <w:pPr>
              <w:spacing w:after="0"/>
              <w:rPr>
                <w:sz w:val="15"/>
                <w:szCs w:val="15"/>
                <w:color w:val="auto"/>
              </w:rPr>
            </w:pPr>
          </w:p>
        </w:tc>
        <w:tc>
          <w:tcPr>
            <w:tcW w:w="480" w:type="dxa"/>
            <w:vAlign w:val="bottom"/>
            <w:shd w:val="clear" w:color="auto" w:fill="DBDBDB"/>
          </w:tcPr>
          <w:p>
            <w:pPr>
              <w:spacing w:after="0"/>
              <w:rPr>
                <w:sz w:val="15"/>
                <w:szCs w:val="15"/>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22,719</w:t>
            </w:r>
          </w:p>
        </w:tc>
      </w:tr>
      <w:tr>
        <w:trPr>
          <w:trHeight w:val="166"/>
        </w:trPr>
        <w:tc>
          <w:tcPr>
            <w:tcW w:w="4760" w:type="dxa"/>
            <w:vAlign w:val="bottom"/>
          </w:tcPr>
          <w:p>
            <w:pPr>
              <w:ind w:left="380"/>
              <w:spacing w:after="0"/>
              <w:rPr>
                <w:sz w:val="20"/>
                <w:szCs w:val="20"/>
                <w:color w:val="auto"/>
              </w:rPr>
            </w:pPr>
            <w:r>
              <w:rPr>
                <w:rFonts w:ascii="Arial" w:cs="Arial" w:eastAsia="Arial" w:hAnsi="Arial"/>
                <w:sz w:val="13"/>
                <w:szCs w:val="13"/>
                <w:color w:val="auto"/>
              </w:rPr>
              <w:t>Income before income tax</w:t>
            </w:r>
          </w:p>
        </w:tc>
        <w:tc>
          <w:tcPr>
            <w:tcW w:w="6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23,889</w:t>
            </w:r>
          </w:p>
        </w:tc>
        <w:tc>
          <w:tcPr>
            <w:tcW w:w="8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37,875</w:t>
            </w:r>
          </w:p>
        </w:tc>
        <w:tc>
          <w:tcPr>
            <w:tcW w:w="8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96,611</w:t>
            </w:r>
          </w:p>
        </w:tc>
        <w:tc>
          <w:tcPr>
            <w:tcW w:w="8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158,375</w:t>
            </w:r>
          </w:p>
        </w:tc>
      </w:tr>
      <w:tr>
        <w:trPr>
          <w:trHeight w:val="175"/>
        </w:trPr>
        <w:tc>
          <w:tcPr>
            <w:tcW w:w="47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Income tax (benefit) expense (f)</w:t>
            </w:r>
          </w:p>
        </w:tc>
        <w:tc>
          <w:tcPr>
            <w:tcW w:w="640" w:type="dxa"/>
            <w:vAlign w:val="bottom"/>
            <w:tcBorders>
              <w:bottom w:val="single" w:sz="8" w:color="auto"/>
            </w:tcBorders>
            <w:shd w:val="clear" w:color="auto" w:fill="DBDBDB"/>
          </w:tcPr>
          <w:p>
            <w:pPr>
              <w:spacing w:after="0"/>
              <w:rPr>
                <w:sz w:val="15"/>
                <w:szCs w:val="15"/>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(51,451)</w:t>
            </w:r>
          </w:p>
        </w:tc>
        <w:tc>
          <w:tcPr>
            <w:tcW w:w="80" w:type="dxa"/>
            <w:vAlign w:val="bottom"/>
            <w:shd w:val="clear" w:color="auto" w:fill="DBDBDB"/>
          </w:tcPr>
          <w:p>
            <w:pPr>
              <w:spacing w:after="0"/>
              <w:rPr>
                <w:sz w:val="15"/>
                <w:szCs w:val="15"/>
                <w:color w:val="auto"/>
              </w:rPr>
            </w:pPr>
          </w:p>
        </w:tc>
        <w:tc>
          <w:tcPr>
            <w:tcW w:w="680" w:type="dxa"/>
            <w:vAlign w:val="bottom"/>
            <w:tcBorders>
              <w:bottom w:val="single" w:sz="8" w:color="auto"/>
            </w:tcBorders>
            <w:shd w:val="clear" w:color="auto" w:fill="DBDBDB"/>
          </w:tcPr>
          <w:p>
            <w:pPr>
              <w:spacing w:after="0"/>
              <w:rPr>
                <w:sz w:val="15"/>
                <w:szCs w:val="15"/>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12,330</w:t>
            </w:r>
          </w:p>
        </w:tc>
        <w:tc>
          <w:tcPr>
            <w:tcW w:w="80" w:type="dxa"/>
            <w:vAlign w:val="bottom"/>
            <w:shd w:val="clear" w:color="auto" w:fill="DBDBDB"/>
          </w:tcPr>
          <w:p>
            <w:pPr>
              <w:spacing w:after="0"/>
              <w:rPr>
                <w:sz w:val="15"/>
                <w:szCs w:val="15"/>
                <w:color w:val="auto"/>
              </w:rPr>
            </w:pPr>
          </w:p>
        </w:tc>
        <w:tc>
          <w:tcPr>
            <w:tcW w:w="500" w:type="dxa"/>
            <w:vAlign w:val="bottom"/>
            <w:tcBorders>
              <w:bottom w:val="single" w:sz="8" w:color="auto"/>
            </w:tcBorders>
            <w:shd w:val="clear" w:color="auto" w:fill="DBDBDB"/>
          </w:tcPr>
          <w:p>
            <w:pPr>
              <w:spacing w:after="0"/>
              <w:rPr>
                <w:sz w:val="15"/>
                <w:szCs w:val="15"/>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73,670</w:t>
            </w:r>
          </w:p>
        </w:tc>
        <w:tc>
          <w:tcPr>
            <w:tcW w:w="80" w:type="dxa"/>
            <w:vAlign w:val="bottom"/>
            <w:shd w:val="clear" w:color="auto" w:fill="DBDBDB"/>
          </w:tcPr>
          <w:p>
            <w:pPr>
              <w:spacing w:after="0"/>
              <w:rPr>
                <w:sz w:val="15"/>
                <w:szCs w:val="15"/>
                <w:color w:val="auto"/>
              </w:rPr>
            </w:pPr>
          </w:p>
        </w:tc>
        <w:tc>
          <w:tcPr>
            <w:tcW w:w="480" w:type="dxa"/>
            <w:vAlign w:val="bottom"/>
            <w:tcBorders>
              <w:bottom w:val="single" w:sz="8" w:color="auto"/>
            </w:tcBorders>
            <w:shd w:val="clear" w:color="auto" w:fill="DBDBDB"/>
          </w:tcPr>
          <w:p>
            <w:pPr>
              <w:spacing w:after="0"/>
              <w:rPr>
                <w:sz w:val="15"/>
                <w:szCs w:val="15"/>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34,549</w:t>
            </w:r>
          </w:p>
        </w:tc>
      </w:tr>
      <w:tr>
        <w:trPr>
          <w:trHeight w:val="166"/>
        </w:trPr>
        <w:tc>
          <w:tcPr>
            <w:tcW w:w="476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6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75,340</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25,545</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22,941</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123,826</w:t>
            </w:r>
          </w:p>
        </w:tc>
      </w:tr>
      <w:tr>
        <w:trPr>
          <w:trHeight w:val="175"/>
        </w:trPr>
        <w:tc>
          <w:tcPr>
            <w:tcW w:w="4760" w:type="dxa"/>
            <w:vAlign w:val="bottom"/>
            <w:shd w:val="clear" w:color="auto" w:fill="DBDBDB"/>
          </w:tcPr>
          <w:p>
            <w:pPr>
              <w:ind w:left="20"/>
              <w:spacing w:after="0"/>
              <w:rPr>
                <w:sz w:val="20"/>
                <w:szCs w:val="20"/>
                <w:color w:val="auto"/>
              </w:rPr>
            </w:pPr>
            <w:r>
              <w:rPr>
                <w:rFonts w:ascii="Arial" w:cs="Arial" w:eastAsia="Arial" w:hAnsi="Arial"/>
                <w:sz w:val="13"/>
                <w:szCs w:val="13"/>
                <w:color w:val="auto"/>
              </w:rPr>
              <w:t>Net income attributable to non-controlling interest, net of tax (g)</w:t>
            </w:r>
          </w:p>
        </w:tc>
        <w:tc>
          <w:tcPr>
            <w:tcW w:w="640" w:type="dxa"/>
            <w:vAlign w:val="bottom"/>
            <w:shd w:val="clear" w:color="auto" w:fill="DBDBDB"/>
          </w:tcPr>
          <w:p>
            <w:pPr>
              <w:spacing w:after="0"/>
              <w:rPr>
                <w:sz w:val="15"/>
                <w:szCs w:val="15"/>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1,213</w:t>
            </w:r>
          </w:p>
        </w:tc>
        <w:tc>
          <w:tcPr>
            <w:tcW w:w="8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11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500" w:type="dxa"/>
            <w:vAlign w:val="bottom"/>
            <w:shd w:val="clear" w:color="auto" w:fill="DBDBDB"/>
          </w:tcPr>
          <w:p>
            <w:pPr>
              <w:spacing w:after="0"/>
              <w:rPr>
                <w:sz w:val="15"/>
                <w:szCs w:val="15"/>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(1,213)</w:t>
            </w:r>
          </w:p>
        </w:tc>
        <w:tc>
          <w:tcPr>
            <w:tcW w:w="80" w:type="dxa"/>
            <w:vAlign w:val="bottom"/>
            <w:shd w:val="clear" w:color="auto" w:fill="DBDBDB"/>
          </w:tcPr>
          <w:p>
            <w:pPr>
              <w:spacing w:after="0"/>
              <w:rPr>
                <w:sz w:val="15"/>
                <w:szCs w:val="15"/>
                <w:color w:val="auto"/>
              </w:rPr>
            </w:pPr>
          </w:p>
        </w:tc>
        <w:tc>
          <w:tcPr>
            <w:tcW w:w="480" w:type="dxa"/>
            <w:vAlign w:val="bottom"/>
            <w:shd w:val="clear" w:color="auto" w:fill="DBDBDB"/>
          </w:tcPr>
          <w:p>
            <w:pPr>
              <w:spacing w:after="0"/>
              <w:rPr>
                <w:sz w:val="15"/>
                <w:szCs w:val="15"/>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4760" w:type="dxa"/>
            <w:vAlign w:val="bottom"/>
          </w:tcPr>
          <w:p>
            <w:pPr>
              <w:ind w:left="20"/>
              <w:spacing w:after="0"/>
              <w:rPr>
                <w:sz w:val="20"/>
                <w:szCs w:val="20"/>
                <w:color w:val="auto"/>
              </w:rPr>
            </w:pPr>
            <w:r>
              <w:rPr>
                <w:rFonts w:ascii="Arial" w:cs="Arial" w:eastAsia="Arial" w:hAnsi="Arial"/>
                <w:sz w:val="13"/>
                <w:szCs w:val="13"/>
                <w:color w:val="auto"/>
              </w:rPr>
              <w:t>Net income attributable to WillScot Mobile Mini</w:t>
            </w:r>
          </w:p>
        </w:tc>
        <w:tc>
          <w:tcPr>
            <w:tcW w:w="6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74,127</w:t>
            </w:r>
          </w:p>
        </w:tc>
        <w:tc>
          <w:tcPr>
            <w:tcW w:w="8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25,545</w:t>
            </w:r>
          </w:p>
        </w:tc>
        <w:tc>
          <w:tcPr>
            <w:tcW w:w="8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24,154</w:t>
            </w:r>
          </w:p>
        </w:tc>
        <w:tc>
          <w:tcPr>
            <w:tcW w:w="8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123,826</w:t>
            </w:r>
          </w:p>
        </w:tc>
      </w:tr>
      <w:tr>
        <w:trPr>
          <w:trHeight w:val="20"/>
        </w:trPr>
        <w:tc>
          <w:tcPr>
            <w:tcW w:w="47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Notes to Pro Forma Statement</w:t>
      </w:r>
    </w:p>
    <w:p>
      <w:pPr>
        <w:spacing w:after="0" w:line="44" w:lineRule="exact"/>
        <w:rPr>
          <w:sz w:val="20"/>
          <w:szCs w:val="20"/>
          <w:color w:val="auto"/>
        </w:rPr>
      </w:pPr>
    </w:p>
    <w:p>
      <w:pPr>
        <w:ind w:left="460" w:hanging="438"/>
        <w:spacing w:after="0"/>
        <w:tabs>
          <w:tab w:leader="none" w:pos="460" w:val="left"/>
        </w:tabs>
        <w:numPr>
          <w:ilvl w:val="0"/>
          <w:numId w:val="23"/>
        </w:numPr>
        <w:rPr>
          <w:rFonts w:ascii="Arial" w:cs="Arial" w:eastAsia="Arial" w:hAnsi="Arial"/>
          <w:sz w:val="12"/>
          <w:szCs w:val="12"/>
          <w:color w:val="auto"/>
        </w:rPr>
      </w:pPr>
      <w:r>
        <w:rPr>
          <w:rFonts w:ascii="Arial" w:cs="Arial" w:eastAsia="Arial" w:hAnsi="Arial"/>
          <w:sz w:val="13"/>
          <w:szCs w:val="13"/>
          <w:color w:val="auto"/>
        </w:rPr>
        <w:t>Represents the elimination of non-recurring transaction costs incurred as a result of the Merger.</w:t>
      </w:r>
    </w:p>
    <w:p>
      <w:pPr>
        <w:spacing w:after="0" w:line="25" w:lineRule="exact"/>
        <w:rPr>
          <w:rFonts w:ascii="Arial" w:cs="Arial" w:eastAsia="Arial" w:hAnsi="Arial"/>
          <w:sz w:val="12"/>
          <w:szCs w:val="12"/>
          <w:color w:val="auto"/>
        </w:rPr>
      </w:pPr>
    </w:p>
    <w:p>
      <w:pPr>
        <w:ind w:left="460" w:hanging="438"/>
        <w:spacing w:after="0"/>
        <w:tabs>
          <w:tab w:leader="none" w:pos="460" w:val="left"/>
        </w:tabs>
        <w:numPr>
          <w:ilvl w:val="0"/>
          <w:numId w:val="23"/>
        </w:numPr>
        <w:rPr>
          <w:rFonts w:ascii="Arial" w:cs="Arial" w:eastAsia="Arial" w:hAnsi="Arial"/>
          <w:sz w:val="12"/>
          <w:szCs w:val="12"/>
          <w:color w:val="auto"/>
        </w:rPr>
      </w:pPr>
      <w:r>
        <w:rPr>
          <w:rFonts w:ascii="Arial" w:cs="Arial" w:eastAsia="Arial" w:hAnsi="Arial"/>
          <w:sz w:val="13"/>
          <w:szCs w:val="13"/>
          <w:color w:val="auto"/>
        </w:rPr>
        <w:t>Represents the adjustment for depreciation of rental fleet relating to the increase in fair value purchase accounting adjustments as a result of the Merger.</w:t>
      </w:r>
    </w:p>
    <w:p>
      <w:pPr>
        <w:spacing w:after="0" w:line="25" w:lineRule="exact"/>
        <w:rPr>
          <w:rFonts w:ascii="Arial" w:cs="Arial" w:eastAsia="Arial" w:hAnsi="Arial"/>
          <w:sz w:val="12"/>
          <w:szCs w:val="12"/>
          <w:color w:val="auto"/>
        </w:rPr>
      </w:pPr>
    </w:p>
    <w:p>
      <w:pPr>
        <w:ind w:left="460" w:hanging="438"/>
        <w:spacing w:after="0"/>
        <w:tabs>
          <w:tab w:leader="none" w:pos="460" w:val="left"/>
        </w:tabs>
        <w:numPr>
          <w:ilvl w:val="0"/>
          <w:numId w:val="23"/>
        </w:numPr>
        <w:rPr>
          <w:rFonts w:ascii="Arial" w:cs="Arial" w:eastAsia="Arial" w:hAnsi="Arial"/>
          <w:sz w:val="12"/>
          <w:szCs w:val="12"/>
          <w:color w:val="auto"/>
        </w:rPr>
      </w:pPr>
      <w:r>
        <w:rPr>
          <w:rFonts w:ascii="Arial" w:cs="Arial" w:eastAsia="Arial" w:hAnsi="Arial"/>
          <w:sz w:val="13"/>
          <w:szCs w:val="13"/>
          <w:color w:val="auto"/>
        </w:rPr>
        <w:t>Represents the differential in other depreciation and amortization expense related to the fair value purchase accounting adjustments as a result of the Merger.</w:t>
      </w:r>
    </w:p>
    <w:p>
      <w:pPr>
        <w:spacing w:after="0" w:line="25" w:lineRule="exact"/>
        <w:rPr>
          <w:rFonts w:ascii="Arial" w:cs="Arial" w:eastAsia="Arial" w:hAnsi="Arial"/>
          <w:sz w:val="12"/>
          <w:szCs w:val="12"/>
          <w:color w:val="auto"/>
        </w:rPr>
      </w:pPr>
    </w:p>
    <w:p>
      <w:pPr>
        <w:jc w:val="both"/>
        <w:ind w:left="460" w:right="20" w:hanging="438"/>
        <w:spacing w:after="0" w:line="224" w:lineRule="auto"/>
        <w:tabs>
          <w:tab w:leader="none" w:pos="460" w:val="left"/>
        </w:tabs>
        <w:numPr>
          <w:ilvl w:val="0"/>
          <w:numId w:val="23"/>
        </w:numPr>
        <w:rPr>
          <w:rFonts w:ascii="Arial" w:cs="Arial" w:eastAsia="Arial" w:hAnsi="Arial"/>
          <w:sz w:val="12"/>
          <w:szCs w:val="12"/>
          <w:color w:val="auto"/>
        </w:rPr>
      </w:pPr>
      <w:r>
        <w:rPr>
          <w:rFonts w:ascii="Arial" w:cs="Arial" w:eastAsia="Arial" w:hAnsi="Arial"/>
          <w:sz w:val="13"/>
          <w:szCs w:val="13"/>
          <w:color w:val="auto"/>
        </w:rPr>
        <w:t>Reflects the adjustment for interest expense related to our debt structure after the Merger as though the following had occurred on January 1, 2019 (i) borrowings under the 2020 ABL Facility, (ii) borrowings under the 2025 Secured Notes, (iii) repayment of the 2017 ABL Facility, (iv) repayment of the 2022 Secured Notes and repayment of the Mobile Mini debt assumed at the Merger.</w:t>
      </w:r>
    </w:p>
    <w:p>
      <w:pPr>
        <w:spacing w:after="0" w:line="18" w:lineRule="exact"/>
        <w:rPr>
          <w:rFonts w:ascii="Arial" w:cs="Arial" w:eastAsia="Arial" w:hAnsi="Arial"/>
          <w:sz w:val="12"/>
          <w:szCs w:val="12"/>
          <w:color w:val="auto"/>
        </w:rPr>
      </w:pPr>
    </w:p>
    <w:p>
      <w:pPr>
        <w:ind w:left="460" w:hanging="438"/>
        <w:spacing w:after="0"/>
        <w:tabs>
          <w:tab w:leader="none" w:pos="460" w:val="left"/>
        </w:tabs>
        <w:numPr>
          <w:ilvl w:val="0"/>
          <w:numId w:val="23"/>
        </w:numPr>
        <w:rPr>
          <w:rFonts w:ascii="Arial" w:cs="Arial" w:eastAsia="Arial" w:hAnsi="Arial"/>
          <w:sz w:val="12"/>
          <w:szCs w:val="12"/>
          <w:color w:val="auto"/>
        </w:rPr>
      </w:pPr>
      <w:r>
        <w:rPr>
          <w:rFonts w:ascii="Arial" w:cs="Arial" w:eastAsia="Arial" w:hAnsi="Arial"/>
          <w:sz w:val="13"/>
          <w:szCs w:val="13"/>
          <w:color w:val="auto"/>
        </w:rPr>
        <w:t>Represents the elimination of the one-time loss on extinguishment of debt in connection with the repayment of the 2022 Secured Notes and the 2017 ABL Facility.</w:t>
      </w:r>
    </w:p>
    <w:p>
      <w:pPr>
        <w:spacing w:after="0" w:line="25" w:lineRule="exact"/>
        <w:rPr>
          <w:rFonts w:ascii="Arial" w:cs="Arial" w:eastAsia="Arial" w:hAnsi="Arial"/>
          <w:sz w:val="12"/>
          <w:szCs w:val="12"/>
          <w:color w:val="auto"/>
        </w:rPr>
      </w:pPr>
    </w:p>
    <w:p>
      <w:pPr>
        <w:jc w:val="both"/>
        <w:ind w:left="460" w:right="20" w:hanging="438"/>
        <w:spacing w:after="0" w:line="224" w:lineRule="auto"/>
        <w:tabs>
          <w:tab w:leader="none" w:pos="460" w:val="left"/>
        </w:tabs>
        <w:numPr>
          <w:ilvl w:val="0"/>
          <w:numId w:val="23"/>
        </w:numPr>
        <w:rPr>
          <w:rFonts w:ascii="Arial" w:cs="Arial" w:eastAsia="Arial" w:hAnsi="Arial"/>
          <w:sz w:val="12"/>
          <w:szCs w:val="12"/>
          <w:color w:val="auto"/>
        </w:rPr>
      </w:pPr>
      <w:r>
        <w:rPr>
          <w:rFonts w:ascii="Arial" w:cs="Arial" w:eastAsia="Arial" w:hAnsi="Arial"/>
          <w:sz w:val="13"/>
          <w:szCs w:val="13"/>
          <w:color w:val="auto"/>
        </w:rPr>
        <w:t>Reflects the adjustment to recognize the income tax impacts of the unaudited pro forma adjustments for which a tax expense is recognized using a US federal and state statutory tax rate of 25.5%. This rate may vary from the effective tax rates of the historical and combined businesses. In addition, the year ended December 31, 2020 included an adjustment of $56.8 million to eliminate the reversal of valuation allowance as a result of reassessment of the realizability of deferred tax assets as a result of the Merger.</w:t>
      </w:r>
    </w:p>
    <w:p>
      <w:pPr>
        <w:spacing w:after="0" w:line="18" w:lineRule="exact"/>
        <w:rPr>
          <w:rFonts w:ascii="Arial" w:cs="Arial" w:eastAsia="Arial" w:hAnsi="Arial"/>
          <w:sz w:val="12"/>
          <w:szCs w:val="12"/>
          <w:color w:val="auto"/>
        </w:rPr>
      </w:pPr>
    </w:p>
    <w:p>
      <w:pPr>
        <w:ind w:left="460" w:hanging="438"/>
        <w:spacing w:after="0"/>
        <w:tabs>
          <w:tab w:leader="none" w:pos="460" w:val="left"/>
        </w:tabs>
        <w:numPr>
          <w:ilvl w:val="0"/>
          <w:numId w:val="23"/>
        </w:numPr>
        <w:rPr>
          <w:rFonts w:ascii="Arial" w:cs="Arial" w:eastAsia="Arial" w:hAnsi="Arial"/>
          <w:sz w:val="12"/>
          <w:szCs w:val="12"/>
          <w:color w:val="auto"/>
        </w:rPr>
      </w:pPr>
      <w:r>
        <w:rPr>
          <w:rFonts w:ascii="Arial" w:cs="Arial" w:eastAsia="Arial" w:hAnsi="Arial"/>
          <w:sz w:val="13"/>
          <w:szCs w:val="13"/>
          <w:color w:val="auto"/>
        </w:rPr>
        <w:t>Reflects the adjustment for the extinguishment of non-controlling interest as a result of the Sapphire Exchange on June 30, 2020.</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660" w:type="dxa"/>
            <w:vAlign w:val="bottom"/>
          </w:tcPr>
          <w:p>
            <w:pPr>
              <w:ind w:left="540"/>
              <w:spacing w:after="0"/>
              <w:rPr>
                <w:sz w:val="20"/>
                <w:szCs w:val="20"/>
                <w:color w:val="auto"/>
              </w:rPr>
            </w:pPr>
            <w:r>
              <w:rPr>
                <w:rFonts w:ascii="Arial" w:cs="Arial" w:eastAsia="Arial" w:hAnsi="Arial"/>
                <w:sz w:val="13"/>
                <w:szCs w:val="13"/>
                <w:color w:val="auto"/>
              </w:rPr>
              <w:t>The pro forma adjustment to interest expense consists of the following:</w:t>
            </w:r>
          </w:p>
        </w:tc>
        <w:tc>
          <w:tcPr>
            <w:tcW w:w="30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49"/>
        </w:trPr>
        <w:tc>
          <w:tcPr>
            <w:tcW w:w="8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320" w:type="dxa"/>
            <w:vAlign w:val="bottom"/>
          </w:tcPr>
          <w:p>
            <w:pPr>
              <w:spacing w:after="0"/>
              <w:rPr>
                <w:sz w:val="4"/>
                <w:szCs w:val="4"/>
                <w:color w:val="auto"/>
              </w:rPr>
            </w:pPr>
          </w:p>
        </w:tc>
      </w:tr>
      <w:tr>
        <w:trPr>
          <w:trHeight w:val="173"/>
        </w:trPr>
        <w:tc>
          <w:tcPr>
            <w:tcW w:w="8660" w:type="dxa"/>
            <w:vAlign w:val="bottom"/>
            <w:shd w:val="clear" w:color="auto" w:fill="1D2758"/>
          </w:tcPr>
          <w:p>
            <w:pPr>
              <w:spacing w:after="0"/>
              <w:rPr>
                <w:sz w:val="15"/>
                <w:szCs w:val="15"/>
                <w:color w:val="auto"/>
              </w:rPr>
            </w:pPr>
          </w:p>
        </w:tc>
        <w:tc>
          <w:tcPr>
            <w:tcW w:w="300" w:type="dxa"/>
            <w:vAlign w:val="bottom"/>
            <w:shd w:val="clear" w:color="auto" w:fill="1D2758"/>
          </w:tcPr>
          <w:p>
            <w:pPr>
              <w:spacing w:after="0"/>
              <w:rPr>
                <w:sz w:val="15"/>
                <w:szCs w:val="15"/>
                <w:color w:val="auto"/>
              </w:rPr>
            </w:pPr>
          </w:p>
        </w:tc>
        <w:tc>
          <w:tcPr>
            <w:tcW w:w="2320" w:type="dxa"/>
            <w:vAlign w:val="bottom"/>
            <w:shd w:val="clear" w:color="auto" w:fill="1D2758"/>
          </w:tcPr>
          <w:p>
            <w:pPr>
              <w:jc w:val="right"/>
              <w:ind w:right="434"/>
              <w:spacing w:after="0"/>
              <w:rPr>
                <w:sz w:val="20"/>
                <w:szCs w:val="20"/>
                <w:color w:val="auto"/>
              </w:rPr>
            </w:pPr>
            <w:r>
              <w:rPr>
                <w:rFonts w:ascii="Arial" w:cs="Arial" w:eastAsia="Arial" w:hAnsi="Arial"/>
                <w:sz w:val="13"/>
                <w:szCs w:val="13"/>
                <w:b w:val="1"/>
                <w:bCs w:val="1"/>
                <w:color w:val="FFFFFF"/>
              </w:rPr>
              <w:t>Year Ended December 31,</w:t>
            </w:r>
          </w:p>
        </w:tc>
      </w:tr>
      <w:tr>
        <w:trPr>
          <w:trHeight w:val="177"/>
        </w:trPr>
        <w:tc>
          <w:tcPr>
            <w:tcW w:w="866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300" w:type="dxa"/>
            <w:vAlign w:val="bottom"/>
            <w:shd w:val="clear" w:color="auto" w:fill="1D2758"/>
          </w:tcPr>
          <w:p>
            <w:pPr>
              <w:spacing w:after="0"/>
              <w:rPr>
                <w:sz w:val="15"/>
                <w:szCs w:val="15"/>
                <w:color w:val="auto"/>
              </w:rPr>
            </w:pPr>
          </w:p>
        </w:tc>
        <w:tc>
          <w:tcPr>
            <w:tcW w:w="2320" w:type="dxa"/>
            <w:vAlign w:val="bottom"/>
            <w:shd w:val="clear" w:color="auto" w:fill="1D2758"/>
          </w:tcPr>
          <w:p>
            <w:pPr>
              <w:jc w:val="right"/>
              <w:ind w:right="1094"/>
              <w:spacing w:after="0"/>
              <w:rPr>
                <w:sz w:val="20"/>
                <w:szCs w:val="20"/>
                <w:color w:val="auto"/>
              </w:rPr>
            </w:pPr>
            <w:r>
              <w:rPr>
                <w:rFonts w:ascii="Arial" w:cs="Arial" w:eastAsia="Arial" w:hAnsi="Arial"/>
                <w:sz w:val="13"/>
                <w:szCs w:val="13"/>
                <w:b w:val="1"/>
                <w:bCs w:val="1"/>
                <w:color w:val="FFFFFF"/>
              </w:rPr>
              <w:t>2020</w:t>
            </w:r>
          </w:p>
        </w:tc>
      </w:tr>
      <w:tr>
        <w:trPr>
          <w:trHeight w:val="175"/>
        </w:trPr>
        <w:tc>
          <w:tcPr>
            <w:tcW w:w="8660" w:type="dxa"/>
            <w:vAlign w:val="bottom"/>
            <w:shd w:val="clear" w:color="auto" w:fill="DBDBDB"/>
          </w:tcPr>
          <w:p>
            <w:pPr>
              <w:ind w:left="20"/>
              <w:spacing w:after="0"/>
              <w:rPr>
                <w:sz w:val="20"/>
                <w:szCs w:val="20"/>
                <w:color w:val="auto"/>
              </w:rPr>
            </w:pPr>
            <w:r>
              <w:rPr>
                <w:rFonts w:ascii="Arial" w:cs="Arial" w:eastAsia="Arial" w:hAnsi="Arial"/>
                <w:sz w:val="13"/>
                <w:szCs w:val="13"/>
                <w:color w:val="auto"/>
              </w:rPr>
              <w:t>ABL Facility interest</w:t>
            </w:r>
          </w:p>
        </w:tc>
        <w:tc>
          <w:tcPr>
            <w:tcW w:w="30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w w:val="82"/>
              </w:rPr>
              <w:t>$</w:t>
            </w:r>
          </w:p>
        </w:tc>
        <w:tc>
          <w:tcPr>
            <w:tcW w:w="2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(2,561)</w:t>
            </w:r>
          </w:p>
        </w:tc>
      </w:tr>
      <w:tr>
        <w:trPr>
          <w:trHeight w:val="172"/>
        </w:trPr>
        <w:tc>
          <w:tcPr>
            <w:tcW w:w="8660" w:type="dxa"/>
            <w:vAlign w:val="bottom"/>
          </w:tcPr>
          <w:p>
            <w:pPr>
              <w:ind w:left="20"/>
              <w:spacing w:after="0"/>
              <w:rPr>
                <w:sz w:val="20"/>
                <w:szCs w:val="20"/>
                <w:color w:val="auto"/>
              </w:rPr>
            </w:pPr>
            <w:r>
              <w:rPr>
                <w:rFonts w:ascii="Arial" w:cs="Arial" w:eastAsia="Arial" w:hAnsi="Arial"/>
                <w:sz w:val="13"/>
                <w:szCs w:val="13"/>
                <w:color w:val="auto"/>
              </w:rPr>
              <w:t>2022 Secured Notes interest</w:t>
            </w:r>
          </w:p>
        </w:tc>
        <w:tc>
          <w:tcPr>
            <w:tcW w:w="300" w:type="dxa"/>
            <w:vAlign w:val="bottom"/>
          </w:tcPr>
          <w:p>
            <w:pPr>
              <w:spacing w:after="0"/>
              <w:rPr>
                <w:sz w:val="14"/>
                <w:szCs w:val="14"/>
                <w:color w:val="auto"/>
              </w:rPr>
            </w:pPr>
          </w:p>
        </w:tc>
        <w:tc>
          <w:tcPr>
            <w:tcW w:w="2320" w:type="dxa"/>
            <w:vAlign w:val="bottom"/>
          </w:tcPr>
          <w:p>
            <w:pPr>
              <w:jc w:val="right"/>
              <w:spacing w:after="0"/>
              <w:rPr>
                <w:sz w:val="20"/>
                <w:szCs w:val="20"/>
                <w:color w:val="auto"/>
              </w:rPr>
            </w:pPr>
            <w:r>
              <w:rPr>
                <w:rFonts w:ascii="Arial" w:cs="Arial" w:eastAsia="Arial" w:hAnsi="Arial"/>
                <w:sz w:val="13"/>
                <w:szCs w:val="13"/>
                <w:color w:val="auto"/>
              </w:rPr>
              <w:t>(10,631)</w:t>
            </w:r>
          </w:p>
        </w:tc>
      </w:tr>
      <w:tr>
        <w:trPr>
          <w:trHeight w:val="178"/>
        </w:trPr>
        <w:tc>
          <w:tcPr>
            <w:tcW w:w="8660" w:type="dxa"/>
            <w:vAlign w:val="bottom"/>
            <w:shd w:val="clear" w:color="auto" w:fill="DBDBDB"/>
          </w:tcPr>
          <w:p>
            <w:pPr>
              <w:ind w:left="20"/>
              <w:spacing w:after="0"/>
              <w:rPr>
                <w:sz w:val="20"/>
                <w:szCs w:val="20"/>
                <w:color w:val="auto"/>
              </w:rPr>
            </w:pPr>
            <w:r>
              <w:rPr>
                <w:rFonts w:ascii="Arial" w:cs="Arial" w:eastAsia="Arial" w:hAnsi="Arial"/>
                <w:sz w:val="13"/>
                <w:szCs w:val="13"/>
                <w:color w:val="auto"/>
              </w:rPr>
              <w:t>2025 Secured Notes interest</w:t>
            </w:r>
          </w:p>
        </w:tc>
        <w:tc>
          <w:tcPr>
            <w:tcW w:w="300" w:type="dxa"/>
            <w:vAlign w:val="bottom"/>
            <w:shd w:val="clear" w:color="auto" w:fill="DBDBDB"/>
          </w:tcPr>
          <w:p>
            <w:pPr>
              <w:spacing w:after="0"/>
              <w:rPr>
                <w:sz w:val="15"/>
                <w:szCs w:val="15"/>
                <w:color w:val="auto"/>
              </w:rPr>
            </w:pPr>
          </w:p>
        </w:tc>
        <w:tc>
          <w:tcPr>
            <w:tcW w:w="2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18,247</w:t>
            </w:r>
          </w:p>
        </w:tc>
      </w:tr>
      <w:tr>
        <w:trPr>
          <w:trHeight w:val="172"/>
        </w:trPr>
        <w:tc>
          <w:tcPr>
            <w:tcW w:w="8660" w:type="dxa"/>
            <w:vAlign w:val="bottom"/>
          </w:tcPr>
          <w:p>
            <w:pPr>
              <w:ind w:left="20"/>
              <w:spacing w:after="0"/>
              <w:rPr>
                <w:sz w:val="20"/>
                <w:szCs w:val="20"/>
                <w:color w:val="auto"/>
              </w:rPr>
            </w:pPr>
            <w:r>
              <w:rPr>
                <w:rFonts w:ascii="Arial" w:cs="Arial" w:eastAsia="Arial" w:hAnsi="Arial"/>
                <w:sz w:val="13"/>
                <w:szCs w:val="13"/>
                <w:color w:val="auto"/>
              </w:rPr>
              <w:t>Mobile Mini debt interest</w:t>
            </w:r>
          </w:p>
        </w:tc>
        <w:tc>
          <w:tcPr>
            <w:tcW w:w="300" w:type="dxa"/>
            <w:vAlign w:val="bottom"/>
          </w:tcPr>
          <w:p>
            <w:pPr>
              <w:spacing w:after="0"/>
              <w:rPr>
                <w:sz w:val="14"/>
                <w:szCs w:val="14"/>
                <w:color w:val="auto"/>
              </w:rPr>
            </w:pPr>
          </w:p>
        </w:tc>
        <w:tc>
          <w:tcPr>
            <w:tcW w:w="2320" w:type="dxa"/>
            <w:vAlign w:val="bottom"/>
          </w:tcPr>
          <w:p>
            <w:pPr>
              <w:jc w:val="right"/>
              <w:spacing w:after="0"/>
              <w:rPr>
                <w:sz w:val="20"/>
                <w:szCs w:val="20"/>
                <w:color w:val="auto"/>
              </w:rPr>
            </w:pPr>
            <w:r>
              <w:rPr>
                <w:rFonts w:ascii="Arial" w:cs="Arial" w:eastAsia="Arial" w:hAnsi="Arial"/>
                <w:sz w:val="13"/>
                <w:szCs w:val="13"/>
                <w:color w:val="auto"/>
              </w:rPr>
              <w:t>(15,921)</w:t>
            </w:r>
          </w:p>
        </w:tc>
      </w:tr>
      <w:tr>
        <w:trPr>
          <w:trHeight w:val="175"/>
        </w:trPr>
        <w:tc>
          <w:tcPr>
            <w:tcW w:w="8660" w:type="dxa"/>
            <w:vAlign w:val="bottom"/>
            <w:shd w:val="clear" w:color="auto" w:fill="DBDBDB"/>
          </w:tcPr>
          <w:p>
            <w:pPr>
              <w:ind w:left="20"/>
              <w:spacing w:after="0"/>
              <w:rPr>
                <w:sz w:val="20"/>
                <w:szCs w:val="20"/>
                <w:color w:val="auto"/>
              </w:rPr>
            </w:pPr>
            <w:r>
              <w:rPr>
                <w:rFonts w:ascii="Arial" w:cs="Arial" w:eastAsia="Arial" w:hAnsi="Arial"/>
                <w:sz w:val="13"/>
                <w:szCs w:val="13"/>
                <w:color w:val="auto"/>
              </w:rPr>
              <w:t>Deferred financing fee amortization</w:t>
            </w:r>
          </w:p>
        </w:tc>
        <w:tc>
          <w:tcPr>
            <w:tcW w:w="300" w:type="dxa"/>
            <w:vAlign w:val="bottom"/>
            <w:tcBorders>
              <w:bottom w:val="single" w:sz="8" w:color="auto"/>
            </w:tcBorders>
            <w:shd w:val="clear" w:color="auto" w:fill="DBDBDB"/>
          </w:tcPr>
          <w:p>
            <w:pPr>
              <w:spacing w:after="0"/>
              <w:rPr>
                <w:sz w:val="15"/>
                <w:szCs w:val="15"/>
                <w:color w:val="auto"/>
              </w:rPr>
            </w:pPr>
          </w:p>
        </w:tc>
        <w:tc>
          <w:tcPr>
            <w:tcW w:w="2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1,058</w:t>
            </w:r>
          </w:p>
        </w:tc>
      </w:tr>
      <w:tr>
        <w:trPr>
          <w:trHeight w:val="169"/>
        </w:trPr>
        <w:tc>
          <w:tcPr>
            <w:tcW w:w="8660" w:type="dxa"/>
            <w:vAlign w:val="bottom"/>
          </w:tcPr>
          <w:p>
            <w:pPr>
              <w:ind w:left="20"/>
              <w:spacing w:after="0"/>
              <w:rPr>
                <w:sz w:val="20"/>
                <w:szCs w:val="20"/>
                <w:color w:val="auto"/>
              </w:rPr>
            </w:pPr>
            <w:r>
              <w:rPr>
                <w:rFonts w:ascii="Arial" w:cs="Arial" w:eastAsia="Arial" w:hAnsi="Arial"/>
                <w:sz w:val="13"/>
                <w:szCs w:val="13"/>
                <w:color w:val="auto"/>
              </w:rPr>
              <w:t>Net pro forma adjustment</w:t>
            </w:r>
          </w:p>
        </w:tc>
        <w:tc>
          <w:tcPr>
            <w:tcW w:w="30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color w:val="auto"/>
                <w:w w:val="82"/>
              </w:rPr>
              <w:t>$</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(9,808)</w:t>
            </w:r>
          </w:p>
        </w:tc>
      </w:tr>
      <w:tr>
        <w:trPr>
          <w:trHeight w:val="20"/>
        </w:trPr>
        <w:tc>
          <w:tcPr>
            <w:tcW w:w="8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60" w:right="319" w:bottom="1440" w:gutter="0" w:footer="0" w:header="0"/>
        </w:sectPr>
      </w:pPr>
    </w:p>
    <w:bookmarkStart w:id="57" w:name="page58"/>
    <w:bookmarkEnd w:id="57"/>
    <w:p>
      <w:pPr>
        <w:spacing w:after="0"/>
        <w:rPr>
          <w:sz w:val="20"/>
          <w:szCs w:val="20"/>
          <w:color w:val="auto"/>
        </w:rPr>
      </w:pPr>
      <w:r>
        <w:rPr>
          <w:rFonts w:ascii="Arial" w:cs="Arial" w:eastAsia="Arial" w:hAnsi="Arial"/>
          <w:sz w:val="19"/>
          <w:szCs w:val="19"/>
          <w:color w:val="1D2758"/>
        </w:rPr>
        <w:t>Reconciliation of Pro Forma Adjusted EBITDA</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660" w:type="dxa"/>
            <w:vAlign w:val="bottom"/>
          </w:tcPr>
          <w:p>
            <w:pPr>
              <w:ind w:left="540"/>
              <w:spacing w:after="0"/>
              <w:rPr>
                <w:sz w:val="20"/>
                <w:szCs w:val="20"/>
                <w:color w:val="auto"/>
              </w:rPr>
            </w:pPr>
            <w:r>
              <w:rPr>
                <w:rFonts w:ascii="Arial" w:cs="Arial" w:eastAsia="Arial" w:hAnsi="Arial"/>
                <w:sz w:val="13"/>
                <w:szCs w:val="13"/>
                <w:color w:val="auto"/>
              </w:rPr>
              <w:t>The following unaudited table provides a reconciliation of proforma Net income to pro forma unaudited Adjusted EBITDA:</w:t>
            </w:r>
          </w:p>
        </w:tc>
        <w:tc>
          <w:tcPr>
            <w:tcW w:w="30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60"/>
        </w:trPr>
        <w:tc>
          <w:tcPr>
            <w:tcW w:w="8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320" w:type="dxa"/>
            <w:vAlign w:val="bottom"/>
          </w:tcPr>
          <w:p>
            <w:pPr>
              <w:spacing w:after="0"/>
              <w:rPr>
                <w:sz w:val="5"/>
                <w:szCs w:val="5"/>
                <w:color w:val="auto"/>
              </w:rPr>
            </w:pPr>
          </w:p>
        </w:tc>
      </w:tr>
      <w:tr>
        <w:trPr>
          <w:trHeight w:val="173"/>
        </w:trPr>
        <w:tc>
          <w:tcPr>
            <w:tcW w:w="8660" w:type="dxa"/>
            <w:vAlign w:val="bottom"/>
            <w:shd w:val="clear" w:color="auto" w:fill="1D2758"/>
          </w:tcPr>
          <w:p>
            <w:pPr>
              <w:spacing w:after="0"/>
              <w:rPr>
                <w:sz w:val="15"/>
                <w:szCs w:val="15"/>
                <w:color w:val="auto"/>
              </w:rPr>
            </w:pPr>
          </w:p>
        </w:tc>
        <w:tc>
          <w:tcPr>
            <w:tcW w:w="300" w:type="dxa"/>
            <w:vAlign w:val="bottom"/>
            <w:shd w:val="clear" w:color="auto" w:fill="1D2758"/>
          </w:tcPr>
          <w:p>
            <w:pPr>
              <w:spacing w:after="0"/>
              <w:rPr>
                <w:sz w:val="15"/>
                <w:szCs w:val="15"/>
                <w:color w:val="auto"/>
              </w:rPr>
            </w:pPr>
          </w:p>
        </w:tc>
        <w:tc>
          <w:tcPr>
            <w:tcW w:w="2320" w:type="dxa"/>
            <w:vAlign w:val="bottom"/>
            <w:shd w:val="clear" w:color="auto" w:fill="1D2758"/>
          </w:tcPr>
          <w:p>
            <w:pPr>
              <w:jc w:val="right"/>
              <w:ind w:right="434"/>
              <w:spacing w:after="0"/>
              <w:rPr>
                <w:sz w:val="20"/>
                <w:szCs w:val="20"/>
                <w:color w:val="auto"/>
              </w:rPr>
            </w:pPr>
            <w:r>
              <w:rPr>
                <w:rFonts w:ascii="Arial" w:cs="Arial" w:eastAsia="Arial" w:hAnsi="Arial"/>
                <w:sz w:val="13"/>
                <w:szCs w:val="13"/>
                <w:b w:val="1"/>
                <w:bCs w:val="1"/>
                <w:color w:val="FFFFFF"/>
              </w:rPr>
              <w:t>Year Ended December 31,</w:t>
            </w:r>
          </w:p>
        </w:tc>
      </w:tr>
      <w:tr>
        <w:trPr>
          <w:trHeight w:val="177"/>
        </w:trPr>
        <w:tc>
          <w:tcPr>
            <w:tcW w:w="866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300" w:type="dxa"/>
            <w:vAlign w:val="bottom"/>
            <w:shd w:val="clear" w:color="auto" w:fill="1D2758"/>
          </w:tcPr>
          <w:p>
            <w:pPr>
              <w:spacing w:after="0"/>
              <w:rPr>
                <w:sz w:val="15"/>
                <w:szCs w:val="15"/>
                <w:color w:val="auto"/>
              </w:rPr>
            </w:pPr>
          </w:p>
        </w:tc>
        <w:tc>
          <w:tcPr>
            <w:tcW w:w="2320" w:type="dxa"/>
            <w:vAlign w:val="bottom"/>
            <w:shd w:val="clear" w:color="auto" w:fill="1D2758"/>
          </w:tcPr>
          <w:p>
            <w:pPr>
              <w:jc w:val="right"/>
              <w:ind w:right="1094"/>
              <w:spacing w:after="0"/>
              <w:rPr>
                <w:sz w:val="20"/>
                <w:szCs w:val="20"/>
                <w:color w:val="auto"/>
              </w:rPr>
            </w:pPr>
            <w:r>
              <w:rPr>
                <w:rFonts w:ascii="Arial" w:cs="Arial" w:eastAsia="Arial" w:hAnsi="Arial"/>
                <w:sz w:val="13"/>
                <w:szCs w:val="13"/>
                <w:b w:val="1"/>
                <w:bCs w:val="1"/>
                <w:color w:val="FFFFFF"/>
              </w:rPr>
              <w:t>2020</w:t>
            </w:r>
          </w:p>
        </w:tc>
      </w:tr>
      <w:tr>
        <w:trPr>
          <w:trHeight w:val="175"/>
        </w:trPr>
        <w:tc>
          <w:tcPr>
            <w:tcW w:w="8660" w:type="dxa"/>
            <w:vAlign w:val="bottom"/>
            <w:shd w:val="clear" w:color="auto" w:fill="DBDBDB"/>
          </w:tcPr>
          <w:p>
            <w:pPr>
              <w:ind w:left="20"/>
              <w:spacing w:after="0"/>
              <w:rPr>
                <w:sz w:val="20"/>
                <w:szCs w:val="20"/>
                <w:color w:val="auto"/>
              </w:rPr>
            </w:pPr>
            <w:r>
              <w:rPr>
                <w:rFonts w:ascii="Arial" w:cs="Arial" w:eastAsia="Arial" w:hAnsi="Arial"/>
                <w:sz w:val="13"/>
                <w:szCs w:val="13"/>
                <w:color w:val="auto"/>
              </w:rPr>
              <w:t>Net income</w:t>
            </w:r>
          </w:p>
        </w:tc>
        <w:tc>
          <w:tcPr>
            <w:tcW w:w="30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w w:val="82"/>
              </w:rPr>
              <w:t>$</w:t>
            </w:r>
          </w:p>
        </w:tc>
        <w:tc>
          <w:tcPr>
            <w:tcW w:w="2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123,826</w:t>
            </w:r>
          </w:p>
        </w:tc>
      </w:tr>
      <w:tr>
        <w:trPr>
          <w:trHeight w:val="172"/>
        </w:trPr>
        <w:tc>
          <w:tcPr>
            <w:tcW w:w="8660" w:type="dxa"/>
            <w:vAlign w:val="bottom"/>
          </w:tcPr>
          <w:p>
            <w:pPr>
              <w:ind w:left="200"/>
              <w:spacing w:after="0"/>
              <w:rPr>
                <w:sz w:val="20"/>
                <w:szCs w:val="20"/>
                <w:color w:val="auto"/>
              </w:rPr>
            </w:pPr>
            <w:r>
              <w:rPr>
                <w:rFonts w:ascii="Arial" w:cs="Arial" w:eastAsia="Arial" w:hAnsi="Arial"/>
                <w:sz w:val="13"/>
                <w:szCs w:val="13"/>
                <w:color w:val="auto"/>
              </w:rPr>
              <w:t>Income tax expense</w:t>
            </w:r>
          </w:p>
        </w:tc>
        <w:tc>
          <w:tcPr>
            <w:tcW w:w="300" w:type="dxa"/>
            <w:vAlign w:val="bottom"/>
          </w:tcPr>
          <w:p>
            <w:pPr>
              <w:spacing w:after="0"/>
              <w:rPr>
                <w:sz w:val="14"/>
                <w:szCs w:val="14"/>
                <w:color w:val="auto"/>
              </w:rPr>
            </w:pPr>
          </w:p>
        </w:tc>
        <w:tc>
          <w:tcPr>
            <w:tcW w:w="2320" w:type="dxa"/>
            <w:vAlign w:val="bottom"/>
          </w:tcPr>
          <w:p>
            <w:pPr>
              <w:jc w:val="right"/>
              <w:spacing w:after="0"/>
              <w:rPr>
                <w:sz w:val="20"/>
                <w:szCs w:val="20"/>
                <w:color w:val="auto"/>
              </w:rPr>
            </w:pPr>
            <w:r>
              <w:rPr>
                <w:rFonts w:ascii="Arial" w:cs="Arial" w:eastAsia="Arial" w:hAnsi="Arial"/>
                <w:sz w:val="13"/>
                <w:szCs w:val="13"/>
                <w:color w:val="auto"/>
              </w:rPr>
              <w:t>34,549</w:t>
            </w:r>
          </w:p>
        </w:tc>
      </w:tr>
      <w:tr>
        <w:trPr>
          <w:trHeight w:val="178"/>
        </w:trPr>
        <w:tc>
          <w:tcPr>
            <w:tcW w:w="86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Loss on extinguishment of debt</w:t>
            </w:r>
          </w:p>
        </w:tc>
        <w:tc>
          <w:tcPr>
            <w:tcW w:w="300" w:type="dxa"/>
            <w:vAlign w:val="bottom"/>
            <w:shd w:val="clear" w:color="auto" w:fill="DBDBDB"/>
          </w:tcPr>
          <w:p>
            <w:pPr>
              <w:spacing w:after="0"/>
              <w:rPr>
                <w:sz w:val="15"/>
                <w:szCs w:val="15"/>
                <w:color w:val="auto"/>
              </w:rPr>
            </w:pPr>
          </w:p>
        </w:tc>
        <w:tc>
          <w:tcPr>
            <w:tcW w:w="2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22,719</w:t>
            </w:r>
          </w:p>
        </w:tc>
      </w:tr>
      <w:tr>
        <w:trPr>
          <w:trHeight w:val="172"/>
        </w:trPr>
        <w:tc>
          <w:tcPr>
            <w:tcW w:w="8660" w:type="dxa"/>
            <w:vAlign w:val="bottom"/>
          </w:tcPr>
          <w:p>
            <w:pPr>
              <w:ind w:left="200"/>
              <w:spacing w:after="0"/>
              <w:rPr>
                <w:sz w:val="20"/>
                <w:szCs w:val="20"/>
                <w:color w:val="auto"/>
              </w:rPr>
            </w:pPr>
            <w:r>
              <w:rPr>
                <w:rFonts w:ascii="Arial" w:cs="Arial" w:eastAsia="Arial" w:hAnsi="Arial"/>
                <w:sz w:val="13"/>
                <w:szCs w:val="13"/>
                <w:color w:val="auto"/>
              </w:rPr>
              <w:t>Fair value gain on common stock warrant liabilities</w:t>
            </w:r>
          </w:p>
        </w:tc>
        <w:tc>
          <w:tcPr>
            <w:tcW w:w="300" w:type="dxa"/>
            <w:vAlign w:val="bottom"/>
          </w:tcPr>
          <w:p>
            <w:pPr>
              <w:spacing w:after="0"/>
              <w:rPr>
                <w:sz w:val="14"/>
                <w:szCs w:val="14"/>
                <w:color w:val="auto"/>
              </w:rPr>
            </w:pPr>
          </w:p>
        </w:tc>
        <w:tc>
          <w:tcPr>
            <w:tcW w:w="2320" w:type="dxa"/>
            <w:vAlign w:val="bottom"/>
          </w:tcPr>
          <w:p>
            <w:pPr>
              <w:jc w:val="right"/>
              <w:spacing w:after="0"/>
              <w:rPr>
                <w:sz w:val="20"/>
                <w:szCs w:val="20"/>
                <w:color w:val="auto"/>
              </w:rPr>
            </w:pPr>
            <w:r>
              <w:rPr>
                <w:rFonts w:ascii="Arial" w:cs="Arial" w:eastAsia="Arial" w:hAnsi="Arial"/>
                <w:sz w:val="13"/>
                <w:szCs w:val="13"/>
                <w:color w:val="auto"/>
              </w:rPr>
              <w:t>(3,461)</w:t>
            </w:r>
          </w:p>
        </w:tc>
      </w:tr>
      <w:tr>
        <w:trPr>
          <w:trHeight w:val="178"/>
        </w:trPr>
        <w:tc>
          <w:tcPr>
            <w:tcW w:w="86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Interest expense</w:t>
            </w:r>
          </w:p>
        </w:tc>
        <w:tc>
          <w:tcPr>
            <w:tcW w:w="300" w:type="dxa"/>
            <w:vAlign w:val="bottom"/>
            <w:shd w:val="clear" w:color="auto" w:fill="DBDBDB"/>
          </w:tcPr>
          <w:p>
            <w:pPr>
              <w:spacing w:after="0"/>
              <w:rPr>
                <w:sz w:val="15"/>
                <w:szCs w:val="15"/>
                <w:color w:val="auto"/>
              </w:rPr>
            </w:pPr>
          </w:p>
        </w:tc>
        <w:tc>
          <w:tcPr>
            <w:tcW w:w="2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127,052</w:t>
            </w:r>
          </w:p>
        </w:tc>
      </w:tr>
      <w:tr>
        <w:trPr>
          <w:trHeight w:val="172"/>
        </w:trPr>
        <w:tc>
          <w:tcPr>
            <w:tcW w:w="8660" w:type="dxa"/>
            <w:vAlign w:val="bottom"/>
          </w:tcPr>
          <w:p>
            <w:pPr>
              <w:ind w:left="200"/>
              <w:spacing w:after="0"/>
              <w:rPr>
                <w:sz w:val="20"/>
                <w:szCs w:val="20"/>
                <w:color w:val="auto"/>
              </w:rPr>
            </w:pPr>
            <w:r>
              <w:rPr>
                <w:rFonts w:ascii="Arial" w:cs="Arial" w:eastAsia="Arial" w:hAnsi="Arial"/>
                <w:sz w:val="13"/>
                <w:szCs w:val="13"/>
                <w:color w:val="auto"/>
              </w:rPr>
              <w:t>Depreciation and amortization</w:t>
            </w:r>
          </w:p>
        </w:tc>
        <w:tc>
          <w:tcPr>
            <w:tcW w:w="300" w:type="dxa"/>
            <w:vAlign w:val="bottom"/>
          </w:tcPr>
          <w:p>
            <w:pPr>
              <w:spacing w:after="0"/>
              <w:rPr>
                <w:sz w:val="14"/>
                <w:szCs w:val="14"/>
                <w:color w:val="auto"/>
              </w:rPr>
            </w:pPr>
          </w:p>
        </w:tc>
        <w:tc>
          <w:tcPr>
            <w:tcW w:w="2320" w:type="dxa"/>
            <w:vAlign w:val="bottom"/>
          </w:tcPr>
          <w:p>
            <w:pPr>
              <w:jc w:val="right"/>
              <w:spacing w:after="0"/>
              <w:rPr>
                <w:sz w:val="20"/>
                <w:szCs w:val="20"/>
                <w:color w:val="auto"/>
              </w:rPr>
            </w:pPr>
            <w:r>
              <w:rPr>
                <w:rFonts w:ascii="Arial" w:cs="Arial" w:eastAsia="Arial" w:hAnsi="Arial"/>
                <w:sz w:val="13"/>
                <w:szCs w:val="13"/>
                <w:color w:val="auto"/>
              </w:rPr>
              <w:t>292,616</w:t>
            </w:r>
          </w:p>
        </w:tc>
      </w:tr>
      <w:tr>
        <w:trPr>
          <w:trHeight w:val="178"/>
        </w:trPr>
        <w:tc>
          <w:tcPr>
            <w:tcW w:w="86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Currency gains, net</w:t>
            </w:r>
          </w:p>
        </w:tc>
        <w:tc>
          <w:tcPr>
            <w:tcW w:w="300" w:type="dxa"/>
            <w:vAlign w:val="bottom"/>
            <w:shd w:val="clear" w:color="auto" w:fill="DBDBDB"/>
          </w:tcPr>
          <w:p>
            <w:pPr>
              <w:spacing w:after="0"/>
              <w:rPr>
                <w:sz w:val="15"/>
                <w:szCs w:val="15"/>
                <w:color w:val="auto"/>
              </w:rPr>
            </w:pPr>
          </w:p>
        </w:tc>
        <w:tc>
          <w:tcPr>
            <w:tcW w:w="2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(316)</w:t>
            </w:r>
          </w:p>
        </w:tc>
      </w:tr>
      <w:tr>
        <w:trPr>
          <w:trHeight w:val="172"/>
        </w:trPr>
        <w:tc>
          <w:tcPr>
            <w:tcW w:w="8660" w:type="dxa"/>
            <w:vAlign w:val="bottom"/>
          </w:tcPr>
          <w:p>
            <w:pPr>
              <w:ind w:left="200"/>
              <w:spacing w:after="0"/>
              <w:rPr>
                <w:sz w:val="20"/>
                <w:szCs w:val="20"/>
                <w:color w:val="auto"/>
              </w:rPr>
            </w:pPr>
            <w:r>
              <w:rPr>
                <w:rFonts w:ascii="Arial" w:cs="Arial" w:eastAsia="Arial" w:hAnsi="Arial"/>
                <w:sz w:val="13"/>
                <w:szCs w:val="13"/>
                <w:color w:val="auto"/>
              </w:rPr>
              <w:t>Restructuring costs, lease impairment expense, other related charges</w:t>
            </w:r>
          </w:p>
        </w:tc>
        <w:tc>
          <w:tcPr>
            <w:tcW w:w="300" w:type="dxa"/>
            <w:vAlign w:val="bottom"/>
          </w:tcPr>
          <w:p>
            <w:pPr>
              <w:spacing w:after="0"/>
              <w:rPr>
                <w:sz w:val="14"/>
                <w:szCs w:val="14"/>
                <w:color w:val="auto"/>
              </w:rPr>
            </w:pPr>
          </w:p>
        </w:tc>
        <w:tc>
          <w:tcPr>
            <w:tcW w:w="2320" w:type="dxa"/>
            <w:vAlign w:val="bottom"/>
          </w:tcPr>
          <w:p>
            <w:pPr>
              <w:jc w:val="right"/>
              <w:spacing w:after="0"/>
              <w:rPr>
                <w:sz w:val="20"/>
                <w:szCs w:val="20"/>
                <w:color w:val="auto"/>
              </w:rPr>
            </w:pPr>
            <w:r>
              <w:rPr>
                <w:rFonts w:ascii="Arial" w:cs="Arial" w:eastAsia="Arial" w:hAnsi="Arial"/>
                <w:sz w:val="13"/>
                <w:szCs w:val="13"/>
                <w:color w:val="auto"/>
              </w:rPr>
              <w:t>11,403</w:t>
            </w:r>
          </w:p>
        </w:tc>
      </w:tr>
      <w:tr>
        <w:trPr>
          <w:trHeight w:val="178"/>
        </w:trPr>
        <w:tc>
          <w:tcPr>
            <w:tcW w:w="86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Integration costs</w:t>
            </w:r>
          </w:p>
        </w:tc>
        <w:tc>
          <w:tcPr>
            <w:tcW w:w="300" w:type="dxa"/>
            <w:vAlign w:val="bottom"/>
            <w:shd w:val="clear" w:color="auto" w:fill="DBDBDB"/>
          </w:tcPr>
          <w:p>
            <w:pPr>
              <w:spacing w:after="0"/>
              <w:rPr>
                <w:sz w:val="15"/>
                <w:szCs w:val="15"/>
                <w:color w:val="auto"/>
              </w:rPr>
            </w:pPr>
          </w:p>
        </w:tc>
        <w:tc>
          <w:tcPr>
            <w:tcW w:w="2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18,338</w:t>
            </w:r>
          </w:p>
        </w:tc>
      </w:tr>
      <w:tr>
        <w:trPr>
          <w:trHeight w:val="172"/>
        </w:trPr>
        <w:tc>
          <w:tcPr>
            <w:tcW w:w="8660" w:type="dxa"/>
            <w:vAlign w:val="bottom"/>
          </w:tcPr>
          <w:p>
            <w:pPr>
              <w:ind w:left="200"/>
              <w:spacing w:after="0"/>
              <w:rPr>
                <w:sz w:val="20"/>
                <w:szCs w:val="20"/>
                <w:color w:val="auto"/>
              </w:rPr>
            </w:pPr>
            <w:r>
              <w:rPr>
                <w:rFonts w:ascii="Arial" w:cs="Arial" w:eastAsia="Arial" w:hAnsi="Arial"/>
                <w:sz w:val="13"/>
                <w:szCs w:val="13"/>
                <w:color w:val="auto"/>
              </w:rPr>
              <w:t>Stock compensation expense</w:t>
            </w:r>
          </w:p>
        </w:tc>
        <w:tc>
          <w:tcPr>
            <w:tcW w:w="300" w:type="dxa"/>
            <w:vAlign w:val="bottom"/>
          </w:tcPr>
          <w:p>
            <w:pPr>
              <w:spacing w:after="0"/>
              <w:rPr>
                <w:sz w:val="14"/>
                <w:szCs w:val="14"/>
                <w:color w:val="auto"/>
              </w:rPr>
            </w:pPr>
          </w:p>
        </w:tc>
        <w:tc>
          <w:tcPr>
            <w:tcW w:w="2320" w:type="dxa"/>
            <w:vAlign w:val="bottom"/>
          </w:tcPr>
          <w:p>
            <w:pPr>
              <w:jc w:val="right"/>
              <w:spacing w:after="0"/>
              <w:rPr>
                <w:sz w:val="20"/>
                <w:szCs w:val="20"/>
                <w:color w:val="auto"/>
              </w:rPr>
            </w:pPr>
            <w:r>
              <w:rPr>
                <w:rFonts w:ascii="Arial" w:cs="Arial" w:eastAsia="Arial" w:hAnsi="Arial"/>
                <w:sz w:val="13"/>
                <w:szCs w:val="13"/>
                <w:color w:val="auto"/>
              </w:rPr>
              <w:t>15,280</w:t>
            </w:r>
          </w:p>
        </w:tc>
      </w:tr>
      <w:tr>
        <w:trPr>
          <w:trHeight w:val="175"/>
        </w:trPr>
        <w:tc>
          <w:tcPr>
            <w:tcW w:w="86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Other</w:t>
            </w:r>
          </w:p>
        </w:tc>
        <w:tc>
          <w:tcPr>
            <w:tcW w:w="300" w:type="dxa"/>
            <w:vAlign w:val="bottom"/>
            <w:tcBorders>
              <w:bottom w:val="single" w:sz="8" w:color="auto"/>
            </w:tcBorders>
            <w:shd w:val="clear" w:color="auto" w:fill="DBDBDB"/>
          </w:tcPr>
          <w:p>
            <w:pPr>
              <w:spacing w:after="0"/>
              <w:rPr>
                <w:sz w:val="15"/>
                <w:szCs w:val="15"/>
                <w:color w:val="auto"/>
              </w:rPr>
            </w:pPr>
          </w:p>
        </w:tc>
        <w:tc>
          <w:tcPr>
            <w:tcW w:w="2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4,459</w:t>
            </w:r>
          </w:p>
        </w:tc>
      </w:tr>
      <w:tr>
        <w:trPr>
          <w:trHeight w:val="169"/>
        </w:trPr>
        <w:tc>
          <w:tcPr>
            <w:tcW w:w="8660" w:type="dxa"/>
            <w:vAlign w:val="bottom"/>
          </w:tcPr>
          <w:p>
            <w:pPr>
              <w:ind w:left="20"/>
              <w:spacing w:after="0"/>
              <w:rPr>
                <w:sz w:val="20"/>
                <w:szCs w:val="20"/>
                <w:color w:val="auto"/>
              </w:rPr>
            </w:pPr>
            <w:r>
              <w:rPr>
                <w:rFonts w:ascii="Arial" w:cs="Arial" w:eastAsia="Arial" w:hAnsi="Arial"/>
                <w:sz w:val="13"/>
                <w:szCs w:val="13"/>
                <w:color w:val="auto"/>
              </w:rPr>
              <w:t>Adjusted EBITDA</w:t>
            </w:r>
          </w:p>
        </w:tc>
        <w:tc>
          <w:tcPr>
            <w:tcW w:w="30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color w:val="auto"/>
                <w:w w:val="82"/>
              </w:rPr>
              <w:t>$</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646,465</w:t>
            </w:r>
          </w:p>
        </w:tc>
      </w:tr>
      <w:tr>
        <w:trPr>
          <w:trHeight w:val="20"/>
        </w:trPr>
        <w:tc>
          <w:tcPr>
            <w:tcW w:w="8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9"/>
          <w:szCs w:val="19"/>
          <w:color w:val="1D2758"/>
        </w:rPr>
        <w:t>Summary Business Segment Supplemental Pro Forma Financial Information</w:t>
      </w:r>
    </w:p>
    <w:p>
      <w:pPr>
        <w:spacing w:after="0" w:line="75" w:lineRule="exact"/>
        <w:rPr>
          <w:sz w:val="20"/>
          <w:szCs w:val="20"/>
          <w:color w:val="auto"/>
        </w:rPr>
      </w:pPr>
    </w:p>
    <w:p>
      <w:pPr>
        <w:jc w:val="both"/>
        <w:ind w:firstLine="524"/>
        <w:spacing w:after="0" w:line="248" w:lineRule="auto"/>
        <w:rPr>
          <w:sz w:val="20"/>
          <w:szCs w:val="20"/>
          <w:color w:val="auto"/>
        </w:rPr>
      </w:pPr>
      <w:r>
        <w:rPr>
          <w:rFonts w:ascii="Arial" w:cs="Arial" w:eastAsia="Arial" w:hAnsi="Arial"/>
          <w:sz w:val="13"/>
          <w:szCs w:val="13"/>
          <w:color w:val="auto"/>
        </w:rPr>
        <w:t>As a result of the Merger and the significant related financing transactions, we believe presenting supplemental pro forma financial information is beneficial to the readers of the financial statements as we believe this is a better representation of the go-forward operations of the combined company, and we believe this information is useful to investors in order for them to better understand the combined historical financial results of the legacy businesses for comparative purposes. The following table sets forth key metrics used by management to run the business on a pro forma basis as if the Merger and related financing transactions had occurred on January 1, 2019. Refer to the Supplemental Pro Forma Financial Information section above for the full reconciliation of the statement of operations.</w:t>
      </w:r>
    </w:p>
    <w:p>
      <w:pPr>
        <w:spacing w:after="0" w:line="36"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Following the Merger, we modified our management structure and expanded from two reporting segments to four segments: NA Modular, NA Storage, UK Storage and Tank and Pump. Prior to the Merger, WillScot had two reportable segments, US Modular and Other North America Modular. These two segments were combined to create the NA Modular segment, which represented the legacy WillScot operations prior to the third quarter of 2021. Prior to the third quarter of 2021, the other segments, NA Storage, UK Storage, and Tank and Pump aligned to the legacy operations and segments reported by Mobile Mini. During the third quarter of 2021, the majority of the portable storage product business within the NA Modular segment was transitioned to the NA Storage segment, and associated revenues, expenses, and operating metrics beginning in the third quarter of 2021 were transferred to the NA Storage segment. The reporting segments are aligned with how we operate and analyze our business results.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08" w:right="319" w:bottom="1440" w:gutter="0" w:footer="0" w:header="0"/>
        </w:sectPr>
      </w:pPr>
    </w:p>
    <w:bookmarkStart w:id="58" w:name="page59"/>
    <w:bookmarkEnd w:id="58"/>
    <w:p>
      <w:pPr>
        <w:spacing w:after="0"/>
        <w:rPr>
          <w:sz w:val="20"/>
          <w:szCs w:val="20"/>
          <w:color w:val="auto"/>
        </w:rPr>
      </w:pPr>
      <w:r>
        <w:rPr>
          <w:rFonts w:ascii="Arial" w:cs="Arial" w:eastAsia="Arial" w:hAnsi="Arial"/>
          <w:sz w:val="15"/>
          <w:szCs w:val="15"/>
          <w:b w:val="1"/>
          <w:bCs w:val="1"/>
          <w:color w:val="auto"/>
        </w:rPr>
        <w:t>Pro Forma Comparison of Years ended December 31, 2021 and 2020:</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00" w:type="dxa"/>
            <w:vAlign w:val="bottom"/>
            <w:shd w:val="clear" w:color="auto" w:fill="1D2758"/>
          </w:tcPr>
          <w:p>
            <w:pPr>
              <w:spacing w:after="0"/>
              <w:rPr>
                <w:sz w:val="15"/>
                <w:szCs w:val="15"/>
                <w:color w:val="auto"/>
              </w:rPr>
            </w:pPr>
          </w:p>
        </w:tc>
        <w:tc>
          <w:tcPr>
            <w:tcW w:w="160" w:type="dxa"/>
            <w:vAlign w:val="bottom"/>
            <w:shd w:val="clear" w:color="auto" w:fill="1D2758"/>
          </w:tcPr>
          <w:p>
            <w:pPr>
              <w:spacing w:after="0"/>
              <w:rPr>
                <w:sz w:val="15"/>
                <w:szCs w:val="15"/>
                <w:color w:val="auto"/>
              </w:rPr>
            </w:pPr>
          </w:p>
        </w:tc>
        <w:tc>
          <w:tcPr>
            <w:tcW w:w="3420" w:type="dxa"/>
            <w:vAlign w:val="bottom"/>
            <w:gridSpan w:val="5"/>
            <w:shd w:val="clear" w:color="auto" w:fill="1D2758"/>
          </w:tcPr>
          <w:p>
            <w:pPr>
              <w:ind w:left="100"/>
              <w:spacing w:after="0"/>
              <w:rPr>
                <w:sz w:val="20"/>
                <w:szCs w:val="20"/>
                <w:color w:val="auto"/>
              </w:rPr>
            </w:pPr>
            <w:r>
              <w:rPr>
                <w:rFonts w:ascii="Arial" w:cs="Arial" w:eastAsia="Arial" w:hAnsi="Arial"/>
                <w:sz w:val="13"/>
                <w:szCs w:val="13"/>
                <w:b w:val="1"/>
                <w:bCs w:val="1"/>
                <w:color w:val="FFFFFF"/>
              </w:rPr>
              <w:t>Pro Forma Combined Year Ended December 31,</w:t>
            </w:r>
          </w:p>
        </w:tc>
        <w:tc>
          <w:tcPr>
            <w:tcW w:w="320" w:type="dxa"/>
            <w:vAlign w:val="bottom"/>
            <w:shd w:val="clear" w:color="auto" w:fill="1D2758"/>
          </w:tcPr>
          <w:p>
            <w:pPr>
              <w:spacing w:after="0"/>
              <w:rPr>
                <w:sz w:val="15"/>
                <w:szCs w:val="15"/>
                <w:color w:val="auto"/>
              </w:rPr>
            </w:pPr>
          </w:p>
        </w:tc>
        <w:tc>
          <w:tcPr>
            <w:tcW w:w="1980" w:type="dxa"/>
            <w:vAlign w:val="bottom"/>
            <w:gridSpan w:val="3"/>
            <w:shd w:val="clear" w:color="auto" w:fill="1D2758"/>
          </w:tcPr>
          <w:p>
            <w:pPr>
              <w:ind w:left="1060"/>
              <w:spacing w:after="0"/>
              <w:rPr>
                <w:sz w:val="20"/>
                <w:szCs w:val="20"/>
                <w:color w:val="auto"/>
              </w:rPr>
            </w:pPr>
            <w:r>
              <w:rPr>
                <w:rFonts w:ascii="Arial" w:cs="Arial" w:eastAsia="Arial" w:hAnsi="Arial"/>
                <w:sz w:val="13"/>
                <w:szCs w:val="13"/>
                <w:b w:val="1"/>
                <w:bCs w:val="1"/>
                <w:color w:val="FFFFFF"/>
              </w:rPr>
              <w:t>2021 vs. 2020</w:t>
            </w:r>
          </w:p>
        </w:tc>
        <w:tc>
          <w:tcPr>
            <w:tcW w:w="1300" w:type="dxa"/>
            <w:vAlign w:val="bottom"/>
            <w:shd w:val="clear" w:color="auto" w:fill="1D2758"/>
          </w:tcPr>
          <w:p>
            <w:pPr>
              <w:spacing w:after="0"/>
              <w:rPr>
                <w:sz w:val="15"/>
                <w:szCs w:val="15"/>
                <w:color w:val="auto"/>
              </w:rPr>
            </w:pPr>
          </w:p>
        </w:tc>
      </w:tr>
      <w:tr>
        <w:trPr>
          <w:trHeight w:val="175"/>
        </w:trPr>
        <w:tc>
          <w:tcPr>
            <w:tcW w:w="410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160" w:type="dxa"/>
            <w:vAlign w:val="bottom"/>
            <w:shd w:val="clear" w:color="auto" w:fill="1D2758"/>
          </w:tcPr>
          <w:p>
            <w:pPr>
              <w:spacing w:after="0"/>
              <w:rPr>
                <w:sz w:val="15"/>
                <w:szCs w:val="15"/>
                <w:color w:val="auto"/>
              </w:rPr>
            </w:pPr>
          </w:p>
        </w:tc>
        <w:tc>
          <w:tcPr>
            <w:tcW w:w="1540" w:type="dxa"/>
            <w:vAlign w:val="bottom"/>
            <w:shd w:val="clear" w:color="auto" w:fill="1D2758"/>
          </w:tcPr>
          <w:p>
            <w:pPr>
              <w:jc w:val="right"/>
              <w:ind w:right="634"/>
              <w:spacing w:after="0"/>
              <w:rPr>
                <w:sz w:val="20"/>
                <w:szCs w:val="20"/>
                <w:color w:val="auto"/>
              </w:rPr>
            </w:pPr>
            <w:r>
              <w:rPr>
                <w:rFonts w:ascii="Arial" w:cs="Arial" w:eastAsia="Arial" w:hAnsi="Arial"/>
                <w:sz w:val="13"/>
                <w:szCs w:val="13"/>
                <w:b w:val="1"/>
                <w:bCs w:val="1"/>
                <w:color w:val="FFFFFF"/>
              </w:rPr>
              <w:t>2021</w:t>
            </w:r>
          </w:p>
        </w:tc>
        <w:tc>
          <w:tcPr>
            <w:tcW w:w="80" w:type="dxa"/>
            <w:vAlign w:val="bottom"/>
            <w:shd w:val="clear" w:color="auto" w:fill="1D2758"/>
          </w:tcPr>
          <w:p>
            <w:pPr>
              <w:spacing w:after="0"/>
              <w:rPr>
                <w:sz w:val="15"/>
                <w:szCs w:val="15"/>
                <w:color w:val="auto"/>
              </w:rPr>
            </w:pPr>
          </w:p>
        </w:tc>
        <w:tc>
          <w:tcPr>
            <w:tcW w:w="400" w:type="dxa"/>
            <w:vAlign w:val="bottom"/>
            <w:shd w:val="clear" w:color="auto" w:fill="1D2758"/>
          </w:tcPr>
          <w:p>
            <w:pPr>
              <w:spacing w:after="0"/>
              <w:rPr>
                <w:sz w:val="15"/>
                <w:szCs w:val="15"/>
                <w:color w:val="auto"/>
              </w:rPr>
            </w:pPr>
          </w:p>
        </w:tc>
        <w:tc>
          <w:tcPr>
            <w:tcW w:w="1300" w:type="dxa"/>
            <w:vAlign w:val="bottom"/>
            <w:shd w:val="clear" w:color="auto" w:fill="1D2758"/>
          </w:tcPr>
          <w:p>
            <w:pPr>
              <w:jc w:val="right"/>
              <w:ind w:right="634"/>
              <w:spacing w:after="0"/>
              <w:rPr>
                <w:sz w:val="20"/>
                <w:szCs w:val="20"/>
                <w:color w:val="auto"/>
              </w:rPr>
            </w:pPr>
            <w:r>
              <w:rPr>
                <w:rFonts w:ascii="Arial" w:cs="Arial" w:eastAsia="Arial" w:hAnsi="Arial"/>
                <w:sz w:val="13"/>
                <w:szCs w:val="13"/>
                <w:b w:val="1"/>
                <w:bCs w:val="1"/>
                <w:color w:val="FFFFFF"/>
              </w:rPr>
              <w:t>2020</w:t>
            </w:r>
          </w:p>
        </w:tc>
        <w:tc>
          <w:tcPr>
            <w:tcW w:w="100" w:type="dxa"/>
            <w:vAlign w:val="bottom"/>
            <w:shd w:val="clear" w:color="auto" w:fill="1D2758"/>
          </w:tcPr>
          <w:p>
            <w:pPr>
              <w:spacing w:after="0"/>
              <w:rPr>
                <w:sz w:val="15"/>
                <w:szCs w:val="15"/>
                <w:color w:val="auto"/>
              </w:rPr>
            </w:pPr>
          </w:p>
        </w:tc>
        <w:tc>
          <w:tcPr>
            <w:tcW w:w="320" w:type="dxa"/>
            <w:vAlign w:val="bottom"/>
            <w:shd w:val="clear" w:color="auto" w:fill="1D2758"/>
          </w:tcPr>
          <w:p>
            <w:pPr>
              <w:spacing w:after="0"/>
              <w:rPr>
                <w:sz w:val="15"/>
                <w:szCs w:val="15"/>
                <w:color w:val="auto"/>
              </w:rPr>
            </w:pPr>
          </w:p>
        </w:tc>
        <w:tc>
          <w:tcPr>
            <w:tcW w:w="1980" w:type="dxa"/>
            <w:vAlign w:val="bottom"/>
            <w:gridSpan w:val="3"/>
            <w:shd w:val="clear" w:color="auto" w:fill="1D2758"/>
          </w:tcPr>
          <w:p>
            <w:pPr>
              <w:ind w:left="240"/>
              <w:spacing w:after="0"/>
              <w:rPr>
                <w:sz w:val="20"/>
                <w:szCs w:val="20"/>
                <w:color w:val="auto"/>
              </w:rPr>
            </w:pPr>
            <w:r>
              <w:rPr>
                <w:rFonts w:ascii="Arial" w:cs="Arial" w:eastAsia="Arial" w:hAnsi="Arial"/>
                <w:sz w:val="13"/>
                <w:szCs w:val="13"/>
                <w:b w:val="1"/>
                <w:bCs w:val="1"/>
                <w:color w:val="FFFFFF"/>
              </w:rPr>
              <w:t>$ Change</w:t>
            </w:r>
          </w:p>
        </w:tc>
        <w:tc>
          <w:tcPr>
            <w:tcW w:w="1300" w:type="dxa"/>
            <w:vAlign w:val="bottom"/>
            <w:shd w:val="clear" w:color="auto" w:fill="1D2758"/>
          </w:tcPr>
          <w:p>
            <w:pPr>
              <w:jc w:val="right"/>
              <w:ind w:right="514"/>
              <w:spacing w:after="0"/>
              <w:rPr>
                <w:sz w:val="20"/>
                <w:szCs w:val="20"/>
                <w:color w:val="auto"/>
              </w:rPr>
            </w:pPr>
            <w:r>
              <w:rPr>
                <w:rFonts w:ascii="Arial" w:cs="Arial" w:eastAsia="Arial" w:hAnsi="Arial"/>
                <w:sz w:val="13"/>
                <w:szCs w:val="13"/>
                <w:b w:val="1"/>
                <w:bCs w:val="1"/>
                <w:color w:val="FFFFFF"/>
              </w:rPr>
              <w:t>% Change</w:t>
            </w:r>
          </w:p>
        </w:tc>
      </w:tr>
      <w:tr>
        <w:trPr>
          <w:trHeight w:val="175"/>
        </w:trPr>
        <w:tc>
          <w:tcPr>
            <w:tcW w:w="4100" w:type="dxa"/>
            <w:vAlign w:val="bottom"/>
            <w:shd w:val="clear" w:color="auto" w:fill="DBDBDB"/>
          </w:tcPr>
          <w:p>
            <w:pPr>
              <w:ind w:left="20"/>
              <w:spacing w:after="0"/>
              <w:rPr>
                <w:sz w:val="20"/>
                <w:szCs w:val="20"/>
                <w:color w:val="auto"/>
              </w:rPr>
            </w:pPr>
            <w:r>
              <w:rPr>
                <w:rFonts w:ascii="Arial" w:cs="Arial" w:eastAsia="Arial" w:hAnsi="Arial"/>
                <w:sz w:val="13"/>
                <w:szCs w:val="13"/>
                <w:color w:val="auto"/>
              </w:rPr>
              <w:t>Revenue</w:t>
            </w:r>
          </w:p>
        </w:tc>
        <w:tc>
          <w:tcPr>
            <w:tcW w:w="160" w:type="dxa"/>
            <w:vAlign w:val="bottom"/>
            <w:shd w:val="clear" w:color="auto" w:fill="DBDBDB"/>
          </w:tcPr>
          <w:p>
            <w:pPr>
              <w:jc w:val="right"/>
              <w:ind w:right="14"/>
              <w:spacing w:after="0"/>
              <w:rPr>
                <w:sz w:val="20"/>
                <w:szCs w:val="20"/>
                <w:color w:val="auto"/>
              </w:rPr>
            </w:pPr>
            <w:r>
              <w:rPr>
                <w:rFonts w:ascii="Arial" w:cs="Arial" w:eastAsia="Arial" w:hAnsi="Arial"/>
                <w:sz w:val="13"/>
                <w:szCs w:val="13"/>
                <w:color w:val="auto"/>
                <w:w w:val="82"/>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1,894,897</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1,651,885</w:t>
            </w:r>
          </w:p>
        </w:tc>
        <w:tc>
          <w:tcPr>
            <w:tcW w:w="100" w:type="dxa"/>
            <w:vAlign w:val="bottom"/>
            <w:shd w:val="clear" w:color="auto" w:fill="DBDBDB"/>
          </w:tcPr>
          <w:p>
            <w:pPr>
              <w:spacing w:after="0"/>
              <w:rPr>
                <w:sz w:val="15"/>
                <w:szCs w:val="15"/>
                <w:color w:val="auto"/>
              </w:rPr>
            </w:pPr>
          </w:p>
        </w:tc>
        <w:tc>
          <w:tcPr>
            <w:tcW w:w="320" w:type="dxa"/>
            <w:vAlign w:val="bottom"/>
            <w:shd w:val="clear" w:color="auto" w:fill="DBDBDB"/>
          </w:tcPr>
          <w:p>
            <w:pPr>
              <w:jc w:val="right"/>
              <w:ind w:right="174"/>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243,012</w:t>
            </w:r>
          </w:p>
        </w:tc>
        <w:tc>
          <w:tcPr>
            <w:tcW w:w="80" w:type="dxa"/>
            <w:vAlign w:val="bottom"/>
            <w:shd w:val="clear" w:color="auto" w:fill="DBDBDB"/>
          </w:tcPr>
          <w:p>
            <w:pPr>
              <w:spacing w:after="0"/>
              <w:rPr>
                <w:sz w:val="15"/>
                <w:szCs w:val="15"/>
                <w:color w:val="auto"/>
              </w:rPr>
            </w:pPr>
          </w:p>
        </w:tc>
        <w:tc>
          <w:tcPr>
            <w:tcW w:w="52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14.7 %</w:t>
            </w:r>
          </w:p>
        </w:tc>
      </w:tr>
      <w:tr>
        <w:trPr>
          <w:trHeight w:val="172"/>
        </w:trPr>
        <w:tc>
          <w:tcPr>
            <w:tcW w:w="4100" w:type="dxa"/>
            <w:vAlign w:val="bottom"/>
          </w:tcPr>
          <w:p>
            <w:pPr>
              <w:ind w:left="20"/>
              <w:spacing w:after="0"/>
              <w:rPr>
                <w:sz w:val="20"/>
                <w:szCs w:val="20"/>
                <w:color w:val="auto"/>
              </w:rPr>
            </w:pPr>
            <w:r>
              <w:rPr>
                <w:rFonts w:ascii="Arial" w:cs="Arial" w:eastAsia="Arial" w:hAnsi="Arial"/>
                <w:sz w:val="13"/>
                <w:szCs w:val="13"/>
                <w:color w:val="auto"/>
              </w:rPr>
              <w:t>Selling, general and administrative expenses</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511,446</w:t>
            </w:r>
          </w:p>
        </w:tc>
        <w:tc>
          <w:tcPr>
            <w:tcW w:w="80" w:type="dxa"/>
            <w:vAlign w:val="bottom"/>
          </w:tcPr>
          <w:p>
            <w:pPr>
              <w:spacing w:after="0"/>
              <w:rPr>
                <w:sz w:val="14"/>
                <w:szCs w:val="14"/>
                <w:color w:val="auto"/>
              </w:rPr>
            </w:pPr>
          </w:p>
        </w:tc>
        <w:tc>
          <w:tcPr>
            <w:tcW w:w="400" w:type="dxa"/>
            <w:vAlign w:val="bottom"/>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456,796</w:t>
            </w:r>
          </w:p>
        </w:tc>
        <w:tc>
          <w:tcPr>
            <w:tcW w:w="100" w:type="dxa"/>
            <w:vAlign w:val="bottom"/>
          </w:tcPr>
          <w:p>
            <w:pPr>
              <w:spacing w:after="0"/>
              <w:rPr>
                <w:sz w:val="14"/>
                <w:szCs w:val="14"/>
                <w:color w:val="auto"/>
              </w:rPr>
            </w:pPr>
          </w:p>
        </w:tc>
        <w:tc>
          <w:tcPr>
            <w:tcW w:w="320" w:type="dxa"/>
            <w:vAlign w:val="bottom"/>
          </w:tcPr>
          <w:p>
            <w:pPr>
              <w:jc w:val="right"/>
              <w:ind w:right="174"/>
              <w:spacing w:after="0"/>
              <w:rPr>
                <w:sz w:val="20"/>
                <w:szCs w:val="20"/>
                <w:color w:val="auto"/>
              </w:rPr>
            </w:pPr>
            <w:r>
              <w:rPr>
                <w:rFonts w:ascii="Arial" w:cs="Arial" w:eastAsia="Arial" w:hAnsi="Arial"/>
                <w:sz w:val="13"/>
                <w:szCs w:val="13"/>
                <w:color w:val="auto"/>
                <w:w w:val="82"/>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54,650</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12.0 %</w:t>
            </w:r>
          </w:p>
        </w:tc>
      </w:tr>
      <w:tr>
        <w:trPr>
          <w:trHeight w:val="178"/>
        </w:trPr>
        <w:tc>
          <w:tcPr>
            <w:tcW w:w="4100" w:type="dxa"/>
            <w:vAlign w:val="bottom"/>
            <w:shd w:val="clear" w:color="auto" w:fill="DBDBDB"/>
          </w:tcPr>
          <w:p>
            <w:pPr>
              <w:ind w:left="20"/>
              <w:spacing w:after="0"/>
              <w:rPr>
                <w:sz w:val="20"/>
                <w:szCs w:val="20"/>
                <w:color w:val="auto"/>
              </w:rPr>
            </w:pPr>
            <w:r>
              <w:rPr>
                <w:rFonts w:ascii="Arial" w:cs="Arial" w:eastAsia="Arial" w:hAnsi="Arial"/>
                <w:sz w:val="13"/>
                <w:szCs w:val="13"/>
                <w:color w:val="auto"/>
              </w:rPr>
              <w:t>Net income</w:t>
            </w:r>
          </w:p>
        </w:tc>
        <w:tc>
          <w:tcPr>
            <w:tcW w:w="160" w:type="dxa"/>
            <w:vAlign w:val="bottom"/>
            <w:shd w:val="clear" w:color="auto" w:fill="DBDBDB"/>
          </w:tcPr>
          <w:p>
            <w:pPr>
              <w:jc w:val="right"/>
              <w:ind w:right="14"/>
              <w:spacing w:after="0"/>
              <w:rPr>
                <w:sz w:val="20"/>
                <w:szCs w:val="20"/>
                <w:color w:val="auto"/>
              </w:rPr>
            </w:pPr>
            <w:r>
              <w:rPr>
                <w:rFonts w:ascii="Arial" w:cs="Arial" w:eastAsia="Arial" w:hAnsi="Arial"/>
                <w:sz w:val="13"/>
                <w:szCs w:val="13"/>
                <w:color w:val="auto"/>
                <w:w w:val="82"/>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160,144</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123,826</w:t>
            </w:r>
          </w:p>
        </w:tc>
        <w:tc>
          <w:tcPr>
            <w:tcW w:w="100" w:type="dxa"/>
            <w:vAlign w:val="bottom"/>
            <w:shd w:val="clear" w:color="auto" w:fill="DBDBDB"/>
          </w:tcPr>
          <w:p>
            <w:pPr>
              <w:spacing w:after="0"/>
              <w:rPr>
                <w:sz w:val="15"/>
                <w:szCs w:val="15"/>
                <w:color w:val="auto"/>
              </w:rPr>
            </w:pPr>
          </w:p>
        </w:tc>
        <w:tc>
          <w:tcPr>
            <w:tcW w:w="320" w:type="dxa"/>
            <w:vAlign w:val="bottom"/>
            <w:shd w:val="clear" w:color="auto" w:fill="DBDBDB"/>
          </w:tcPr>
          <w:p>
            <w:pPr>
              <w:jc w:val="right"/>
              <w:ind w:right="174"/>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36,318</w:t>
            </w:r>
          </w:p>
        </w:tc>
        <w:tc>
          <w:tcPr>
            <w:tcW w:w="80" w:type="dxa"/>
            <w:vAlign w:val="bottom"/>
            <w:shd w:val="clear" w:color="auto" w:fill="DBDBDB"/>
          </w:tcPr>
          <w:p>
            <w:pPr>
              <w:spacing w:after="0"/>
              <w:rPr>
                <w:sz w:val="15"/>
                <w:szCs w:val="15"/>
                <w:color w:val="auto"/>
              </w:rPr>
            </w:pPr>
          </w:p>
        </w:tc>
        <w:tc>
          <w:tcPr>
            <w:tcW w:w="52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29.3 %</w:t>
            </w:r>
          </w:p>
        </w:tc>
      </w:tr>
      <w:tr>
        <w:trPr>
          <w:trHeight w:val="172"/>
        </w:trPr>
        <w:tc>
          <w:tcPr>
            <w:tcW w:w="4100" w:type="dxa"/>
            <w:vAlign w:val="bottom"/>
          </w:tcPr>
          <w:p>
            <w:pPr>
              <w:ind w:left="20"/>
              <w:spacing w:after="0"/>
              <w:rPr>
                <w:sz w:val="20"/>
                <w:szCs w:val="20"/>
                <w:color w:val="auto"/>
              </w:rPr>
            </w:pPr>
            <w:r>
              <w:rPr>
                <w:rFonts w:ascii="Arial" w:cs="Arial" w:eastAsia="Arial" w:hAnsi="Arial"/>
                <w:sz w:val="13"/>
                <w:szCs w:val="13"/>
                <w:color w:val="auto"/>
              </w:rPr>
              <w:t>Adjusted EBITDA</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740,393</w:t>
            </w:r>
          </w:p>
        </w:tc>
        <w:tc>
          <w:tcPr>
            <w:tcW w:w="80" w:type="dxa"/>
            <w:vAlign w:val="bottom"/>
          </w:tcPr>
          <w:p>
            <w:pPr>
              <w:spacing w:after="0"/>
              <w:rPr>
                <w:sz w:val="14"/>
                <w:szCs w:val="14"/>
                <w:color w:val="auto"/>
              </w:rPr>
            </w:pPr>
          </w:p>
        </w:tc>
        <w:tc>
          <w:tcPr>
            <w:tcW w:w="400" w:type="dxa"/>
            <w:vAlign w:val="bottom"/>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646,465</w:t>
            </w:r>
          </w:p>
        </w:tc>
        <w:tc>
          <w:tcPr>
            <w:tcW w:w="100" w:type="dxa"/>
            <w:vAlign w:val="bottom"/>
          </w:tcPr>
          <w:p>
            <w:pPr>
              <w:spacing w:after="0"/>
              <w:rPr>
                <w:sz w:val="14"/>
                <w:szCs w:val="14"/>
                <w:color w:val="auto"/>
              </w:rPr>
            </w:pPr>
          </w:p>
        </w:tc>
        <w:tc>
          <w:tcPr>
            <w:tcW w:w="320" w:type="dxa"/>
            <w:vAlign w:val="bottom"/>
          </w:tcPr>
          <w:p>
            <w:pPr>
              <w:jc w:val="right"/>
              <w:ind w:right="174"/>
              <w:spacing w:after="0"/>
              <w:rPr>
                <w:sz w:val="20"/>
                <w:szCs w:val="20"/>
                <w:color w:val="auto"/>
              </w:rPr>
            </w:pPr>
            <w:r>
              <w:rPr>
                <w:rFonts w:ascii="Arial" w:cs="Arial" w:eastAsia="Arial" w:hAnsi="Arial"/>
                <w:sz w:val="13"/>
                <w:szCs w:val="13"/>
                <w:color w:val="auto"/>
                <w:w w:val="82"/>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93,928</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14.5 %</w:t>
            </w:r>
          </w:p>
        </w:tc>
      </w:tr>
      <w:tr>
        <w:trPr>
          <w:trHeight w:val="210"/>
        </w:trPr>
        <w:tc>
          <w:tcPr>
            <w:tcW w:w="41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5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3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r>
      <w:tr>
        <w:trPr>
          <w:trHeight w:val="172"/>
        </w:trPr>
        <w:tc>
          <w:tcPr>
            <w:tcW w:w="4100" w:type="dxa"/>
            <w:vAlign w:val="bottom"/>
          </w:tcPr>
          <w:p>
            <w:pPr>
              <w:ind w:left="20"/>
              <w:spacing w:after="0"/>
              <w:rPr>
                <w:sz w:val="20"/>
                <w:szCs w:val="20"/>
                <w:color w:val="auto"/>
              </w:rPr>
            </w:pPr>
            <w:r>
              <w:rPr>
                <w:rFonts w:ascii="Arial" w:cs="Arial" w:eastAsia="Arial" w:hAnsi="Arial"/>
                <w:sz w:val="13"/>
                <w:szCs w:val="13"/>
                <w:color w:val="auto"/>
              </w:rPr>
              <w:t>Other Financial Data:</w:t>
            </w: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8"/>
        </w:trPr>
        <w:tc>
          <w:tcPr>
            <w:tcW w:w="4100" w:type="dxa"/>
            <w:vAlign w:val="bottom"/>
            <w:shd w:val="clear" w:color="auto" w:fill="DBDBDB"/>
          </w:tcPr>
          <w:p>
            <w:pPr>
              <w:ind w:left="200"/>
              <w:spacing w:after="0"/>
              <w:rPr>
                <w:sz w:val="20"/>
                <w:szCs w:val="20"/>
                <w:color w:val="auto"/>
              </w:rPr>
            </w:pPr>
            <w:r>
              <w:rPr>
                <w:rFonts w:ascii="Arial" w:cs="Arial" w:eastAsia="Arial" w:hAnsi="Arial"/>
                <w:sz w:val="13"/>
                <w:szCs w:val="13"/>
                <w:color w:val="auto"/>
              </w:rPr>
              <w:t>Adjusted EBITDA - NA Modular</w:t>
            </w:r>
          </w:p>
        </w:tc>
        <w:tc>
          <w:tcPr>
            <w:tcW w:w="160" w:type="dxa"/>
            <w:vAlign w:val="bottom"/>
            <w:shd w:val="clear" w:color="auto" w:fill="DBDBDB"/>
          </w:tcPr>
          <w:p>
            <w:pPr>
              <w:jc w:val="right"/>
              <w:ind w:right="14"/>
              <w:spacing w:after="0"/>
              <w:rPr>
                <w:sz w:val="20"/>
                <w:szCs w:val="20"/>
                <w:color w:val="auto"/>
              </w:rPr>
            </w:pPr>
            <w:r>
              <w:rPr>
                <w:rFonts w:ascii="Arial" w:cs="Arial" w:eastAsia="Arial" w:hAnsi="Arial"/>
                <w:sz w:val="13"/>
                <w:szCs w:val="13"/>
                <w:color w:val="auto"/>
                <w:w w:val="82"/>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423,004</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394,805</w:t>
            </w:r>
          </w:p>
        </w:tc>
        <w:tc>
          <w:tcPr>
            <w:tcW w:w="100" w:type="dxa"/>
            <w:vAlign w:val="bottom"/>
            <w:shd w:val="clear" w:color="auto" w:fill="DBDBDB"/>
          </w:tcPr>
          <w:p>
            <w:pPr>
              <w:spacing w:after="0"/>
              <w:rPr>
                <w:sz w:val="15"/>
                <w:szCs w:val="15"/>
                <w:color w:val="auto"/>
              </w:rPr>
            </w:pPr>
          </w:p>
        </w:tc>
        <w:tc>
          <w:tcPr>
            <w:tcW w:w="320" w:type="dxa"/>
            <w:vAlign w:val="bottom"/>
            <w:shd w:val="clear" w:color="auto" w:fill="DBDBDB"/>
          </w:tcPr>
          <w:p>
            <w:pPr>
              <w:jc w:val="right"/>
              <w:ind w:right="174"/>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28,199</w:t>
            </w:r>
          </w:p>
        </w:tc>
        <w:tc>
          <w:tcPr>
            <w:tcW w:w="80" w:type="dxa"/>
            <w:vAlign w:val="bottom"/>
            <w:shd w:val="clear" w:color="auto" w:fill="DBDBDB"/>
          </w:tcPr>
          <w:p>
            <w:pPr>
              <w:spacing w:after="0"/>
              <w:rPr>
                <w:sz w:val="15"/>
                <w:szCs w:val="15"/>
                <w:color w:val="auto"/>
              </w:rPr>
            </w:pPr>
          </w:p>
        </w:tc>
        <w:tc>
          <w:tcPr>
            <w:tcW w:w="52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7.1 %</w:t>
            </w:r>
          </w:p>
        </w:tc>
      </w:tr>
      <w:tr>
        <w:trPr>
          <w:trHeight w:val="172"/>
        </w:trPr>
        <w:tc>
          <w:tcPr>
            <w:tcW w:w="4100" w:type="dxa"/>
            <w:vAlign w:val="bottom"/>
          </w:tcPr>
          <w:p>
            <w:pPr>
              <w:ind w:left="200"/>
              <w:spacing w:after="0"/>
              <w:rPr>
                <w:sz w:val="20"/>
                <w:szCs w:val="20"/>
                <w:color w:val="auto"/>
              </w:rPr>
            </w:pPr>
            <w:r>
              <w:rPr>
                <w:rFonts w:ascii="Arial" w:cs="Arial" w:eastAsia="Arial" w:hAnsi="Arial"/>
                <w:sz w:val="13"/>
                <w:szCs w:val="13"/>
                <w:color w:val="auto"/>
              </w:rPr>
              <w:t>Adjusted EBITDA - NA Storage</w:t>
            </w:r>
          </w:p>
        </w:tc>
        <w:tc>
          <w:tcPr>
            <w:tcW w:w="1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226,600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184,601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41,999</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22.8 %</w:t>
            </w:r>
          </w:p>
        </w:tc>
      </w:tr>
      <w:tr>
        <w:trPr>
          <w:trHeight w:val="178"/>
        </w:trPr>
        <w:tc>
          <w:tcPr>
            <w:tcW w:w="4100" w:type="dxa"/>
            <w:vAlign w:val="bottom"/>
            <w:shd w:val="clear" w:color="auto" w:fill="DBDBDB"/>
          </w:tcPr>
          <w:p>
            <w:pPr>
              <w:ind w:left="200"/>
              <w:spacing w:after="0"/>
              <w:rPr>
                <w:sz w:val="20"/>
                <w:szCs w:val="20"/>
                <w:color w:val="auto"/>
              </w:rPr>
            </w:pPr>
            <w:r>
              <w:rPr>
                <w:rFonts w:ascii="Arial" w:cs="Arial" w:eastAsia="Arial" w:hAnsi="Arial"/>
                <w:sz w:val="13"/>
                <w:szCs w:val="13"/>
                <w:color w:val="auto"/>
              </w:rPr>
              <w:t>Adjusted EBITDA - UK Storage</w:t>
            </w:r>
          </w:p>
        </w:tc>
        <w:tc>
          <w:tcPr>
            <w:tcW w:w="160" w:type="dxa"/>
            <w:vAlign w:val="bottom"/>
            <w:shd w:val="clear" w:color="auto" w:fill="DBDBDB"/>
          </w:tcPr>
          <w:p>
            <w:pPr>
              <w:spacing w:after="0"/>
              <w:rPr>
                <w:sz w:val="15"/>
                <w:szCs w:val="15"/>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49,039</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31,080</w:t>
            </w:r>
          </w:p>
        </w:tc>
        <w:tc>
          <w:tcPr>
            <w:tcW w:w="10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17,959</w:t>
            </w:r>
          </w:p>
        </w:tc>
        <w:tc>
          <w:tcPr>
            <w:tcW w:w="80" w:type="dxa"/>
            <w:vAlign w:val="bottom"/>
            <w:shd w:val="clear" w:color="auto" w:fill="DBDBDB"/>
          </w:tcPr>
          <w:p>
            <w:pPr>
              <w:spacing w:after="0"/>
              <w:rPr>
                <w:sz w:val="15"/>
                <w:szCs w:val="15"/>
                <w:color w:val="auto"/>
              </w:rPr>
            </w:pPr>
          </w:p>
        </w:tc>
        <w:tc>
          <w:tcPr>
            <w:tcW w:w="52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57.8 %</w:t>
            </w:r>
          </w:p>
        </w:tc>
      </w:tr>
      <w:tr>
        <w:trPr>
          <w:trHeight w:val="172"/>
        </w:trPr>
        <w:tc>
          <w:tcPr>
            <w:tcW w:w="4100" w:type="dxa"/>
            <w:vAlign w:val="bottom"/>
            <w:tcBorders>
              <w:bottom w:val="single" w:sz="8" w:color="DBDBDB"/>
            </w:tcBorders>
          </w:tcPr>
          <w:p>
            <w:pPr>
              <w:ind w:left="200"/>
              <w:spacing w:after="0"/>
              <w:rPr>
                <w:sz w:val="20"/>
                <w:szCs w:val="20"/>
                <w:color w:val="auto"/>
              </w:rPr>
            </w:pPr>
            <w:r>
              <w:rPr>
                <w:rFonts w:ascii="Arial" w:cs="Arial" w:eastAsia="Arial" w:hAnsi="Arial"/>
                <w:sz w:val="13"/>
                <w:szCs w:val="13"/>
                <w:color w:val="auto"/>
              </w:rPr>
              <w:t>Adjusted EBITDA - Tank and Pump</w:t>
            </w: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41,750</w:t>
            </w:r>
          </w:p>
        </w:tc>
        <w:tc>
          <w:tcPr>
            <w:tcW w:w="80" w:type="dxa"/>
            <w:vAlign w:val="bottom"/>
            <w:tcBorders>
              <w:bottom w:val="single" w:sz="8" w:color="DBDBDB"/>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35,979</w:t>
            </w:r>
          </w:p>
        </w:tc>
        <w:tc>
          <w:tcPr>
            <w:tcW w:w="100" w:type="dxa"/>
            <w:vAlign w:val="bottom"/>
            <w:tcBorders>
              <w:bottom w:val="single" w:sz="8" w:color="DBDBDB"/>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5,771</w:t>
            </w:r>
          </w:p>
        </w:tc>
        <w:tc>
          <w:tcPr>
            <w:tcW w:w="80" w:type="dxa"/>
            <w:vAlign w:val="bottom"/>
            <w:tcBorders>
              <w:bottom w:val="single" w:sz="8" w:color="DBDBDB"/>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16.0 %</w:t>
            </w:r>
          </w:p>
        </w:tc>
      </w:tr>
      <w:tr>
        <w:trPr>
          <w:trHeight w:val="191"/>
        </w:trPr>
        <w:tc>
          <w:tcPr>
            <w:tcW w:w="4100" w:type="dxa"/>
            <w:vAlign w:val="bottom"/>
            <w:tcBorders>
              <w:bottom w:val="single" w:sz="8" w:color="DBDBDB"/>
            </w:tcBorders>
            <w:shd w:val="clear" w:color="auto" w:fill="DBDBDB"/>
          </w:tcPr>
          <w:p>
            <w:pPr>
              <w:ind w:left="200"/>
              <w:spacing w:after="0"/>
              <w:rPr>
                <w:sz w:val="20"/>
                <w:szCs w:val="20"/>
                <w:color w:val="auto"/>
              </w:rPr>
            </w:pPr>
            <w:r>
              <w:rPr>
                <w:rFonts w:ascii="Arial" w:cs="Arial" w:eastAsia="Arial" w:hAnsi="Arial"/>
                <w:sz w:val="13"/>
                <w:szCs w:val="13"/>
                <w:color w:val="auto"/>
              </w:rPr>
              <w:t>Combined Adjusted EBITDA</w:t>
            </w:r>
          </w:p>
        </w:tc>
        <w:tc>
          <w:tcPr>
            <w:tcW w:w="160" w:type="dxa"/>
            <w:vAlign w:val="bottom"/>
            <w:tcBorders>
              <w:bottom w:val="single" w:sz="8" w:color="auto"/>
            </w:tcBorders>
            <w:shd w:val="clear" w:color="auto" w:fill="DBDBDB"/>
          </w:tcPr>
          <w:p>
            <w:pPr>
              <w:jc w:val="right"/>
              <w:ind w:right="14"/>
              <w:spacing w:after="0"/>
              <w:rPr>
                <w:sz w:val="20"/>
                <w:szCs w:val="20"/>
                <w:color w:val="auto"/>
              </w:rPr>
            </w:pPr>
            <w:r>
              <w:rPr>
                <w:rFonts w:ascii="Arial" w:cs="Arial" w:eastAsia="Arial" w:hAnsi="Arial"/>
                <w:sz w:val="13"/>
                <w:szCs w:val="13"/>
                <w:color w:val="auto"/>
                <w:w w:val="82"/>
              </w:rPr>
              <w:t>$</w:t>
            </w: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740,393</w:t>
            </w:r>
          </w:p>
        </w:tc>
        <w:tc>
          <w:tcPr>
            <w:tcW w:w="80" w:type="dxa"/>
            <w:vAlign w:val="bottom"/>
            <w:tcBorders>
              <w:bottom w:val="single" w:sz="8" w:color="DBDBDB"/>
            </w:tcBorders>
            <w:shd w:val="clear" w:color="auto" w:fill="DBDBDB"/>
          </w:tcPr>
          <w:p>
            <w:pPr>
              <w:spacing w:after="0"/>
              <w:rPr>
                <w:sz w:val="16"/>
                <w:szCs w:val="16"/>
                <w:color w:val="auto"/>
              </w:rPr>
            </w:pPr>
          </w:p>
        </w:tc>
        <w:tc>
          <w:tcPr>
            <w:tcW w:w="400" w:type="dxa"/>
            <w:vAlign w:val="bottom"/>
            <w:tcBorders>
              <w:bottom w:val="single" w:sz="8" w:color="auto"/>
            </w:tcBorders>
            <w:shd w:val="clear" w:color="auto" w:fill="DBDBDB"/>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646,465</w:t>
            </w:r>
          </w:p>
        </w:tc>
        <w:tc>
          <w:tcPr>
            <w:tcW w:w="100" w:type="dxa"/>
            <w:vAlign w:val="bottom"/>
            <w:tcBorders>
              <w:bottom w:val="single" w:sz="8" w:color="DBDBDB"/>
            </w:tcBorders>
            <w:shd w:val="clear" w:color="auto" w:fill="DBDBDB"/>
          </w:tcPr>
          <w:p>
            <w:pPr>
              <w:spacing w:after="0"/>
              <w:rPr>
                <w:sz w:val="16"/>
                <w:szCs w:val="16"/>
                <w:color w:val="auto"/>
              </w:rPr>
            </w:pPr>
          </w:p>
        </w:tc>
        <w:tc>
          <w:tcPr>
            <w:tcW w:w="320" w:type="dxa"/>
            <w:vAlign w:val="bottom"/>
            <w:tcBorders>
              <w:bottom w:val="single" w:sz="8" w:color="auto"/>
            </w:tcBorders>
            <w:shd w:val="clear" w:color="auto" w:fill="DBDBDB"/>
          </w:tcPr>
          <w:p>
            <w:pPr>
              <w:jc w:val="right"/>
              <w:ind w:right="174"/>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93,928</w:t>
            </w:r>
          </w:p>
        </w:tc>
        <w:tc>
          <w:tcPr>
            <w:tcW w:w="80" w:type="dxa"/>
            <w:vAlign w:val="bottom"/>
            <w:tcBorders>
              <w:bottom w:val="single" w:sz="8" w:color="DBDBDB"/>
            </w:tcBorders>
            <w:shd w:val="clear" w:color="auto" w:fill="DBDBDB"/>
          </w:tcPr>
          <w:p>
            <w:pPr>
              <w:spacing w:after="0"/>
              <w:rPr>
                <w:sz w:val="16"/>
                <w:szCs w:val="16"/>
                <w:color w:val="auto"/>
              </w:rPr>
            </w:pPr>
          </w:p>
        </w:tc>
        <w:tc>
          <w:tcPr>
            <w:tcW w:w="520" w:type="dxa"/>
            <w:vAlign w:val="bottom"/>
            <w:tcBorders>
              <w:bottom w:val="single" w:sz="8" w:color="auto"/>
            </w:tcBorders>
            <w:shd w:val="clear" w:color="auto" w:fill="DBDBDB"/>
          </w:tcPr>
          <w:p>
            <w:pPr>
              <w:spacing w:after="0"/>
              <w:rPr>
                <w:sz w:val="16"/>
                <w:szCs w:val="16"/>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14.5 %</w:t>
            </w:r>
          </w:p>
        </w:tc>
      </w:tr>
      <w:tr>
        <w:trPr>
          <w:trHeight w:val="20"/>
        </w:trPr>
        <w:tc>
          <w:tcPr>
            <w:tcW w:w="4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5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NA Modular - Quarterly Results</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Pro Forma Quarterly Results for the year ended December 31, 2021:</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8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 except for units on rent and</w:t>
            </w:r>
          </w:p>
        </w:tc>
        <w:tc>
          <w:tcPr>
            <w:tcW w:w="1100" w:type="dxa"/>
            <w:vAlign w:val="bottom"/>
            <w:shd w:val="clear" w:color="auto" w:fill="1D2758"/>
          </w:tcPr>
          <w:p>
            <w:pPr>
              <w:spacing w:after="0"/>
              <w:rPr>
                <w:sz w:val="13"/>
                <w:szCs w:val="13"/>
                <w:color w:val="auto"/>
              </w:rPr>
            </w:pPr>
          </w:p>
        </w:tc>
        <w:tc>
          <w:tcPr>
            <w:tcW w:w="1060" w:type="dxa"/>
            <w:vAlign w:val="bottom"/>
            <w:vMerge w:val="restart"/>
            <w:shd w:val="clear" w:color="auto" w:fill="1D2758"/>
          </w:tcPr>
          <w:p>
            <w:pPr>
              <w:jc w:val="right"/>
              <w:ind w:right="554"/>
              <w:spacing w:after="0"/>
              <w:rPr>
                <w:sz w:val="20"/>
                <w:szCs w:val="20"/>
                <w:color w:val="auto"/>
              </w:rPr>
            </w:pPr>
            <w:r>
              <w:rPr>
                <w:rFonts w:ascii="Arial" w:cs="Arial" w:eastAsia="Arial" w:hAnsi="Arial"/>
                <w:sz w:val="13"/>
                <w:szCs w:val="13"/>
                <w:b w:val="1"/>
                <w:bCs w:val="1"/>
                <w:color w:val="FFFFFF"/>
              </w:rPr>
              <w:t>Q1</w:t>
            </w:r>
          </w:p>
        </w:tc>
        <w:tc>
          <w:tcPr>
            <w:tcW w:w="380" w:type="dxa"/>
            <w:vAlign w:val="bottom"/>
            <w:shd w:val="clear" w:color="auto" w:fill="1D2758"/>
          </w:tcPr>
          <w:p>
            <w:pPr>
              <w:spacing w:after="0"/>
              <w:rPr>
                <w:sz w:val="13"/>
                <w:szCs w:val="13"/>
                <w:color w:val="auto"/>
              </w:rPr>
            </w:pPr>
          </w:p>
        </w:tc>
        <w:tc>
          <w:tcPr>
            <w:tcW w:w="1040" w:type="dxa"/>
            <w:vAlign w:val="bottom"/>
            <w:vMerge w:val="restart"/>
            <w:shd w:val="clear" w:color="auto" w:fill="1D2758"/>
          </w:tcPr>
          <w:p>
            <w:pPr>
              <w:jc w:val="right"/>
              <w:ind w:right="554"/>
              <w:spacing w:after="0"/>
              <w:rPr>
                <w:sz w:val="20"/>
                <w:szCs w:val="20"/>
                <w:color w:val="auto"/>
              </w:rPr>
            </w:pPr>
            <w:r>
              <w:rPr>
                <w:rFonts w:ascii="Arial" w:cs="Arial" w:eastAsia="Arial" w:hAnsi="Arial"/>
                <w:sz w:val="13"/>
                <w:szCs w:val="13"/>
                <w:b w:val="1"/>
                <w:bCs w:val="1"/>
                <w:color w:val="FFFFFF"/>
              </w:rPr>
              <w:t>Q2</w:t>
            </w:r>
          </w:p>
        </w:tc>
        <w:tc>
          <w:tcPr>
            <w:tcW w:w="380" w:type="dxa"/>
            <w:vAlign w:val="bottom"/>
            <w:shd w:val="clear" w:color="auto" w:fill="1D2758"/>
          </w:tcPr>
          <w:p>
            <w:pPr>
              <w:spacing w:after="0"/>
              <w:rPr>
                <w:sz w:val="13"/>
                <w:szCs w:val="13"/>
                <w:color w:val="auto"/>
              </w:rPr>
            </w:pPr>
          </w:p>
        </w:tc>
        <w:tc>
          <w:tcPr>
            <w:tcW w:w="1040" w:type="dxa"/>
            <w:vAlign w:val="bottom"/>
            <w:vMerge w:val="restart"/>
            <w:shd w:val="clear" w:color="auto" w:fill="1D2758"/>
          </w:tcPr>
          <w:p>
            <w:pPr>
              <w:jc w:val="right"/>
              <w:ind w:right="554"/>
              <w:spacing w:after="0"/>
              <w:rPr>
                <w:sz w:val="20"/>
                <w:szCs w:val="20"/>
                <w:color w:val="auto"/>
              </w:rPr>
            </w:pPr>
            <w:r>
              <w:rPr>
                <w:rFonts w:ascii="Arial" w:cs="Arial" w:eastAsia="Arial" w:hAnsi="Arial"/>
                <w:sz w:val="13"/>
                <w:szCs w:val="13"/>
                <w:b w:val="1"/>
                <w:bCs w:val="1"/>
                <w:color w:val="FFFFFF"/>
              </w:rPr>
              <w:t>Q3</w:t>
            </w:r>
          </w:p>
        </w:tc>
        <w:tc>
          <w:tcPr>
            <w:tcW w:w="380" w:type="dxa"/>
            <w:vAlign w:val="bottom"/>
            <w:shd w:val="clear" w:color="auto" w:fill="1D2758"/>
          </w:tcPr>
          <w:p>
            <w:pPr>
              <w:spacing w:after="0"/>
              <w:rPr>
                <w:sz w:val="13"/>
                <w:szCs w:val="13"/>
                <w:color w:val="auto"/>
              </w:rPr>
            </w:pPr>
          </w:p>
        </w:tc>
        <w:tc>
          <w:tcPr>
            <w:tcW w:w="1040" w:type="dxa"/>
            <w:vAlign w:val="bottom"/>
            <w:vMerge w:val="restart"/>
            <w:shd w:val="clear" w:color="auto" w:fill="1D2758"/>
          </w:tcPr>
          <w:p>
            <w:pPr>
              <w:jc w:val="right"/>
              <w:ind w:right="554"/>
              <w:spacing w:after="0"/>
              <w:rPr>
                <w:sz w:val="20"/>
                <w:szCs w:val="20"/>
                <w:color w:val="auto"/>
              </w:rPr>
            </w:pPr>
            <w:r>
              <w:rPr>
                <w:rFonts w:ascii="Arial" w:cs="Arial" w:eastAsia="Arial" w:hAnsi="Arial"/>
                <w:sz w:val="13"/>
                <w:szCs w:val="13"/>
                <w:b w:val="1"/>
                <w:bCs w:val="1"/>
                <w:color w:val="FFFFFF"/>
              </w:rPr>
              <w:t>Q4</w:t>
            </w:r>
          </w:p>
        </w:tc>
        <w:tc>
          <w:tcPr>
            <w:tcW w:w="340" w:type="dxa"/>
            <w:vAlign w:val="bottom"/>
            <w:shd w:val="clear" w:color="auto" w:fill="1D2758"/>
          </w:tcPr>
          <w:p>
            <w:pPr>
              <w:spacing w:after="0"/>
              <w:rPr>
                <w:sz w:val="13"/>
                <w:szCs w:val="13"/>
                <w:color w:val="auto"/>
              </w:rPr>
            </w:pPr>
          </w:p>
        </w:tc>
        <w:tc>
          <w:tcPr>
            <w:tcW w:w="1040" w:type="dxa"/>
            <w:vAlign w:val="bottom"/>
            <w:vMerge w:val="restart"/>
            <w:shd w:val="clear" w:color="auto" w:fill="1D2758"/>
          </w:tcPr>
          <w:p>
            <w:pPr>
              <w:jc w:val="right"/>
              <w:ind w:right="454"/>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75"/>
        </w:trPr>
        <w:tc>
          <w:tcPr>
            <w:tcW w:w="348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monthly rental rate)</w:t>
            </w:r>
          </w:p>
        </w:tc>
        <w:tc>
          <w:tcPr>
            <w:tcW w:w="1100" w:type="dxa"/>
            <w:vAlign w:val="bottom"/>
            <w:shd w:val="clear" w:color="auto" w:fill="1D2758"/>
          </w:tcPr>
          <w:p>
            <w:pPr>
              <w:spacing w:after="0"/>
              <w:rPr>
                <w:sz w:val="15"/>
                <w:szCs w:val="15"/>
                <w:color w:val="auto"/>
              </w:rPr>
            </w:pPr>
          </w:p>
        </w:tc>
        <w:tc>
          <w:tcPr>
            <w:tcW w:w="1060" w:type="dxa"/>
            <w:vAlign w:val="bottom"/>
            <w:vMerge w:val="continue"/>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34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80" w:type="dxa"/>
            <w:vAlign w:val="bottom"/>
            <w:shd w:val="clear" w:color="auto" w:fill="DBDBDB"/>
          </w:tcPr>
          <w:p>
            <w:pPr>
              <w:ind w:left="20"/>
              <w:spacing w:after="0"/>
              <w:rPr>
                <w:sz w:val="20"/>
                <w:szCs w:val="20"/>
                <w:color w:val="auto"/>
              </w:rPr>
            </w:pPr>
            <w:r>
              <w:rPr>
                <w:rFonts w:ascii="Arial" w:cs="Arial" w:eastAsia="Arial" w:hAnsi="Arial"/>
                <w:sz w:val="13"/>
                <w:szCs w:val="13"/>
                <w:color w:val="auto"/>
              </w:rPr>
              <w:t>Revenue</w:t>
            </w:r>
          </w:p>
        </w:tc>
        <w:tc>
          <w:tcPr>
            <w:tcW w:w="1100" w:type="dxa"/>
            <w:vAlign w:val="bottom"/>
            <w:shd w:val="clear" w:color="auto" w:fill="DBDBDB"/>
          </w:tcPr>
          <w:p>
            <w:pPr>
              <w:jc w:val="right"/>
              <w:ind w:right="174"/>
              <w:spacing w:after="0"/>
              <w:rPr>
                <w:sz w:val="20"/>
                <w:szCs w:val="20"/>
                <w:color w:val="auto"/>
              </w:rPr>
            </w:pPr>
            <w:r>
              <w:rPr>
                <w:rFonts w:ascii="Arial" w:cs="Arial" w:eastAsia="Arial" w:hAnsi="Arial"/>
                <w:sz w:val="13"/>
                <w:szCs w:val="13"/>
                <w:color w:val="auto"/>
              </w:rPr>
              <w:t>$</w:t>
            </w:r>
          </w:p>
        </w:tc>
        <w:tc>
          <w:tcPr>
            <w:tcW w:w="106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266,224</w:t>
            </w:r>
          </w:p>
        </w:tc>
        <w:tc>
          <w:tcPr>
            <w:tcW w:w="380" w:type="dxa"/>
            <w:vAlign w:val="bottom"/>
            <w:shd w:val="clear" w:color="auto" w:fill="DBDBDB"/>
          </w:tcPr>
          <w:p>
            <w:pPr>
              <w:jc w:val="right"/>
              <w:ind w:right="19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289,382</w:t>
            </w:r>
          </w:p>
        </w:tc>
        <w:tc>
          <w:tcPr>
            <w:tcW w:w="380" w:type="dxa"/>
            <w:vAlign w:val="bottom"/>
            <w:shd w:val="clear" w:color="auto" w:fill="DBDBDB"/>
          </w:tcPr>
          <w:p>
            <w:pPr>
              <w:jc w:val="right"/>
              <w:ind w:right="19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299,051</w:t>
            </w:r>
          </w:p>
        </w:tc>
        <w:tc>
          <w:tcPr>
            <w:tcW w:w="380" w:type="dxa"/>
            <w:vAlign w:val="bottom"/>
            <w:shd w:val="clear" w:color="auto" w:fill="DBDBDB"/>
          </w:tcPr>
          <w:p>
            <w:pPr>
              <w:jc w:val="right"/>
              <w:ind w:right="19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309,522</w:t>
            </w:r>
          </w:p>
        </w:tc>
        <w:tc>
          <w:tcPr>
            <w:tcW w:w="34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1,164,179</w:t>
            </w:r>
          </w:p>
        </w:tc>
        <w:tc>
          <w:tcPr>
            <w:tcW w:w="0" w:type="dxa"/>
            <w:vAlign w:val="bottom"/>
          </w:tcPr>
          <w:p>
            <w:pPr>
              <w:spacing w:after="0"/>
              <w:rPr>
                <w:sz w:val="1"/>
                <w:szCs w:val="1"/>
                <w:color w:val="auto"/>
              </w:rPr>
            </w:pPr>
          </w:p>
        </w:tc>
      </w:tr>
      <w:tr>
        <w:trPr>
          <w:trHeight w:val="172"/>
        </w:trPr>
        <w:tc>
          <w:tcPr>
            <w:tcW w:w="3480" w:type="dxa"/>
            <w:vAlign w:val="bottom"/>
          </w:tcPr>
          <w:p>
            <w:pPr>
              <w:ind w:left="20"/>
              <w:spacing w:after="0"/>
              <w:rPr>
                <w:sz w:val="20"/>
                <w:szCs w:val="20"/>
                <w:color w:val="auto"/>
              </w:rPr>
            </w:pPr>
            <w:r>
              <w:rPr>
                <w:rFonts w:ascii="Arial" w:cs="Arial" w:eastAsia="Arial" w:hAnsi="Arial"/>
                <w:sz w:val="13"/>
                <w:szCs w:val="13"/>
                <w:color w:val="auto"/>
              </w:rPr>
              <w:t>Gross profit</w:t>
            </w:r>
          </w:p>
        </w:tc>
        <w:tc>
          <w:tcPr>
            <w:tcW w:w="110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54"/>
              <w:spacing w:after="0"/>
              <w:rPr>
                <w:sz w:val="20"/>
                <w:szCs w:val="20"/>
                <w:color w:val="auto"/>
              </w:rPr>
            </w:pPr>
            <w:r>
              <w:rPr>
                <w:rFonts w:ascii="Arial" w:cs="Arial" w:eastAsia="Arial" w:hAnsi="Arial"/>
                <w:sz w:val="13"/>
                <w:szCs w:val="13"/>
                <w:color w:val="auto"/>
              </w:rPr>
              <w:t>113,002</w:t>
            </w:r>
          </w:p>
        </w:tc>
        <w:tc>
          <w:tcPr>
            <w:tcW w:w="38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54"/>
              <w:spacing w:after="0"/>
              <w:rPr>
                <w:sz w:val="20"/>
                <w:szCs w:val="20"/>
                <w:color w:val="auto"/>
              </w:rPr>
            </w:pPr>
            <w:r>
              <w:rPr>
                <w:rFonts w:ascii="Arial" w:cs="Arial" w:eastAsia="Arial" w:hAnsi="Arial"/>
                <w:sz w:val="13"/>
                <w:szCs w:val="13"/>
                <w:color w:val="auto"/>
              </w:rPr>
              <w:t>116,136</w:t>
            </w:r>
          </w:p>
        </w:tc>
        <w:tc>
          <w:tcPr>
            <w:tcW w:w="38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54"/>
              <w:spacing w:after="0"/>
              <w:rPr>
                <w:sz w:val="20"/>
                <w:szCs w:val="20"/>
                <w:color w:val="auto"/>
              </w:rPr>
            </w:pPr>
            <w:r>
              <w:rPr>
                <w:rFonts w:ascii="Arial" w:cs="Arial" w:eastAsia="Arial" w:hAnsi="Arial"/>
                <w:sz w:val="13"/>
                <w:szCs w:val="13"/>
                <w:color w:val="auto"/>
              </w:rPr>
              <w:t>127,854</w:t>
            </w:r>
          </w:p>
        </w:tc>
        <w:tc>
          <w:tcPr>
            <w:tcW w:w="38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54"/>
              <w:spacing w:after="0"/>
              <w:rPr>
                <w:sz w:val="20"/>
                <w:szCs w:val="20"/>
                <w:color w:val="auto"/>
              </w:rPr>
            </w:pPr>
            <w:r>
              <w:rPr>
                <w:rFonts w:ascii="Arial" w:cs="Arial" w:eastAsia="Arial" w:hAnsi="Arial"/>
                <w:sz w:val="13"/>
                <w:szCs w:val="13"/>
                <w:color w:val="auto"/>
              </w:rPr>
              <w:t>139,453</w:t>
            </w:r>
          </w:p>
        </w:tc>
        <w:tc>
          <w:tcPr>
            <w:tcW w:w="34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94"/>
              <w:spacing w:after="0"/>
              <w:rPr>
                <w:sz w:val="20"/>
                <w:szCs w:val="20"/>
                <w:color w:val="auto"/>
              </w:rPr>
            </w:pPr>
            <w:r>
              <w:rPr>
                <w:rFonts w:ascii="Arial" w:cs="Arial" w:eastAsia="Arial" w:hAnsi="Arial"/>
                <w:sz w:val="13"/>
                <w:szCs w:val="13"/>
                <w:color w:val="auto"/>
              </w:rPr>
              <w:t>496,445</w:t>
            </w:r>
          </w:p>
        </w:tc>
        <w:tc>
          <w:tcPr>
            <w:tcW w:w="0" w:type="dxa"/>
            <w:vAlign w:val="bottom"/>
          </w:tcPr>
          <w:p>
            <w:pPr>
              <w:spacing w:after="0"/>
              <w:rPr>
                <w:sz w:val="1"/>
                <w:szCs w:val="1"/>
                <w:color w:val="auto"/>
              </w:rPr>
            </w:pPr>
          </w:p>
        </w:tc>
      </w:tr>
      <w:tr>
        <w:trPr>
          <w:trHeight w:val="178"/>
        </w:trPr>
        <w:tc>
          <w:tcPr>
            <w:tcW w:w="3480" w:type="dxa"/>
            <w:vAlign w:val="bottom"/>
            <w:shd w:val="clear" w:color="auto" w:fill="DBDBDB"/>
          </w:tcPr>
          <w:p>
            <w:pPr>
              <w:ind w:left="20"/>
              <w:spacing w:after="0"/>
              <w:rPr>
                <w:sz w:val="20"/>
                <w:szCs w:val="20"/>
                <w:color w:val="auto"/>
              </w:rPr>
            </w:pPr>
            <w:r>
              <w:rPr>
                <w:rFonts w:ascii="Arial" w:cs="Arial" w:eastAsia="Arial" w:hAnsi="Arial"/>
                <w:sz w:val="13"/>
                <w:szCs w:val="13"/>
                <w:color w:val="auto"/>
              </w:rPr>
              <w:t>Adjusted EBITDA</w:t>
            </w:r>
          </w:p>
        </w:tc>
        <w:tc>
          <w:tcPr>
            <w:tcW w:w="1100" w:type="dxa"/>
            <w:vAlign w:val="bottom"/>
            <w:shd w:val="clear" w:color="auto" w:fill="DBDBDB"/>
          </w:tcPr>
          <w:p>
            <w:pPr>
              <w:jc w:val="right"/>
              <w:ind w:right="174"/>
              <w:spacing w:after="0"/>
              <w:rPr>
                <w:sz w:val="20"/>
                <w:szCs w:val="20"/>
                <w:color w:val="auto"/>
              </w:rPr>
            </w:pPr>
            <w:r>
              <w:rPr>
                <w:rFonts w:ascii="Arial" w:cs="Arial" w:eastAsia="Arial" w:hAnsi="Arial"/>
                <w:sz w:val="13"/>
                <w:szCs w:val="13"/>
                <w:color w:val="auto"/>
              </w:rPr>
              <w:t>$</w:t>
            </w:r>
          </w:p>
        </w:tc>
        <w:tc>
          <w:tcPr>
            <w:tcW w:w="106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97,371</w:t>
            </w:r>
          </w:p>
        </w:tc>
        <w:tc>
          <w:tcPr>
            <w:tcW w:w="380" w:type="dxa"/>
            <w:vAlign w:val="bottom"/>
            <w:shd w:val="clear" w:color="auto" w:fill="DBDBDB"/>
          </w:tcPr>
          <w:p>
            <w:pPr>
              <w:jc w:val="right"/>
              <w:ind w:right="19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103,545</w:t>
            </w:r>
          </w:p>
        </w:tc>
        <w:tc>
          <w:tcPr>
            <w:tcW w:w="380" w:type="dxa"/>
            <w:vAlign w:val="bottom"/>
            <w:shd w:val="clear" w:color="auto" w:fill="DBDBDB"/>
          </w:tcPr>
          <w:p>
            <w:pPr>
              <w:jc w:val="right"/>
              <w:ind w:right="19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106,825</w:t>
            </w:r>
          </w:p>
        </w:tc>
        <w:tc>
          <w:tcPr>
            <w:tcW w:w="380" w:type="dxa"/>
            <w:vAlign w:val="bottom"/>
            <w:shd w:val="clear" w:color="auto" w:fill="DBDBDB"/>
          </w:tcPr>
          <w:p>
            <w:pPr>
              <w:jc w:val="right"/>
              <w:ind w:right="19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115,263</w:t>
            </w:r>
          </w:p>
        </w:tc>
        <w:tc>
          <w:tcPr>
            <w:tcW w:w="34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423,004</w:t>
            </w:r>
          </w:p>
        </w:tc>
        <w:tc>
          <w:tcPr>
            <w:tcW w:w="0" w:type="dxa"/>
            <w:vAlign w:val="bottom"/>
          </w:tcPr>
          <w:p>
            <w:pPr>
              <w:spacing w:after="0"/>
              <w:rPr>
                <w:sz w:val="1"/>
                <w:szCs w:val="1"/>
                <w:color w:val="auto"/>
              </w:rPr>
            </w:pPr>
          </w:p>
        </w:tc>
      </w:tr>
      <w:tr>
        <w:trPr>
          <w:trHeight w:val="172"/>
        </w:trPr>
        <w:tc>
          <w:tcPr>
            <w:tcW w:w="3480" w:type="dxa"/>
            <w:vAlign w:val="bottom"/>
          </w:tcPr>
          <w:p>
            <w:pPr>
              <w:ind w:left="20"/>
              <w:spacing w:after="0"/>
              <w:rPr>
                <w:sz w:val="20"/>
                <w:szCs w:val="20"/>
                <w:color w:val="auto"/>
              </w:rPr>
            </w:pPr>
            <w:r>
              <w:rPr>
                <w:rFonts w:ascii="Arial" w:cs="Arial" w:eastAsia="Arial" w:hAnsi="Arial"/>
                <w:sz w:val="13"/>
                <w:szCs w:val="13"/>
                <w:color w:val="auto"/>
              </w:rPr>
              <w:t>Capex for rental equipment</w:t>
            </w:r>
          </w:p>
        </w:tc>
        <w:tc>
          <w:tcPr>
            <w:tcW w:w="110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54"/>
              <w:spacing w:after="0"/>
              <w:rPr>
                <w:sz w:val="20"/>
                <w:szCs w:val="20"/>
                <w:color w:val="auto"/>
              </w:rPr>
            </w:pPr>
            <w:r>
              <w:rPr>
                <w:rFonts w:ascii="Arial" w:cs="Arial" w:eastAsia="Arial" w:hAnsi="Arial"/>
                <w:sz w:val="13"/>
                <w:szCs w:val="13"/>
                <w:color w:val="auto"/>
              </w:rPr>
              <w:t>39,135</w:t>
            </w:r>
          </w:p>
        </w:tc>
        <w:tc>
          <w:tcPr>
            <w:tcW w:w="38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54"/>
              <w:spacing w:after="0"/>
              <w:rPr>
                <w:sz w:val="20"/>
                <w:szCs w:val="20"/>
                <w:color w:val="auto"/>
              </w:rPr>
            </w:pPr>
            <w:r>
              <w:rPr>
                <w:rFonts w:ascii="Arial" w:cs="Arial" w:eastAsia="Arial" w:hAnsi="Arial"/>
                <w:sz w:val="13"/>
                <w:szCs w:val="13"/>
                <w:color w:val="auto"/>
              </w:rPr>
              <w:t>49,364</w:t>
            </w:r>
          </w:p>
        </w:tc>
        <w:tc>
          <w:tcPr>
            <w:tcW w:w="38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54"/>
              <w:spacing w:after="0"/>
              <w:rPr>
                <w:sz w:val="20"/>
                <w:szCs w:val="20"/>
                <w:color w:val="auto"/>
              </w:rPr>
            </w:pPr>
            <w:r>
              <w:rPr>
                <w:rFonts w:ascii="Arial" w:cs="Arial" w:eastAsia="Arial" w:hAnsi="Arial"/>
                <w:sz w:val="13"/>
                <w:szCs w:val="13"/>
                <w:color w:val="auto"/>
              </w:rPr>
              <w:t>31,789</w:t>
            </w:r>
          </w:p>
        </w:tc>
        <w:tc>
          <w:tcPr>
            <w:tcW w:w="38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54"/>
              <w:spacing w:after="0"/>
              <w:rPr>
                <w:sz w:val="20"/>
                <w:szCs w:val="20"/>
                <w:color w:val="auto"/>
              </w:rPr>
            </w:pPr>
            <w:r>
              <w:rPr>
                <w:rFonts w:ascii="Arial" w:cs="Arial" w:eastAsia="Arial" w:hAnsi="Arial"/>
                <w:sz w:val="13"/>
                <w:szCs w:val="13"/>
                <w:color w:val="auto"/>
              </w:rPr>
              <w:t>67,207</w:t>
            </w:r>
          </w:p>
        </w:tc>
        <w:tc>
          <w:tcPr>
            <w:tcW w:w="34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94"/>
              <w:spacing w:after="0"/>
              <w:rPr>
                <w:sz w:val="20"/>
                <w:szCs w:val="20"/>
                <w:color w:val="auto"/>
              </w:rPr>
            </w:pPr>
            <w:r>
              <w:rPr>
                <w:rFonts w:ascii="Arial" w:cs="Arial" w:eastAsia="Arial" w:hAnsi="Arial"/>
                <w:sz w:val="13"/>
                <w:szCs w:val="13"/>
                <w:color w:val="auto"/>
              </w:rPr>
              <w:t>187,495</w:t>
            </w:r>
          </w:p>
        </w:tc>
        <w:tc>
          <w:tcPr>
            <w:tcW w:w="0" w:type="dxa"/>
            <w:vAlign w:val="bottom"/>
          </w:tcPr>
          <w:p>
            <w:pPr>
              <w:spacing w:after="0"/>
              <w:rPr>
                <w:sz w:val="1"/>
                <w:szCs w:val="1"/>
                <w:color w:val="auto"/>
              </w:rPr>
            </w:pPr>
          </w:p>
        </w:tc>
      </w:tr>
      <w:tr>
        <w:trPr>
          <w:trHeight w:val="178"/>
        </w:trPr>
        <w:tc>
          <w:tcPr>
            <w:tcW w:w="3480" w:type="dxa"/>
            <w:vAlign w:val="bottom"/>
            <w:shd w:val="clear" w:color="auto" w:fill="DBDBDB"/>
          </w:tcPr>
          <w:p>
            <w:pPr>
              <w:ind w:left="20"/>
              <w:spacing w:after="0"/>
              <w:rPr>
                <w:sz w:val="20"/>
                <w:szCs w:val="20"/>
                <w:color w:val="auto"/>
              </w:rPr>
            </w:pPr>
            <w:r>
              <w:rPr>
                <w:rFonts w:ascii="Arial" w:cs="Arial" w:eastAsia="Arial" w:hAnsi="Arial"/>
                <w:sz w:val="13"/>
                <w:szCs w:val="13"/>
                <w:color w:val="auto"/>
              </w:rPr>
              <w:t>Average modular space units on rent</w:t>
            </w:r>
          </w:p>
        </w:tc>
        <w:tc>
          <w:tcPr>
            <w:tcW w:w="1100" w:type="dxa"/>
            <w:vAlign w:val="bottom"/>
            <w:shd w:val="clear" w:color="auto" w:fill="DBDBDB"/>
          </w:tcPr>
          <w:p>
            <w:pPr>
              <w:spacing w:after="0"/>
              <w:rPr>
                <w:sz w:val="15"/>
                <w:szCs w:val="15"/>
                <w:color w:val="auto"/>
              </w:rPr>
            </w:pPr>
          </w:p>
        </w:tc>
        <w:tc>
          <w:tcPr>
            <w:tcW w:w="106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84,795</w:t>
            </w:r>
          </w:p>
        </w:tc>
        <w:tc>
          <w:tcPr>
            <w:tcW w:w="380" w:type="dxa"/>
            <w:vAlign w:val="bottom"/>
            <w:shd w:val="clear" w:color="auto" w:fill="DBDBDB"/>
          </w:tcPr>
          <w:p>
            <w:pPr>
              <w:spacing w:after="0"/>
              <w:rPr>
                <w:sz w:val="15"/>
                <w:szCs w:val="15"/>
                <w:color w:val="auto"/>
              </w:rPr>
            </w:pPr>
          </w:p>
        </w:tc>
        <w:tc>
          <w:tcPr>
            <w:tcW w:w="104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84,754</w:t>
            </w:r>
          </w:p>
        </w:tc>
        <w:tc>
          <w:tcPr>
            <w:tcW w:w="380" w:type="dxa"/>
            <w:vAlign w:val="bottom"/>
            <w:shd w:val="clear" w:color="auto" w:fill="DBDBDB"/>
          </w:tcPr>
          <w:p>
            <w:pPr>
              <w:spacing w:after="0"/>
              <w:rPr>
                <w:sz w:val="15"/>
                <w:szCs w:val="15"/>
                <w:color w:val="auto"/>
              </w:rPr>
            </w:pPr>
          </w:p>
        </w:tc>
        <w:tc>
          <w:tcPr>
            <w:tcW w:w="104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84,218</w:t>
            </w:r>
          </w:p>
        </w:tc>
        <w:tc>
          <w:tcPr>
            <w:tcW w:w="380" w:type="dxa"/>
            <w:vAlign w:val="bottom"/>
            <w:shd w:val="clear" w:color="auto" w:fill="DBDBDB"/>
          </w:tcPr>
          <w:p>
            <w:pPr>
              <w:spacing w:after="0"/>
              <w:rPr>
                <w:sz w:val="15"/>
                <w:szCs w:val="15"/>
                <w:color w:val="auto"/>
              </w:rPr>
            </w:pPr>
          </w:p>
        </w:tc>
        <w:tc>
          <w:tcPr>
            <w:tcW w:w="104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84,328</w:t>
            </w:r>
          </w:p>
        </w:tc>
        <w:tc>
          <w:tcPr>
            <w:tcW w:w="340" w:type="dxa"/>
            <w:vAlign w:val="bottom"/>
            <w:shd w:val="clear" w:color="auto" w:fill="DBDBDB"/>
          </w:tcPr>
          <w:p>
            <w:pPr>
              <w:spacing w:after="0"/>
              <w:rPr>
                <w:sz w:val="15"/>
                <w:szCs w:val="15"/>
                <w:color w:val="auto"/>
              </w:rPr>
            </w:pPr>
          </w:p>
        </w:tc>
        <w:tc>
          <w:tcPr>
            <w:tcW w:w="10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84,524</w:t>
            </w:r>
          </w:p>
        </w:tc>
        <w:tc>
          <w:tcPr>
            <w:tcW w:w="0" w:type="dxa"/>
            <w:vAlign w:val="bottom"/>
          </w:tcPr>
          <w:p>
            <w:pPr>
              <w:spacing w:after="0"/>
              <w:rPr>
                <w:sz w:val="1"/>
                <w:szCs w:val="1"/>
                <w:color w:val="auto"/>
              </w:rPr>
            </w:pPr>
          </w:p>
        </w:tc>
      </w:tr>
      <w:tr>
        <w:trPr>
          <w:trHeight w:val="172"/>
        </w:trPr>
        <w:tc>
          <w:tcPr>
            <w:tcW w:w="3480" w:type="dxa"/>
            <w:vAlign w:val="bottom"/>
          </w:tcPr>
          <w:p>
            <w:pPr>
              <w:ind w:left="20"/>
              <w:spacing w:after="0"/>
              <w:rPr>
                <w:sz w:val="20"/>
                <w:szCs w:val="20"/>
                <w:color w:val="auto"/>
              </w:rPr>
            </w:pPr>
            <w:r>
              <w:rPr>
                <w:rFonts w:ascii="Arial" w:cs="Arial" w:eastAsia="Arial" w:hAnsi="Arial"/>
                <w:sz w:val="13"/>
                <w:szCs w:val="13"/>
                <w:color w:val="auto"/>
              </w:rPr>
              <w:t>Average modular space utilization rate</w:t>
            </w:r>
          </w:p>
        </w:tc>
        <w:tc>
          <w:tcPr>
            <w:tcW w:w="1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67.6 %</w:t>
            </w:r>
          </w:p>
        </w:tc>
        <w:tc>
          <w:tcPr>
            <w:tcW w:w="3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67.7 %</w:t>
            </w:r>
          </w:p>
        </w:tc>
        <w:tc>
          <w:tcPr>
            <w:tcW w:w="3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67.6 %</w:t>
            </w:r>
          </w:p>
        </w:tc>
        <w:tc>
          <w:tcPr>
            <w:tcW w:w="3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67.5 %</w:t>
            </w: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67.6 %</w:t>
            </w:r>
          </w:p>
        </w:tc>
        <w:tc>
          <w:tcPr>
            <w:tcW w:w="0" w:type="dxa"/>
            <w:vAlign w:val="bottom"/>
          </w:tcPr>
          <w:p>
            <w:pPr>
              <w:spacing w:after="0"/>
              <w:rPr>
                <w:sz w:val="1"/>
                <w:szCs w:val="1"/>
                <w:color w:val="auto"/>
              </w:rPr>
            </w:pPr>
          </w:p>
        </w:tc>
      </w:tr>
      <w:tr>
        <w:trPr>
          <w:trHeight w:val="178"/>
        </w:trPr>
        <w:tc>
          <w:tcPr>
            <w:tcW w:w="3480" w:type="dxa"/>
            <w:vAlign w:val="bottom"/>
            <w:shd w:val="clear" w:color="auto" w:fill="DBDBDB"/>
          </w:tcPr>
          <w:p>
            <w:pPr>
              <w:ind w:left="20"/>
              <w:spacing w:after="0"/>
              <w:rPr>
                <w:sz w:val="20"/>
                <w:szCs w:val="20"/>
                <w:color w:val="auto"/>
              </w:rPr>
            </w:pPr>
            <w:r>
              <w:rPr>
                <w:rFonts w:ascii="Arial" w:cs="Arial" w:eastAsia="Arial" w:hAnsi="Arial"/>
                <w:sz w:val="13"/>
                <w:szCs w:val="13"/>
                <w:color w:val="auto"/>
              </w:rPr>
              <w:t>Average modular space monthly rental rate</w:t>
            </w:r>
          </w:p>
        </w:tc>
        <w:tc>
          <w:tcPr>
            <w:tcW w:w="1100" w:type="dxa"/>
            <w:vAlign w:val="bottom"/>
            <w:shd w:val="clear" w:color="auto" w:fill="DBDBDB"/>
          </w:tcPr>
          <w:p>
            <w:pPr>
              <w:jc w:val="right"/>
              <w:ind w:right="174"/>
              <w:spacing w:after="0"/>
              <w:rPr>
                <w:sz w:val="20"/>
                <w:szCs w:val="20"/>
                <w:color w:val="auto"/>
              </w:rPr>
            </w:pPr>
            <w:r>
              <w:rPr>
                <w:rFonts w:ascii="Arial" w:cs="Arial" w:eastAsia="Arial" w:hAnsi="Arial"/>
                <w:sz w:val="13"/>
                <w:szCs w:val="13"/>
                <w:color w:val="auto"/>
              </w:rPr>
              <w:t>$</w:t>
            </w:r>
          </w:p>
        </w:tc>
        <w:tc>
          <w:tcPr>
            <w:tcW w:w="106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737</w:t>
            </w:r>
          </w:p>
        </w:tc>
        <w:tc>
          <w:tcPr>
            <w:tcW w:w="380" w:type="dxa"/>
            <w:vAlign w:val="bottom"/>
            <w:shd w:val="clear" w:color="auto" w:fill="DBDBDB"/>
          </w:tcPr>
          <w:p>
            <w:pPr>
              <w:jc w:val="right"/>
              <w:ind w:right="19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801</w:t>
            </w:r>
          </w:p>
        </w:tc>
        <w:tc>
          <w:tcPr>
            <w:tcW w:w="380" w:type="dxa"/>
            <w:vAlign w:val="bottom"/>
            <w:shd w:val="clear" w:color="auto" w:fill="DBDBDB"/>
          </w:tcPr>
          <w:p>
            <w:pPr>
              <w:jc w:val="right"/>
              <w:ind w:right="19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834</w:t>
            </w:r>
          </w:p>
        </w:tc>
        <w:tc>
          <w:tcPr>
            <w:tcW w:w="380" w:type="dxa"/>
            <w:vAlign w:val="bottom"/>
            <w:shd w:val="clear" w:color="auto" w:fill="DBDBDB"/>
          </w:tcPr>
          <w:p>
            <w:pPr>
              <w:jc w:val="right"/>
              <w:ind w:right="19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866</w:t>
            </w:r>
          </w:p>
        </w:tc>
        <w:tc>
          <w:tcPr>
            <w:tcW w:w="34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809</w:t>
            </w:r>
          </w:p>
        </w:tc>
        <w:tc>
          <w:tcPr>
            <w:tcW w:w="0" w:type="dxa"/>
            <w:vAlign w:val="bottom"/>
          </w:tcPr>
          <w:p>
            <w:pPr>
              <w:spacing w:after="0"/>
              <w:rPr>
                <w:sz w:val="1"/>
                <w:szCs w:val="1"/>
                <w:color w:val="auto"/>
              </w:rPr>
            </w:pPr>
          </w:p>
        </w:tc>
      </w:tr>
      <w:tr>
        <w:trPr>
          <w:trHeight w:val="172"/>
        </w:trPr>
        <w:tc>
          <w:tcPr>
            <w:tcW w:w="3480" w:type="dxa"/>
            <w:vAlign w:val="bottom"/>
          </w:tcPr>
          <w:p>
            <w:pPr>
              <w:ind w:left="20"/>
              <w:spacing w:after="0"/>
              <w:rPr>
                <w:sz w:val="20"/>
                <w:szCs w:val="20"/>
                <w:color w:val="auto"/>
              </w:rPr>
            </w:pPr>
            <w:r>
              <w:rPr>
                <w:rFonts w:ascii="Arial" w:cs="Arial" w:eastAsia="Arial" w:hAnsi="Arial"/>
                <w:sz w:val="13"/>
                <w:szCs w:val="13"/>
                <w:color w:val="auto"/>
              </w:rPr>
              <w:t>Average portable storage units on rent</w:t>
            </w:r>
          </w:p>
        </w:tc>
        <w:tc>
          <w:tcPr>
            <w:tcW w:w="1100" w:type="dxa"/>
            <w:vAlign w:val="bottom"/>
          </w:tcPr>
          <w:p>
            <w:pPr>
              <w:spacing w:after="0"/>
              <w:rPr>
                <w:sz w:val="14"/>
                <w:szCs w:val="14"/>
                <w:color w:val="auto"/>
              </w:rPr>
            </w:pPr>
          </w:p>
        </w:tc>
        <w:tc>
          <w:tcPr>
            <w:tcW w:w="1060" w:type="dxa"/>
            <w:vAlign w:val="bottom"/>
          </w:tcPr>
          <w:p>
            <w:pPr>
              <w:jc w:val="right"/>
              <w:ind w:right="154"/>
              <w:spacing w:after="0"/>
              <w:rPr>
                <w:sz w:val="20"/>
                <w:szCs w:val="20"/>
                <w:color w:val="auto"/>
              </w:rPr>
            </w:pPr>
            <w:r>
              <w:rPr>
                <w:rFonts w:ascii="Arial" w:cs="Arial" w:eastAsia="Arial" w:hAnsi="Arial"/>
                <w:sz w:val="13"/>
                <w:szCs w:val="13"/>
                <w:color w:val="auto"/>
              </w:rPr>
              <w:t>14,903</w:t>
            </w:r>
          </w:p>
        </w:tc>
        <w:tc>
          <w:tcPr>
            <w:tcW w:w="380" w:type="dxa"/>
            <w:vAlign w:val="bottom"/>
          </w:tcPr>
          <w:p>
            <w:pPr>
              <w:spacing w:after="0"/>
              <w:rPr>
                <w:sz w:val="14"/>
                <w:szCs w:val="14"/>
                <w:color w:val="auto"/>
              </w:rPr>
            </w:pPr>
          </w:p>
        </w:tc>
        <w:tc>
          <w:tcPr>
            <w:tcW w:w="1040" w:type="dxa"/>
            <w:vAlign w:val="bottom"/>
          </w:tcPr>
          <w:p>
            <w:pPr>
              <w:jc w:val="right"/>
              <w:ind w:right="154"/>
              <w:spacing w:after="0"/>
              <w:rPr>
                <w:sz w:val="20"/>
                <w:szCs w:val="20"/>
                <w:color w:val="auto"/>
              </w:rPr>
            </w:pPr>
            <w:r>
              <w:rPr>
                <w:rFonts w:ascii="Arial" w:cs="Arial" w:eastAsia="Arial" w:hAnsi="Arial"/>
                <w:sz w:val="13"/>
                <w:szCs w:val="13"/>
                <w:color w:val="auto"/>
              </w:rPr>
              <w:t>13,301</w:t>
            </w:r>
          </w:p>
        </w:tc>
        <w:tc>
          <w:tcPr>
            <w:tcW w:w="380" w:type="dxa"/>
            <w:vAlign w:val="bottom"/>
          </w:tcPr>
          <w:p>
            <w:pPr>
              <w:spacing w:after="0"/>
              <w:rPr>
                <w:sz w:val="14"/>
                <w:szCs w:val="14"/>
                <w:color w:val="auto"/>
              </w:rPr>
            </w:pPr>
          </w:p>
        </w:tc>
        <w:tc>
          <w:tcPr>
            <w:tcW w:w="1040" w:type="dxa"/>
            <w:vAlign w:val="bottom"/>
          </w:tcPr>
          <w:p>
            <w:pPr>
              <w:jc w:val="right"/>
              <w:ind w:right="154"/>
              <w:spacing w:after="0"/>
              <w:rPr>
                <w:sz w:val="20"/>
                <w:szCs w:val="20"/>
                <w:color w:val="auto"/>
              </w:rPr>
            </w:pPr>
            <w:r>
              <w:rPr>
                <w:rFonts w:ascii="Arial" w:cs="Arial" w:eastAsia="Arial" w:hAnsi="Arial"/>
                <w:sz w:val="13"/>
                <w:szCs w:val="13"/>
                <w:color w:val="auto"/>
              </w:rPr>
              <w:t>493</w:t>
            </w:r>
          </w:p>
        </w:tc>
        <w:tc>
          <w:tcPr>
            <w:tcW w:w="380" w:type="dxa"/>
            <w:vAlign w:val="bottom"/>
          </w:tcPr>
          <w:p>
            <w:pPr>
              <w:spacing w:after="0"/>
              <w:rPr>
                <w:sz w:val="14"/>
                <w:szCs w:val="14"/>
                <w:color w:val="auto"/>
              </w:rPr>
            </w:pPr>
          </w:p>
        </w:tc>
        <w:tc>
          <w:tcPr>
            <w:tcW w:w="1040" w:type="dxa"/>
            <w:vAlign w:val="bottom"/>
          </w:tcPr>
          <w:p>
            <w:pPr>
              <w:jc w:val="right"/>
              <w:ind w:right="154"/>
              <w:spacing w:after="0"/>
              <w:rPr>
                <w:sz w:val="20"/>
                <w:szCs w:val="20"/>
                <w:color w:val="auto"/>
              </w:rPr>
            </w:pPr>
            <w:r>
              <w:rPr>
                <w:rFonts w:ascii="Arial" w:cs="Arial" w:eastAsia="Arial" w:hAnsi="Arial"/>
                <w:sz w:val="13"/>
                <w:szCs w:val="13"/>
                <w:color w:val="auto"/>
              </w:rPr>
              <w:t>552</w:t>
            </w:r>
          </w:p>
        </w:tc>
        <w:tc>
          <w:tcPr>
            <w:tcW w:w="340" w:type="dxa"/>
            <w:vAlign w:val="bottom"/>
          </w:tcPr>
          <w:p>
            <w:pPr>
              <w:spacing w:after="0"/>
              <w:rPr>
                <w:sz w:val="14"/>
                <w:szCs w:val="14"/>
                <w:color w:val="auto"/>
              </w:rPr>
            </w:pPr>
          </w:p>
        </w:tc>
        <w:tc>
          <w:tcPr>
            <w:tcW w:w="1040" w:type="dxa"/>
            <w:vAlign w:val="bottom"/>
          </w:tcPr>
          <w:p>
            <w:pPr>
              <w:jc w:val="right"/>
              <w:ind w:right="94"/>
              <w:spacing w:after="0"/>
              <w:rPr>
                <w:sz w:val="20"/>
                <w:szCs w:val="20"/>
                <w:color w:val="auto"/>
              </w:rPr>
            </w:pPr>
            <w:r>
              <w:rPr>
                <w:rFonts w:ascii="Arial" w:cs="Arial" w:eastAsia="Arial" w:hAnsi="Arial"/>
                <w:sz w:val="13"/>
                <w:szCs w:val="13"/>
                <w:color w:val="auto"/>
              </w:rPr>
              <w:t>7,312</w:t>
            </w:r>
          </w:p>
        </w:tc>
        <w:tc>
          <w:tcPr>
            <w:tcW w:w="0" w:type="dxa"/>
            <w:vAlign w:val="bottom"/>
          </w:tcPr>
          <w:p>
            <w:pPr>
              <w:spacing w:after="0"/>
              <w:rPr>
                <w:sz w:val="1"/>
                <w:szCs w:val="1"/>
                <w:color w:val="auto"/>
              </w:rPr>
            </w:pPr>
          </w:p>
        </w:tc>
      </w:tr>
      <w:tr>
        <w:trPr>
          <w:trHeight w:val="178"/>
        </w:trPr>
        <w:tc>
          <w:tcPr>
            <w:tcW w:w="3480" w:type="dxa"/>
            <w:vAlign w:val="bottom"/>
            <w:shd w:val="clear" w:color="auto" w:fill="DBDBDB"/>
          </w:tcPr>
          <w:p>
            <w:pPr>
              <w:ind w:left="20"/>
              <w:spacing w:after="0"/>
              <w:rPr>
                <w:sz w:val="20"/>
                <w:szCs w:val="20"/>
                <w:color w:val="auto"/>
              </w:rPr>
            </w:pPr>
            <w:r>
              <w:rPr>
                <w:rFonts w:ascii="Arial" w:cs="Arial" w:eastAsia="Arial" w:hAnsi="Arial"/>
                <w:sz w:val="13"/>
                <w:szCs w:val="13"/>
                <w:color w:val="auto"/>
              </w:rPr>
              <w:t>Average portable storage utilization rate</w:t>
            </w:r>
          </w:p>
        </w:tc>
        <w:tc>
          <w:tcPr>
            <w:tcW w:w="1100" w:type="dxa"/>
            <w:vAlign w:val="bottom"/>
            <w:shd w:val="clear" w:color="auto" w:fill="DBDBDB"/>
          </w:tcPr>
          <w:p>
            <w:pPr>
              <w:spacing w:after="0"/>
              <w:rPr>
                <w:sz w:val="15"/>
                <w:szCs w:val="15"/>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60.3 %</w:t>
            </w:r>
          </w:p>
        </w:tc>
        <w:tc>
          <w:tcPr>
            <w:tcW w:w="38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69.8 %</w:t>
            </w:r>
          </w:p>
        </w:tc>
        <w:tc>
          <w:tcPr>
            <w:tcW w:w="38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48.0 %</w:t>
            </w:r>
          </w:p>
        </w:tc>
        <w:tc>
          <w:tcPr>
            <w:tcW w:w="38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62.7 %</w:t>
            </w:r>
          </w:p>
        </w:tc>
        <w:tc>
          <w:tcPr>
            <w:tcW w:w="34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68.8 %</w:t>
            </w:r>
          </w:p>
        </w:tc>
        <w:tc>
          <w:tcPr>
            <w:tcW w:w="0" w:type="dxa"/>
            <w:vAlign w:val="bottom"/>
          </w:tcPr>
          <w:p>
            <w:pPr>
              <w:spacing w:after="0"/>
              <w:rPr>
                <w:sz w:val="1"/>
                <w:szCs w:val="1"/>
                <w:color w:val="auto"/>
              </w:rPr>
            </w:pPr>
          </w:p>
        </w:tc>
      </w:tr>
      <w:tr>
        <w:trPr>
          <w:trHeight w:val="169"/>
        </w:trPr>
        <w:tc>
          <w:tcPr>
            <w:tcW w:w="3480" w:type="dxa"/>
            <w:vAlign w:val="bottom"/>
          </w:tcPr>
          <w:p>
            <w:pPr>
              <w:ind w:left="20"/>
              <w:spacing w:after="0"/>
              <w:rPr>
                <w:sz w:val="20"/>
                <w:szCs w:val="20"/>
                <w:color w:val="auto"/>
              </w:rPr>
            </w:pPr>
            <w:r>
              <w:rPr>
                <w:rFonts w:ascii="Arial" w:cs="Arial" w:eastAsia="Arial" w:hAnsi="Arial"/>
                <w:sz w:val="13"/>
                <w:szCs w:val="13"/>
                <w:color w:val="auto"/>
              </w:rPr>
              <w:t>Average portable storage monthly rental rate</w:t>
            </w:r>
          </w:p>
        </w:tc>
        <w:tc>
          <w:tcPr>
            <w:tcW w:w="110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54"/>
              <w:spacing w:after="0"/>
              <w:rPr>
                <w:sz w:val="20"/>
                <w:szCs w:val="20"/>
                <w:color w:val="auto"/>
              </w:rPr>
            </w:pPr>
            <w:r>
              <w:rPr>
                <w:rFonts w:ascii="Arial" w:cs="Arial" w:eastAsia="Arial" w:hAnsi="Arial"/>
                <w:sz w:val="13"/>
                <w:szCs w:val="13"/>
                <w:color w:val="auto"/>
              </w:rPr>
              <w:t>124</w:t>
            </w:r>
          </w:p>
        </w:tc>
        <w:tc>
          <w:tcPr>
            <w:tcW w:w="38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54"/>
              <w:spacing w:after="0"/>
              <w:rPr>
                <w:sz w:val="20"/>
                <w:szCs w:val="20"/>
                <w:color w:val="auto"/>
              </w:rPr>
            </w:pPr>
            <w:r>
              <w:rPr>
                <w:rFonts w:ascii="Arial" w:cs="Arial" w:eastAsia="Arial" w:hAnsi="Arial"/>
                <w:sz w:val="13"/>
                <w:szCs w:val="13"/>
                <w:color w:val="auto"/>
              </w:rPr>
              <w:t>133</w:t>
            </w:r>
          </w:p>
        </w:tc>
        <w:tc>
          <w:tcPr>
            <w:tcW w:w="38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54"/>
              <w:spacing w:after="0"/>
              <w:rPr>
                <w:sz w:val="20"/>
                <w:szCs w:val="20"/>
                <w:color w:val="auto"/>
              </w:rPr>
            </w:pPr>
            <w:r>
              <w:rPr>
                <w:rFonts w:ascii="Arial" w:cs="Arial" w:eastAsia="Arial" w:hAnsi="Arial"/>
                <w:sz w:val="13"/>
                <w:szCs w:val="13"/>
                <w:color w:val="auto"/>
              </w:rPr>
              <w:t>179</w:t>
            </w:r>
          </w:p>
        </w:tc>
        <w:tc>
          <w:tcPr>
            <w:tcW w:w="38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54"/>
              <w:spacing w:after="0"/>
              <w:rPr>
                <w:sz w:val="20"/>
                <w:szCs w:val="20"/>
                <w:color w:val="auto"/>
              </w:rPr>
            </w:pPr>
            <w:r>
              <w:rPr>
                <w:rFonts w:ascii="Arial" w:cs="Arial" w:eastAsia="Arial" w:hAnsi="Arial"/>
                <w:sz w:val="13"/>
                <w:szCs w:val="13"/>
                <w:color w:val="auto"/>
              </w:rPr>
              <w:t>228</w:t>
            </w:r>
          </w:p>
        </w:tc>
        <w:tc>
          <w:tcPr>
            <w:tcW w:w="34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94"/>
              <w:spacing w:after="0"/>
              <w:rPr>
                <w:sz w:val="20"/>
                <w:szCs w:val="20"/>
                <w:color w:val="auto"/>
              </w:rPr>
            </w:pPr>
            <w:r>
              <w:rPr>
                <w:rFonts w:ascii="Arial" w:cs="Arial" w:eastAsia="Arial" w:hAnsi="Arial"/>
                <w:sz w:val="13"/>
                <w:szCs w:val="13"/>
                <w:color w:val="auto"/>
              </w:rPr>
              <w:t>131</w:t>
            </w:r>
          </w:p>
        </w:tc>
        <w:tc>
          <w:tcPr>
            <w:tcW w:w="0" w:type="dxa"/>
            <w:vAlign w:val="bottom"/>
          </w:tcPr>
          <w:p>
            <w:pPr>
              <w:spacing w:after="0"/>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Pro Forma Quarterly Results for the year ended December 31, 2020:</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8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 except for units on rent and</w:t>
            </w:r>
          </w:p>
        </w:tc>
        <w:tc>
          <w:tcPr>
            <w:tcW w:w="1100" w:type="dxa"/>
            <w:vAlign w:val="bottom"/>
            <w:shd w:val="clear" w:color="auto" w:fill="1D2758"/>
          </w:tcPr>
          <w:p>
            <w:pPr>
              <w:spacing w:after="0"/>
              <w:rPr>
                <w:sz w:val="12"/>
                <w:szCs w:val="12"/>
                <w:color w:val="auto"/>
              </w:rPr>
            </w:pPr>
          </w:p>
        </w:tc>
        <w:tc>
          <w:tcPr>
            <w:tcW w:w="1060" w:type="dxa"/>
            <w:vAlign w:val="bottom"/>
            <w:vMerge w:val="restart"/>
            <w:shd w:val="clear" w:color="auto" w:fill="1D2758"/>
          </w:tcPr>
          <w:p>
            <w:pPr>
              <w:jc w:val="right"/>
              <w:ind w:right="554"/>
              <w:spacing w:after="0"/>
              <w:rPr>
                <w:sz w:val="20"/>
                <w:szCs w:val="20"/>
                <w:color w:val="auto"/>
              </w:rPr>
            </w:pPr>
            <w:r>
              <w:rPr>
                <w:rFonts w:ascii="Arial" w:cs="Arial" w:eastAsia="Arial" w:hAnsi="Arial"/>
                <w:sz w:val="13"/>
                <w:szCs w:val="13"/>
                <w:b w:val="1"/>
                <w:bCs w:val="1"/>
                <w:color w:val="FFFFFF"/>
              </w:rPr>
              <w:t>Q1</w:t>
            </w:r>
          </w:p>
        </w:tc>
        <w:tc>
          <w:tcPr>
            <w:tcW w:w="380" w:type="dxa"/>
            <w:vAlign w:val="bottom"/>
            <w:shd w:val="clear" w:color="auto" w:fill="1D2758"/>
          </w:tcPr>
          <w:p>
            <w:pPr>
              <w:spacing w:after="0"/>
              <w:rPr>
                <w:sz w:val="12"/>
                <w:szCs w:val="12"/>
                <w:color w:val="auto"/>
              </w:rPr>
            </w:pPr>
          </w:p>
        </w:tc>
        <w:tc>
          <w:tcPr>
            <w:tcW w:w="1040" w:type="dxa"/>
            <w:vAlign w:val="bottom"/>
            <w:vMerge w:val="restart"/>
            <w:shd w:val="clear" w:color="auto" w:fill="1D2758"/>
          </w:tcPr>
          <w:p>
            <w:pPr>
              <w:jc w:val="right"/>
              <w:ind w:right="554"/>
              <w:spacing w:after="0"/>
              <w:rPr>
                <w:sz w:val="20"/>
                <w:szCs w:val="20"/>
                <w:color w:val="auto"/>
              </w:rPr>
            </w:pPr>
            <w:r>
              <w:rPr>
                <w:rFonts w:ascii="Arial" w:cs="Arial" w:eastAsia="Arial" w:hAnsi="Arial"/>
                <w:sz w:val="13"/>
                <w:szCs w:val="13"/>
                <w:b w:val="1"/>
                <w:bCs w:val="1"/>
                <w:color w:val="FFFFFF"/>
              </w:rPr>
              <w:t>Q2</w:t>
            </w:r>
          </w:p>
        </w:tc>
        <w:tc>
          <w:tcPr>
            <w:tcW w:w="380" w:type="dxa"/>
            <w:vAlign w:val="bottom"/>
            <w:shd w:val="clear" w:color="auto" w:fill="1D2758"/>
          </w:tcPr>
          <w:p>
            <w:pPr>
              <w:spacing w:after="0"/>
              <w:rPr>
                <w:sz w:val="12"/>
                <w:szCs w:val="12"/>
                <w:color w:val="auto"/>
              </w:rPr>
            </w:pPr>
          </w:p>
        </w:tc>
        <w:tc>
          <w:tcPr>
            <w:tcW w:w="1040" w:type="dxa"/>
            <w:vAlign w:val="bottom"/>
            <w:vMerge w:val="restart"/>
            <w:shd w:val="clear" w:color="auto" w:fill="1D2758"/>
          </w:tcPr>
          <w:p>
            <w:pPr>
              <w:jc w:val="right"/>
              <w:ind w:right="554"/>
              <w:spacing w:after="0"/>
              <w:rPr>
                <w:sz w:val="20"/>
                <w:szCs w:val="20"/>
                <w:color w:val="auto"/>
              </w:rPr>
            </w:pPr>
            <w:r>
              <w:rPr>
                <w:rFonts w:ascii="Arial" w:cs="Arial" w:eastAsia="Arial" w:hAnsi="Arial"/>
                <w:sz w:val="13"/>
                <w:szCs w:val="13"/>
                <w:b w:val="1"/>
                <w:bCs w:val="1"/>
                <w:color w:val="FFFFFF"/>
              </w:rPr>
              <w:t>Q3</w:t>
            </w:r>
          </w:p>
        </w:tc>
        <w:tc>
          <w:tcPr>
            <w:tcW w:w="380" w:type="dxa"/>
            <w:vAlign w:val="bottom"/>
            <w:shd w:val="clear" w:color="auto" w:fill="1D2758"/>
          </w:tcPr>
          <w:p>
            <w:pPr>
              <w:spacing w:after="0"/>
              <w:rPr>
                <w:sz w:val="12"/>
                <w:szCs w:val="12"/>
                <w:color w:val="auto"/>
              </w:rPr>
            </w:pPr>
          </w:p>
        </w:tc>
        <w:tc>
          <w:tcPr>
            <w:tcW w:w="1040" w:type="dxa"/>
            <w:vAlign w:val="bottom"/>
            <w:vMerge w:val="restart"/>
            <w:shd w:val="clear" w:color="auto" w:fill="1D2758"/>
          </w:tcPr>
          <w:p>
            <w:pPr>
              <w:jc w:val="right"/>
              <w:ind w:right="554"/>
              <w:spacing w:after="0"/>
              <w:rPr>
                <w:sz w:val="20"/>
                <w:szCs w:val="20"/>
                <w:color w:val="auto"/>
              </w:rPr>
            </w:pPr>
            <w:r>
              <w:rPr>
                <w:rFonts w:ascii="Arial" w:cs="Arial" w:eastAsia="Arial" w:hAnsi="Arial"/>
                <w:sz w:val="13"/>
                <w:szCs w:val="13"/>
                <w:b w:val="1"/>
                <w:bCs w:val="1"/>
                <w:color w:val="FFFFFF"/>
              </w:rPr>
              <w:t>Q4</w:t>
            </w:r>
          </w:p>
        </w:tc>
        <w:tc>
          <w:tcPr>
            <w:tcW w:w="340" w:type="dxa"/>
            <w:vAlign w:val="bottom"/>
            <w:shd w:val="clear" w:color="auto" w:fill="1D2758"/>
          </w:tcPr>
          <w:p>
            <w:pPr>
              <w:spacing w:after="0"/>
              <w:rPr>
                <w:sz w:val="12"/>
                <w:szCs w:val="12"/>
                <w:color w:val="auto"/>
              </w:rPr>
            </w:pPr>
          </w:p>
        </w:tc>
        <w:tc>
          <w:tcPr>
            <w:tcW w:w="1040" w:type="dxa"/>
            <w:vAlign w:val="bottom"/>
            <w:vMerge w:val="restart"/>
            <w:shd w:val="clear" w:color="auto" w:fill="1D2758"/>
          </w:tcPr>
          <w:p>
            <w:pPr>
              <w:jc w:val="right"/>
              <w:ind w:right="454"/>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75"/>
        </w:trPr>
        <w:tc>
          <w:tcPr>
            <w:tcW w:w="348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monthly rental rate)</w:t>
            </w:r>
          </w:p>
        </w:tc>
        <w:tc>
          <w:tcPr>
            <w:tcW w:w="1100" w:type="dxa"/>
            <w:vAlign w:val="bottom"/>
            <w:shd w:val="clear" w:color="auto" w:fill="1D2758"/>
          </w:tcPr>
          <w:p>
            <w:pPr>
              <w:spacing w:after="0"/>
              <w:rPr>
                <w:sz w:val="15"/>
                <w:szCs w:val="15"/>
                <w:color w:val="auto"/>
              </w:rPr>
            </w:pPr>
          </w:p>
        </w:tc>
        <w:tc>
          <w:tcPr>
            <w:tcW w:w="1060" w:type="dxa"/>
            <w:vAlign w:val="bottom"/>
            <w:vMerge w:val="continue"/>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34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80" w:type="dxa"/>
            <w:vAlign w:val="bottom"/>
            <w:shd w:val="clear" w:color="auto" w:fill="DBDBDB"/>
          </w:tcPr>
          <w:p>
            <w:pPr>
              <w:ind w:left="20"/>
              <w:spacing w:after="0"/>
              <w:rPr>
                <w:sz w:val="20"/>
                <w:szCs w:val="20"/>
                <w:color w:val="auto"/>
              </w:rPr>
            </w:pPr>
            <w:r>
              <w:rPr>
                <w:rFonts w:ascii="Arial" w:cs="Arial" w:eastAsia="Arial" w:hAnsi="Arial"/>
                <w:sz w:val="13"/>
                <w:szCs w:val="13"/>
                <w:color w:val="auto"/>
              </w:rPr>
              <w:t>Revenue</w:t>
            </w:r>
          </w:p>
        </w:tc>
        <w:tc>
          <w:tcPr>
            <w:tcW w:w="1100" w:type="dxa"/>
            <w:vAlign w:val="bottom"/>
            <w:shd w:val="clear" w:color="auto" w:fill="DBDBDB"/>
          </w:tcPr>
          <w:p>
            <w:pPr>
              <w:jc w:val="right"/>
              <w:ind w:right="174"/>
              <w:spacing w:after="0"/>
              <w:rPr>
                <w:sz w:val="20"/>
                <w:szCs w:val="20"/>
                <w:color w:val="auto"/>
              </w:rPr>
            </w:pPr>
            <w:r>
              <w:rPr>
                <w:rFonts w:ascii="Arial" w:cs="Arial" w:eastAsia="Arial" w:hAnsi="Arial"/>
                <w:sz w:val="13"/>
                <w:szCs w:val="13"/>
                <w:color w:val="auto"/>
              </w:rPr>
              <w:t>$</w:t>
            </w:r>
          </w:p>
        </w:tc>
        <w:tc>
          <w:tcPr>
            <w:tcW w:w="106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255,821</w:t>
            </w:r>
          </w:p>
        </w:tc>
        <w:tc>
          <w:tcPr>
            <w:tcW w:w="380" w:type="dxa"/>
            <w:vAlign w:val="bottom"/>
            <w:shd w:val="clear" w:color="auto" w:fill="DBDBDB"/>
          </w:tcPr>
          <w:p>
            <w:pPr>
              <w:jc w:val="right"/>
              <w:ind w:right="19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256,862</w:t>
            </w:r>
          </w:p>
        </w:tc>
        <w:tc>
          <w:tcPr>
            <w:tcW w:w="380" w:type="dxa"/>
            <w:vAlign w:val="bottom"/>
            <w:shd w:val="clear" w:color="auto" w:fill="DBDBDB"/>
          </w:tcPr>
          <w:p>
            <w:pPr>
              <w:jc w:val="right"/>
              <w:ind w:right="19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267,867</w:t>
            </w:r>
          </w:p>
        </w:tc>
        <w:tc>
          <w:tcPr>
            <w:tcW w:w="380" w:type="dxa"/>
            <w:vAlign w:val="bottom"/>
            <w:shd w:val="clear" w:color="auto" w:fill="DBDBDB"/>
          </w:tcPr>
          <w:p>
            <w:pPr>
              <w:jc w:val="right"/>
              <w:ind w:right="19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270,612</w:t>
            </w:r>
          </w:p>
        </w:tc>
        <w:tc>
          <w:tcPr>
            <w:tcW w:w="34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1,051,162</w:t>
            </w:r>
          </w:p>
        </w:tc>
        <w:tc>
          <w:tcPr>
            <w:tcW w:w="0" w:type="dxa"/>
            <w:vAlign w:val="bottom"/>
          </w:tcPr>
          <w:p>
            <w:pPr>
              <w:spacing w:after="0"/>
              <w:rPr>
                <w:sz w:val="1"/>
                <w:szCs w:val="1"/>
                <w:color w:val="auto"/>
              </w:rPr>
            </w:pPr>
          </w:p>
        </w:tc>
      </w:tr>
      <w:tr>
        <w:trPr>
          <w:trHeight w:val="172"/>
        </w:trPr>
        <w:tc>
          <w:tcPr>
            <w:tcW w:w="3480" w:type="dxa"/>
            <w:vAlign w:val="bottom"/>
          </w:tcPr>
          <w:p>
            <w:pPr>
              <w:ind w:left="20"/>
              <w:spacing w:after="0"/>
              <w:rPr>
                <w:sz w:val="20"/>
                <w:szCs w:val="20"/>
                <w:color w:val="auto"/>
              </w:rPr>
            </w:pPr>
            <w:r>
              <w:rPr>
                <w:rFonts w:ascii="Arial" w:cs="Arial" w:eastAsia="Arial" w:hAnsi="Arial"/>
                <w:sz w:val="13"/>
                <w:szCs w:val="13"/>
                <w:color w:val="auto"/>
              </w:rPr>
              <w:t>Gross profit</w:t>
            </w:r>
          </w:p>
        </w:tc>
        <w:tc>
          <w:tcPr>
            <w:tcW w:w="110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54"/>
              <w:spacing w:after="0"/>
              <w:rPr>
                <w:sz w:val="20"/>
                <w:szCs w:val="20"/>
                <w:color w:val="auto"/>
              </w:rPr>
            </w:pPr>
            <w:r>
              <w:rPr>
                <w:rFonts w:ascii="Arial" w:cs="Arial" w:eastAsia="Arial" w:hAnsi="Arial"/>
                <w:sz w:val="13"/>
                <w:szCs w:val="13"/>
                <w:color w:val="auto"/>
              </w:rPr>
              <w:t>106,190</w:t>
            </w:r>
          </w:p>
        </w:tc>
        <w:tc>
          <w:tcPr>
            <w:tcW w:w="38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54"/>
              <w:spacing w:after="0"/>
              <w:rPr>
                <w:sz w:val="20"/>
                <w:szCs w:val="20"/>
                <w:color w:val="auto"/>
              </w:rPr>
            </w:pPr>
            <w:r>
              <w:rPr>
                <w:rFonts w:ascii="Arial" w:cs="Arial" w:eastAsia="Arial" w:hAnsi="Arial"/>
                <w:sz w:val="13"/>
                <w:szCs w:val="13"/>
                <w:color w:val="auto"/>
              </w:rPr>
              <w:t>109,964</w:t>
            </w:r>
          </w:p>
        </w:tc>
        <w:tc>
          <w:tcPr>
            <w:tcW w:w="38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54"/>
              <w:spacing w:after="0"/>
              <w:rPr>
                <w:sz w:val="20"/>
                <w:szCs w:val="20"/>
                <w:color w:val="auto"/>
              </w:rPr>
            </w:pPr>
            <w:r>
              <w:rPr>
                <w:rFonts w:ascii="Arial" w:cs="Arial" w:eastAsia="Arial" w:hAnsi="Arial"/>
                <w:sz w:val="13"/>
                <w:szCs w:val="13"/>
                <w:color w:val="auto"/>
              </w:rPr>
              <w:t>112,079</w:t>
            </w:r>
          </w:p>
        </w:tc>
        <w:tc>
          <w:tcPr>
            <w:tcW w:w="38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54"/>
              <w:spacing w:after="0"/>
              <w:rPr>
                <w:sz w:val="20"/>
                <w:szCs w:val="20"/>
                <w:color w:val="auto"/>
              </w:rPr>
            </w:pPr>
            <w:r>
              <w:rPr>
                <w:rFonts w:ascii="Arial" w:cs="Arial" w:eastAsia="Arial" w:hAnsi="Arial"/>
                <w:sz w:val="13"/>
                <w:szCs w:val="13"/>
                <w:color w:val="auto"/>
              </w:rPr>
              <w:t>123,409</w:t>
            </w:r>
          </w:p>
        </w:tc>
        <w:tc>
          <w:tcPr>
            <w:tcW w:w="34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94"/>
              <w:spacing w:after="0"/>
              <w:rPr>
                <w:sz w:val="20"/>
                <w:szCs w:val="20"/>
                <w:color w:val="auto"/>
              </w:rPr>
            </w:pPr>
            <w:r>
              <w:rPr>
                <w:rFonts w:ascii="Arial" w:cs="Arial" w:eastAsia="Arial" w:hAnsi="Arial"/>
                <w:sz w:val="13"/>
                <w:szCs w:val="13"/>
                <w:color w:val="auto"/>
              </w:rPr>
              <w:t>451,642</w:t>
            </w:r>
          </w:p>
        </w:tc>
        <w:tc>
          <w:tcPr>
            <w:tcW w:w="0" w:type="dxa"/>
            <w:vAlign w:val="bottom"/>
          </w:tcPr>
          <w:p>
            <w:pPr>
              <w:spacing w:after="0"/>
              <w:rPr>
                <w:sz w:val="1"/>
                <w:szCs w:val="1"/>
                <w:color w:val="auto"/>
              </w:rPr>
            </w:pPr>
          </w:p>
        </w:tc>
      </w:tr>
      <w:tr>
        <w:trPr>
          <w:trHeight w:val="178"/>
        </w:trPr>
        <w:tc>
          <w:tcPr>
            <w:tcW w:w="3480" w:type="dxa"/>
            <w:vAlign w:val="bottom"/>
            <w:shd w:val="clear" w:color="auto" w:fill="DBDBDB"/>
          </w:tcPr>
          <w:p>
            <w:pPr>
              <w:ind w:left="20"/>
              <w:spacing w:after="0"/>
              <w:rPr>
                <w:sz w:val="20"/>
                <w:szCs w:val="20"/>
                <w:color w:val="auto"/>
              </w:rPr>
            </w:pPr>
            <w:r>
              <w:rPr>
                <w:rFonts w:ascii="Arial" w:cs="Arial" w:eastAsia="Arial" w:hAnsi="Arial"/>
                <w:sz w:val="13"/>
                <w:szCs w:val="13"/>
                <w:color w:val="auto"/>
              </w:rPr>
              <w:t>Adjusted EBITDA</w:t>
            </w:r>
          </w:p>
        </w:tc>
        <w:tc>
          <w:tcPr>
            <w:tcW w:w="1100" w:type="dxa"/>
            <w:vAlign w:val="bottom"/>
            <w:shd w:val="clear" w:color="auto" w:fill="DBDBDB"/>
          </w:tcPr>
          <w:p>
            <w:pPr>
              <w:jc w:val="right"/>
              <w:ind w:right="174"/>
              <w:spacing w:after="0"/>
              <w:rPr>
                <w:sz w:val="20"/>
                <w:szCs w:val="20"/>
                <w:color w:val="auto"/>
              </w:rPr>
            </w:pPr>
            <w:r>
              <w:rPr>
                <w:rFonts w:ascii="Arial" w:cs="Arial" w:eastAsia="Arial" w:hAnsi="Arial"/>
                <w:sz w:val="13"/>
                <w:szCs w:val="13"/>
                <w:color w:val="auto"/>
              </w:rPr>
              <w:t>$</w:t>
            </w:r>
          </w:p>
        </w:tc>
        <w:tc>
          <w:tcPr>
            <w:tcW w:w="106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89,544</w:t>
            </w:r>
          </w:p>
        </w:tc>
        <w:tc>
          <w:tcPr>
            <w:tcW w:w="380" w:type="dxa"/>
            <w:vAlign w:val="bottom"/>
            <w:shd w:val="clear" w:color="auto" w:fill="DBDBDB"/>
          </w:tcPr>
          <w:p>
            <w:pPr>
              <w:jc w:val="right"/>
              <w:ind w:right="19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97,520</w:t>
            </w:r>
          </w:p>
        </w:tc>
        <w:tc>
          <w:tcPr>
            <w:tcW w:w="380" w:type="dxa"/>
            <w:vAlign w:val="bottom"/>
            <w:shd w:val="clear" w:color="auto" w:fill="DBDBDB"/>
          </w:tcPr>
          <w:p>
            <w:pPr>
              <w:jc w:val="right"/>
              <w:ind w:right="19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100,281</w:t>
            </w:r>
          </w:p>
        </w:tc>
        <w:tc>
          <w:tcPr>
            <w:tcW w:w="380" w:type="dxa"/>
            <w:vAlign w:val="bottom"/>
            <w:shd w:val="clear" w:color="auto" w:fill="DBDBDB"/>
          </w:tcPr>
          <w:p>
            <w:pPr>
              <w:jc w:val="right"/>
              <w:ind w:right="19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107,460</w:t>
            </w:r>
          </w:p>
        </w:tc>
        <w:tc>
          <w:tcPr>
            <w:tcW w:w="34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394,805</w:t>
            </w:r>
          </w:p>
        </w:tc>
        <w:tc>
          <w:tcPr>
            <w:tcW w:w="0" w:type="dxa"/>
            <w:vAlign w:val="bottom"/>
          </w:tcPr>
          <w:p>
            <w:pPr>
              <w:spacing w:after="0"/>
              <w:rPr>
                <w:sz w:val="1"/>
                <w:szCs w:val="1"/>
                <w:color w:val="auto"/>
              </w:rPr>
            </w:pPr>
          </w:p>
        </w:tc>
      </w:tr>
      <w:tr>
        <w:trPr>
          <w:trHeight w:val="172"/>
        </w:trPr>
        <w:tc>
          <w:tcPr>
            <w:tcW w:w="3480" w:type="dxa"/>
            <w:vAlign w:val="bottom"/>
          </w:tcPr>
          <w:p>
            <w:pPr>
              <w:ind w:left="20"/>
              <w:spacing w:after="0"/>
              <w:rPr>
                <w:sz w:val="20"/>
                <w:szCs w:val="20"/>
                <w:color w:val="auto"/>
              </w:rPr>
            </w:pPr>
            <w:r>
              <w:rPr>
                <w:rFonts w:ascii="Arial" w:cs="Arial" w:eastAsia="Arial" w:hAnsi="Arial"/>
                <w:sz w:val="13"/>
                <w:szCs w:val="13"/>
                <w:color w:val="auto"/>
              </w:rPr>
              <w:t>Capex for rental equipment</w:t>
            </w:r>
          </w:p>
        </w:tc>
        <w:tc>
          <w:tcPr>
            <w:tcW w:w="110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54"/>
              <w:spacing w:after="0"/>
              <w:rPr>
                <w:sz w:val="20"/>
                <w:szCs w:val="20"/>
                <w:color w:val="auto"/>
              </w:rPr>
            </w:pPr>
            <w:r>
              <w:rPr>
                <w:rFonts w:ascii="Arial" w:cs="Arial" w:eastAsia="Arial" w:hAnsi="Arial"/>
                <w:sz w:val="13"/>
                <w:szCs w:val="13"/>
                <w:color w:val="auto"/>
              </w:rPr>
              <w:t>39,648</w:t>
            </w:r>
          </w:p>
        </w:tc>
        <w:tc>
          <w:tcPr>
            <w:tcW w:w="38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54"/>
              <w:spacing w:after="0"/>
              <w:rPr>
                <w:sz w:val="20"/>
                <w:szCs w:val="20"/>
                <w:color w:val="auto"/>
              </w:rPr>
            </w:pPr>
            <w:r>
              <w:rPr>
                <w:rFonts w:ascii="Arial" w:cs="Arial" w:eastAsia="Arial" w:hAnsi="Arial"/>
                <w:sz w:val="13"/>
                <w:szCs w:val="13"/>
                <w:color w:val="auto"/>
              </w:rPr>
              <w:t>40,034</w:t>
            </w:r>
          </w:p>
        </w:tc>
        <w:tc>
          <w:tcPr>
            <w:tcW w:w="38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54"/>
              <w:spacing w:after="0"/>
              <w:rPr>
                <w:sz w:val="20"/>
                <w:szCs w:val="20"/>
                <w:color w:val="auto"/>
              </w:rPr>
            </w:pPr>
            <w:r>
              <w:rPr>
                <w:rFonts w:ascii="Arial" w:cs="Arial" w:eastAsia="Arial" w:hAnsi="Arial"/>
                <w:sz w:val="13"/>
                <w:szCs w:val="13"/>
                <w:color w:val="auto"/>
              </w:rPr>
              <w:t>34,249</w:t>
            </w:r>
          </w:p>
        </w:tc>
        <w:tc>
          <w:tcPr>
            <w:tcW w:w="38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54"/>
              <w:spacing w:after="0"/>
              <w:rPr>
                <w:sz w:val="20"/>
                <w:szCs w:val="20"/>
                <w:color w:val="auto"/>
              </w:rPr>
            </w:pPr>
            <w:r>
              <w:rPr>
                <w:rFonts w:ascii="Arial" w:cs="Arial" w:eastAsia="Arial" w:hAnsi="Arial"/>
                <w:sz w:val="13"/>
                <w:szCs w:val="13"/>
                <w:color w:val="auto"/>
              </w:rPr>
              <w:t>39,396</w:t>
            </w:r>
          </w:p>
        </w:tc>
        <w:tc>
          <w:tcPr>
            <w:tcW w:w="34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94"/>
              <w:spacing w:after="0"/>
              <w:rPr>
                <w:sz w:val="20"/>
                <w:szCs w:val="20"/>
                <w:color w:val="auto"/>
              </w:rPr>
            </w:pPr>
            <w:r>
              <w:rPr>
                <w:rFonts w:ascii="Arial" w:cs="Arial" w:eastAsia="Arial" w:hAnsi="Arial"/>
                <w:sz w:val="13"/>
                <w:szCs w:val="13"/>
                <w:color w:val="auto"/>
              </w:rPr>
              <w:t>153,327</w:t>
            </w:r>
          </w:p>
        </w:tc>
        <w:tc>
          <w:tcPr>
            <w:tcW w:w="0" w:type="dxa"/>
            <w:vAlign w:val="bottom"/>
          </w:tcPr>
          <w:p>
            <w:pPr>
              <w:spacing w:after="0"/>
              <w:rPr>
                <w:sz w:val="1"/>
                <w:szCs w:val="1"/>
                <w:color w:val="auto"/>
              </w:rPr>
            </w:pPr>
          </w:p>
        </w:tc>
      </w:tr>
      <w:tr>
        <w:trPr>
          <w:trHeight w:val="178"/>
        </w:trPr>
        <w:tc>
          <w:tcPr>
            <w:tcW w:w="3480" w:type="dxa"/>
            <w:vAlign w:val="bottom"/>
            <w:shd w:val="clear" w:color="auto" w:fill="DBDBDB"/>
          </w:tcPr>
          <w:p>
            <w:pPr>
              <w:ind w:left="20"/>
              <w:spacing w:after="0"/>
              <w:rPr>
                <w:sz w:val="20"/>
                <w:szCs w:val="20"/>
                <w:color w:val="auto"/>
              </w:rPr>
            </w:pPr>
            <w:r>
              <w:rPr>
                <w:rFonts w:ascii="Arial" w:cs="Arial" w:eastAsia="Arial" w:hAnsi="Arial"/>
                <w:sz w:val="13"/>
                <w:szCs w:val="13"/>
                <w:color w:val="auto"/>
              </w:rPr>
              <w:t>Average modular space units on rent</w:t>
            </w:r>
          </w:p>
        </w:tc>
        <w:tc>
          <w:tcPr>
            <w:tcW w:w="1100" w:type="dxa"/>
            <w:vAlign w:val="bottom"/>
            <w:shd w:val="clear" w:color="auto" w:fill="DBDBDB"/>
          </w:tcPr>
          <w:p>
            <w:pPr>
              <w:spacing w:after="0"/>
              <w:rPr>
                <w:sz w:val="15"/>
                <w:szCs w:val="15"/>
                <w:color w:val="auto"/>
              </w:rPr>
            </w:pPr>
          </w:p>
        </w:tc>
        <w:tc>
          <w:tcPr>
            <w:tcW w:w="106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87,988</w:t>
            </w:r>
          </w:p>
        </w:tc>
        <w:tc>
          <w:tcPr>
            <w:tcW w:w="380" w:type="dxa"/>
            <w:vAlign w:val="bottom"/>
            <w:shd w:val="clear" w:color="auto" w:fill="DBDBDB"/>
          </w:tcPr>
          <w:p>
            <w:pPr>
              <w:spacing w:after="0"/>
              <w:rPr>
                <w:sz w:val="15"/>
                <w:szCs w:val="15"/>
                <w:color w:val="auto"/>
              </w:rPr>
            </w:pPr>
          </w:p>
        </w:tc>
        <w:tc>
          <w:tcPr>
            <w:tcW w:w="104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87,096</w:t>
            </w:r>
          </w:p>
        </w:tc>
        <w:tc>
          <w:tcPr>
            <w:tcW w:w="380" w:type="dxa"/>
            <w:vAlign w:val="bottom"/>
            <w:shd w:val="clear" w:color="auto" w:fill="DBDBDB"/>
          </w:tcPr>
          <w:p>
            <w:pPr>
              <w:spacing w:after="0"/>
              <w:rPr>
                <w:sz w:val="15"/>
                <w:szCs w:val="15"/>
                <w:color w:val="auto"/>
              </w:rPr>
            </w:pPr>
          </w:p>
        </w:tc>
        <w:tc>
          <w:tcPr>
            <w:tcW w:w="104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86,400</w:t>
            </w:r>
          </w:p>
        </w:tc>
        <w:tc>
          <w:tcPr>
            <w:tcW w:w="380" w:type="dxa"/>
            <w:vAlign w:val="bottom"/>
            <w:shd w:val="clear" w:color="auto" w:fill="DBDBDB"/>
          </w:tcPr>
          <w:p>
            <w:pPr>
              <w:spacing w:after="0"/>
              <w:rPr>
                <w:sz w:val="15"/>
                <w:szCs w:val="15"/>
                <w:color w:val="auto"/>
              </w:rPr>
            </w:pPr>
          </w:p>
        </w:tc>
        <w:tc>
          <w:tcPr>
            <w:tcW w:w="104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86,011</w:t>
            </w:r>
          </w:p>
        </w:tc>
        <w:tc>
          <w:tcPr>
            <w:tcW w:w="340" w:type="dxa"/>
            <w:vAlign w:val="bottom"/>
            <w:shd w:val="clear" w:color="auto" w:fill="DBDBDB"/>
          </w:tcPr>
          <w:p>
            <w:pPr>
              <w:spacing w:after="0"/>
              <w:rPr>
                <w:sz w:val="15"/>
                <w:szCs w:val="15"/>
                <w:color w:val="auto"/>
              </w:rPr>
            </w:pPr>
          </w:p>
        </w:tc>
        <w:tc>
          <w:tcPr>
            <w:tcW w:w="10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86,874</w:t>
            </w:r>
          </w:p>
        </w:tc>
        <w:tc>
          <w:tcPr>
            <w:tcW w:w="0" w:type="dxa"/>
            <w:vAlign w:val="bottom"/>
          </w:tcPr>
          <w:p>
            <w:pPr>
              <w:spacing w:after="0"/>
              <w:rPr>
                <w:sz w:val="1"/>
                <w:szCs w:val="1"/>
                <w:color w:val="auto"/>
              </w:rPr>
            </w:pPr>
          </w:p>
        </w:tc>
      </w:tr>
      <w:tr>
        <w:trPr>
          <w:trHeight w:val="172"/>
        </w:trPr>
        <w:tc>
          <w:tcPr>
            <w:tcW w:w="3480" w:type="dxa"/>
            <w:vAlign w:val="bottom"/>
          </w:tcPr>
          <w:p>
            <w:pPr>
              <w:ind w:left="20"/>
              <w:spacing w:after="0"/>
              <w:rPr>
                <w:sz w:val="20"/>
                <w:szCs w:val="20"/>
                <w:color w:val="auto"/>
              </w:rPr>
            </w:pPr>
            <w:r>
              <w:rPr>
                <w:rFonts w:ascii="Arial" w:cs="Arial" w:eastAsia="Arial" w:hAnsi="Arial"/>
                <w:sz w:val="13"/>
                <w:szCs w:val="13"/>
                <w:color w:val="auto"/>
              </w:rPr>
              <w:t>Average modular space utilization rate</w:t>
            </w:r>
          </w:p>
        </w:tc>
        <w:tc>
          <w:tcPr>
            <w:tcW w:w="1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69.2 %</w:t>
            </w:r>
          </w:p>
        </w:tc>
        <w:tc>
          <w:tcPr>
            <w:tcW w:w="3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68.5 %</w:t>
            </w:r>
          </w:p>
        </w:tc>
        <w:tc>
          <w:tcPr>
            <w:tcW w:w="3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68.3 %</w:t>
            </w:r>
          </w:p>
        </w:tc>
        <w:tc>
          <w:tcPr>
            <w:tcW w:w="3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68.2 %</w:t>
            </w: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68.9 %</w:t>
            </w:r>
          </w:p>
        </w:tc>
        <w:tc>
          <w:tcPr>
            <w:tcW w:w="0" w:type="dxa"/>
            <w:vAlign w:val="bottom"/>
          </w:tcPr>
          <w:p>
            <w:pPr>
              <w:spacing w:after="0"/>
              <w:rPr>
                <w:sz w:val="1"/>
                <w:szCs w:val="1"/>
                <w:color w:val="auto"/>
              </w:rPr>
            </w:pPr>
          </w:p>
        </w:tc>
      </w:tr>
      <w:tr>
        <w:trPr>
          <w:trHeight w:val="178"/>
        </w:trPr>
        <w:tc>
          <w:tcPr>
            <w:tcW w:w="3480" w:type="dxa"/>
            <w:vAlign w:val="bottom"/>
            <w:shd w:val="clear" w:color="auto" w:fill="DBDBDB"/>
          </w:tcPr>
          <w:p>
            <w:pPr>
              <w:ind w:left="20"/>
              <w:spacing w:after="0"/>
              <w:rPr>
                <w:sz w:val="20"/>
                <w:szCs w:val="20"/>
                <w:color w:val="auto"/>
              </w:rPr>
            </w:pPr>
            <w:r>
              <w:rPr>
                <w:rFonts w:ascii="Arial" w:cs="Arial" w:eastAsia="Arial" w:hAnsi="Arial"/>
                <w:sz w:val="13"/>
                <w:szCs w:val="13"/>
                <w:color w:val="auto"/>
              </w:rPr>
              <w:t>Average modular space monthly rental rate</w:t>
            </w:r>
          </w:p>
        </w:tc>
        <w:tc>
          <w:tcPr>
            <w:tcW w:w="1100" w:type="dxa"/>
            <w:vAlign w:val="bottom"/>
            <w:shd w:val="clear" w:color="auto" w:fill="DBDBDB"/>
          </w:tcPr>
          <w:p>
            <w:pPr>
              <w:jc w:val="right"/>
              <w:ind w:right="174"/>
              <w:spacing w:after="0"/>
              <w:rPr>
                <w:sz w:val="20"/>
                <w:szCs w:val="20"/>
                <w:color w:val="auto"/>
              </w:rPr>
            </w:pPr>
            <w:r>
              <w:rPr>
                <w:rFonts w:ascii="Arial" w:cs="Arial" w:eastAsia="Arial" w:hAnsi="Arial"/>
                <w:sz w:val="13"/>
                <w:szCs w:val="13"/>
                <w:color w:val="auto"/>
              </w:rPr>
              <w:t>$</w:t>
            </w:r>
          </w:p>
        </w:tc>
        <w:tc>
          <w:tcPr>
            <w:tcW w:w="106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653</w:t>
            </w:r>
          </w:p>
        </w:tc>
        <w:tc>
          <w:tcPr>
            <w:tcW w:w="380" w:type="dxa"/>
            <w:vAlign w:val="bottom"/>
            <w:shd w:val="clear" w:color="auto" w:fill="DBDBDB"/>
          </w:tcPr>
          <w:p>
            <w:pPr>
              <w:jc w:val="right"/>
              <w:ind w:right="19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669</w:t>
            </w:r>
          </w:p>
        </w:tc>
        <w:tc>
          <w:tcPr>
            <w:tcW w:w="380" w:type="dxa"/>
            <w:vAlign w:val="bottom"/>
            <w:shd w:val="clear" w:color="auto" w:fill="DBDBDB"/>
          </w:tcPr>
          <w:p>
            <w:pPr>
              <w:jc w:val="right"/>
              <w:ind w:right="19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693</w:t>
            </w:r>
          </w:p>
        </w:tc>
        <w:tc>
          <w:tcPr>
            <w:tcW w:w="380" w:type="dxa"/>
            <w:vAlign w:val="bottom"/>
            <w:shd w:val="clear" w:color="auto" w:fill="DBDBDB"/>
          </w:tcPr>
          <w:p>
            <w:pPr>
              <w:jc w:val="right"/>
              <w:ind w:right="19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724</w:t>
            </w:r>
          </w:p>
        </w:tc>
        <w:tc>
          <w:tcPr>
            <w:tcW w:w="34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685</w:t>
            </w:r>
          </w:p>
        </w:tc>
        <w:tc>
          <w:tcPr>
            <w:tcW w:w="0" w:type="dxa"/>
            <w:vAlign w:val="bottom"/>
          </w:tcPr>
          <w:p>
            <w:pPr>
              <w:spacing w:after="0"/>
              <w:rPr>
                <w:sz w:val="1"/>
                <w:szCs w:val="1"/>
                <w:color w:val="auto"/>
              </w:rPr>
            </w:pPr>
          </w:p>
        </w:tc>
      </w:tr>
      <w:tr>
        <w:trPr>
          <w:trHeight w:val="172"/>
        </w:trPr>
        <w:tc>
          <w:tcPr>
            <w:tcW w:w="3480" w:type="dxa"/>
            <w:vAlign w:val="bottom"/>
          </w:tcPr>
          <w:p>
            <w:pPr>
              <w:ind w:left="20"/>
              <w:spacing w:after="0"/>
              <w:rPr>
                <w:sz w:val="20"/>
                <w:szCs w:val="20"/>
                <w:color w:val="auto"/>
              </w:rPr>
            </w:pPr>
            <w:r>
              <w:rPr>
                <w:rFonts w:ascii="Arial" w:cs="Arial" w:eastAsia="Arial" w:hAnsi="Arial"/>
                <w:sz w:val="13"/>
                <w:szCs w:val="13"/>
                <w:color w:val="auto"/>
              </w:rPr>
              <w:t>Average portable storage units on rent</w:t>
            </w:r>
          </w:p>
        </w:tc>
        <w:tc>
          <w:tcPr>
            <w:tcW w:w="1100" w:type="dxa"/>
            <w:vAlign w:val="bottom"/>
          </w:tcPr>
          <w:p>
            <w:pPr>
              <w:spacing w:after="0"/>
              <w:rPr>
                <w:sz w:val="14"/>
                <w:szCs w:val="14"/>
                <w:color w:val="auto"/>
              </w:rPr>
            </w:pPr>
          </w:p>
        </w:tc>
        <w:tc>
          <w:tcPr>
            <w:tcW w:w="1060" w:type="dxa"/>
            <w:vAlign w:val="bottom"/>
          </w:tcPr>
          <w:p>
            <w:pPr>
              <w:jc w:val="right"/>
              <w:ind w:right="154"/>
              <w:spacing w:after="0"/>
              <w:rPr>
                <w:sz w:val="20"/>
                <w:szCs w:val="20"/>
                <w:color w:val="auto"/>
              </w:rPr>
            </w:pPr>
            <w:r>
              <w:rPr>
                <w:rFonts w:ascii="Arial" w:cs="Arial" w:eastAsia="Arial" w:hAnsi="Arial"/>
                <w:sz w:val="13"/>
                <w:szCs w:val="13"/>
                <w:color w:val="auto"/>
              </w:rPr>
              <w:t>16,346</w:t>
            </w:r>
          </w:p>
        </w:tc>
        <w:tc>
          <w:tcPr>
            <w:tcW w:w="380" w:type="dxa"/>
            <w:vAlign w:val="bottom"/>
          </w:tcPr>
          <w:p>
            <w:pPr>
              <w:spacing w:after="0"/>
              <w:rPr>
                <w:sz w:val="14"/>
                <w:szCs w:val="14"/>
                <w:color w:val="auto"/>
              </w:rPr>
            </w:pPr>
          </w:p>
        </w:tc>
        <w:tc>
          <w:tcPr>
            <w:tcW w:w="1040" w:type="dxa"/>
            <w:vAlign w:val="bottom"/>
          </w:tcPr>
          <w:p>
            <w:pPr>
              <w:jc w:val="right"/>
              <w:ind w:right="154"/>
              <w:spacing w:after="0"/>
              <w:rPr>
                <w:sz w:val="20"/>
                <w:szCs w:val="20"/>
                <w:color w:val="auto"/>
              </w:rPr>
            </w:pPr>
            <w:r>
              <w:rPr>
                <w:rFonts w:ascii="Arial" w:cs="Arial" w:eastAsia="Arial" w:hAnsi="Arial"/>
                <w:sz w:val="13"/>
                <w:szCs w:val="13"/>
                <w:color w:val="auto"/>
              </w:rPr>
              <w:t>15,869</w:t>
            </w:r>
          </w:p>
        </w:tc>
        <w:tc>
          <w:tcPr>
            <w:tcW w:w="380" w:type="dxa"/>
            <w:vAlign w:val="bottom"/>
          </w:tcPr>
          <w:p>
            <w:pPr>
              <w:spacing w:after="0"/>
              <w:rPr>
                <w:sz w:val="14"/>
                <w:szCs w:val="14"/>
                <w:color w:val="auto"/>
              </w:rPr>
            </w:pPr>
          </w:p>
        </w:tc>
        <w:tc>
          <w:tcPr>
            <w:tcW w:w="1040" w:type="dxa"/>
            <w:vAlign w:val="bottom"/>
          </w:tcPr>
          <w:p>
            <w:pPr>
              <w:jc w:val="right"/>
              <w:ind w:right="154"/>
              <w:spacing w:after="0"/>
              <w:rPr>
                <w:sz w:val="20"/>
                <w:szCs w:val="20"/>
                <w:color w:val="auto"/>
              </w:rPr>
            </w:pPr>
            <w:r>
              <w:rPr>
                <w:rFonts w:ascii="Arial" w:cs="Arial" w:eastAsia="Arial" w:hAnsi="Arial"/>
                <w:sz w:val="13"/>
                <w:szCs w:val="13"/>
                <w:color w:val="auto"/>
              </w:rPr>
              <w:t>15,473</w:t>
            </w:r>
          </w:p>
        </w:tc>
        <w:tc>
          <w:tcPr>
            <w:tcW w:w="380" w:type="dxa"/>
            <w:vAlign w:val="bottom"/>
          </w:tcPr>
          <w:p>
            <w:pPr>
              <w:spacing w:after="0"/>
              <w:rPr>
                <w:sz w:val="14"/>
                <w:szCs w:val="14"/>
                <w:color w:val="auto"/>
              </w:rPr>
            </w:pPr>
          </w:p>
        </w:tc>
        <w:tc>
          <w:tcPr>
            <w:tcW w:w="1040" w:type="dxa"/>
            <w:vAlign w:val="bottom"/>
          </w:tcPr>
          <w:p>
            <w:pPr>
              <w:jc w:val="right"/>
              <w:ind w:right="154"/>
              <w:spacing w:after="0"/>
              <w:rPr>
                <w:sz w:val="20"/>
                <w:szCs w:val="20"/>
                <w:color w:val="auto"/>
              </w:rPr>
            </w:pPr>
            <w:r>
              <w:rPr>
                <w:rFonts w:ascii="Arial" w:cs="Arial" w:eastAsia="Arial" w:hAnsi="Arial"/>
                <w:sz w:val="13"/>
                <w:szCs w:val="13"/>
                <w:color w:val="auto"/>
              </w:rPr>
              <w:t>15,603</w:t>
            </w:r>
          </w:p>
        </w:tc>
        <w:tc>
          <w:tcPr>
            <w:tcW w:w="340" w:type="dxa"/>
            <w:vAlign w:val="bottom"/>
          </w:tcPr>
          <w:p>
            <w:pPr>
              <w:spacing w:after="0"/>
              <w:rPr>
                <w:sz w:val="14"/>
                <w:szCs w:val="14"/>
                <w:color w:val="auto"/>
              </w:rPr>
            </w:pPr>
          </w:p>
        </w:tc>
        <w:tc>
          <w:tcPr>
            <w:tcW w:w="1040" w:type="dxa"/>
            <w:vAlign w:val="bottom"/>
          </w:tcPr>
          <w:p>
            <w:pPr>
              <w:jc w:val="right"/>
              <w:ind w:right="94"/>
              <w:spacing w:after="0"/>
              <w:rPr>
                <w:sz w:val="20"/>
                <w:szCs w:val="20"/>
                <w:color w:val="auto"/>
              </w:rPr>
            </w:pPr>
            <w:r>
              <w:rPr>
                <w:rFonts w:ascii="Arial" w:cs="Arial" w:eastAsia="Arial" w:hAnsi="Arial"/>
                <w:sz w:val="13"/>
                <w:szCs w:val="13"/>
                <w:color w:val="auto"/>
              </w:rPr>
              <w:t>15,823</w:t>
            </w:r>
          </w:p>
        </w:tc>
        <w:tc>
          <w:tcPr>
            <w:tcW w:w="0" w:type="dxa"/>
            <w:vAlign w:val="bottom"/>
          </w:tcPr>
          <w:p>
            <w:pPr>
              <w:spacing w:after="0"/>
              <w:rPr>
                <w:sz w:val="1"/>
                <w:szCs w:val="1"/>
                <w:color w:val="auto"/>
              </w:rPr>
            </w:pPr>
          </w:p>
        </w:tc>
      </w:tr>
      <w:tr>
        <w:trPr>
          <w:trHeight w:val="178"/>
        </w:trPr>
        <w:tc>
          <w:tcPr>
            <w:tcW w:w="3480" w:type="dxa"/>
            <w:vAlign w:val="bottom"/>
            <w:shd w:val="clear" w:color="auto" w:fill="DBDBDB"/>
          </w:tcPr>
          <w:p>
            <w:pPr>
              <w:ind w:left="20"/>
              <w:spacing w:after="0"/>
              <w:rPr>
                <w:sz w:val="20"/>
                <w:szCs w:val="20"/>
                <w:color w:val="auto"/>
              </w:rPr>
            </w:pPr>
            <w:r>
              <w:rPr>
                <w:rFonts w:ascii="Arial" w:cs="Arial" w:eastAsia="Arial" w:hAnsi="Arial"/>
                <w:sz w:val="13"/>
                <w:szCs w:val="13"/>
                <w:color w:val="auto"/>
              </w:rPr>
              <w:t>Average portable storage utilization rate</w:t>
            </w:r>
          </w:p>
        </w:tc>
        <w:tc>
          <w:tcPr>
            <w:tcW w:w="1100" w:type="dxa"/>
            <w:vAlign w:val="bottom"/>
            <w:shd w:val="clear" w:color="auto" w:fill="DBDBDB"/>
          </w:tcPr>
          <w:p>
            <w:pPr>
              <w:spacing w:after="0"/>
              <w:rPr>
                <w:sz w:val="15"/>
                <w:szCs w:val="15"/>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64.1 %</w:t>
            </w:r>
          </w:p>
        </w:tc>
        <w:tc>
          <w:tcPr>
            <w:tcW w:w="38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62.5 %</w:t>
            </w:r>
          </w:p>
        </w:tc>
        <w:tc>
          <w:tcPr>
            <w:tcW w:w="38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61.3 %</w:t>
            </w:r>
          </w:p>
        </w:tc>
        <w:tc>
          <w:tcPr>
            <w:tcW w:w="38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62.6 %</w:t>
            </w:r>
          </w:p>
        </w:tc>
        <w:tc>
          <w:tcPr>
            <w:tcW w:w="34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63.5 %</w:t>
            </w:r>
          </w:p>
        </w:tc>
        <w:tc>
          <w:tcPr>
            <w:tcW w:w="0" w:type="dxa"/>
            <w:vAlign w:val="bottom"/>
          </w:tcPr>
          <w:p>
            <w:pPr>
              <w:spacing w:after="0"/>
              <w:rPr>
                <w:sz w:val="1"/>
                <w:szCs w:val="1"/>
                <w:color w:val="auto"/>
              </w:rPr>
            </w:pPr>
          </w:p>
        </w:tc>
      </w:tr>
      <w:tr>
        <w:trPr>
          <w:trHeight w:val="169"/>
        </w:trPr>
        <w:tc>
          <w:tcPr>
            <w:tcW w:w="3480" w:type="dxa"/>
            <w:vAlign w:val="bottom"/>
          </w:tcPr>
          <w:p>
            <w:pPr>
              <w:ind w:left="20"/>
              <w:spacing w:after="0"/>
              <w:rPr>
                <w:sz w:val="20"/>
                <w:szCs w:val="20"/>
                <w:color w:val="auto"/>
              </w:rPr>
            </w:pPr>
            <w:r>
              <w:rPr>
                <w:rFonts w:ascii="Arial" w:cs="Arial" w:eastAsia="Arial" w:hAnsi="Arial"/>
                <w:sz w:val="13"/>
                <w:szCs w:val="13"/>
                <w:color w:val="auto"/>
              </w:rPr>
              <w:t>Average portable storage monthly rental rate</w:t>
            </w:r>
          </w:p>
        </w:tc>
        <w:tc>
          <w:tcPr>
            <w:tcW w:w="110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54"/>
              <w:spacing w:after="0"/>
              <w:rPr>
                <w:sz w:val="20"/>
                <w:szCs w:val="20"/>
                <w:color w:val="auto"/>
              </w:rPr>
            </w:pPr>
            <w:r>
              <w:rPr>
                <w:rFonts w:ascii="Arial" w:cs="Arial" w:eastAsia="Arial" w:hAnsi="Arial"/>
                <w:sz w:val="13"/>
                <w:szCs w:val="13"/>
                <w:color w:val="auto"/>
              </w:rPr>
              <w:t>119</w:t>
            </w:r>
          </w:p>
        </w:tc>
        <w:tc>
          <w:tcPr>
            <w:tcW w:w="38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54"/>
              <w:spacing w:after="0"/>
              <w:rPr>
                <w:sz w:val="20"/>
                <w:szCs w:val="20"/>
                <w:color w:val="auto"/>
              </w:rPr>
            </w:pPr>
            <w:r>
              <w:rPr>
                <w:rFonts w:ascii="Arial" w:cs="Arial" w:eastAsia="Arial" w:hAnsi="Arial"/>
                <w:sz w:val="13"/>
                <w:szCs w:val="13"/>
                <w:color w:val="auto"/>
              </w:rPr>
              <w:t>120</w:t>
            </w:r>
          </w:p>
        </w:tc>
        <w:tc>
          <w:tcPr>
            <w:tcW w:w="38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54"/>
              <w:spacing w:after="0"/>
              <w:rPr>
                <w:sz w:val="20"/>
                <w:szCs w:val="20"/>
                <w:color w:val="auto"/>
              </w:rPr>
            </w:pPr>
            <w:r>
              <w:rPr>
                <w:rFonts w:ascii="Arial" w:cs="Arial" w:eastAsia="Arial" w:hAnsi="Arial"/>
                <w:sz w:val="13"/>
                <w:szCs w:val="13"/>
                <w:color w:val="auto"/>
              </w:rPr>
              <w:t>124</w:t>
            </w:r>
          </w:p>
        </w:tc>
        <w:tc>
          <w:tcPr>
            <w:tcW w:w="38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54"/>
              <w:spacing w:after="0"/>
              <w:rPr>
                <w:sz w:val="20"/>
                <w:szCs w:val="20"/>
                <w:color w:val="auto"/>
              </w:rPr>
            </w:pPr>
            <w:r>
              <w:rPr>
                <w:rFonts w:ascii="Arial" w:cs="Arial" w:eastAsia="Arial" w:hAnsi="Arial"/>
                <w:sz w:val="13"/>
                <w:szCs w:val="13"/>
                <w:color w:val="auto"/>
              </w:rPr>
              <w:t>124</w:t>
            </w:r>
          </w:p>
        </w:tc>
        <w:tc>
          <w:tcPr>
            <w:tcW w:w="34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94"/>
              <w:spacing w:after="0"/>
              <w:rPr>
                <w:sz w:val="20"/>
                <w:szCs w:val="20"/>
                <w:color w:val="auto"/>
              </w:rPr>
            </w:pPr>
            <w:r>
              <w:rPr>
                <w:rFonts w:ascii="Arial" w:cs="Arial" w:eastAsia="Arial" w:hAnsi="Arial"/>
                <w:sz w:val="13"/>
                <w:szCs w:val="13"/>
                <w:color w:val="auto"/>
              </w:rPr>
              <w:t>122</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NA Modular segment represents the activities of WillScot prior to the Merger. As a result, there are no differences between pro forma results and actual results on a reported basis.</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Please see comparison of results for the years ended December 31, 2021 and 2020 within "Business Segment Results" above.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07" w:right="319" w:bottom="1440" w:gutter="0" w:footer="0" w:header="0"/>
        </w:sectPr>
      </w:pPr>
    </w:p>
    <w:bookmarkStart w:id="59" w:name="page60"/>
    <w:bookmarkEnd w:id="59"/>
    <w:p>
      <w:pPr>
        <w:spacing w:after="0"/>
        <w:rPr>
          <w:sz w:val="20"/>
          <w:szCs w:val="20"/>
          <w:color w:val="auto"/>
        </w:rPr>
      </w:pPr>
      <w:r>
        <w:rPr>
          <w:rFonts w:ascii="Arial" w:cs="Arial" w:eastAsia="Arial" w:hAnsi="Arial"/>
          <w:sz w:val="15"/>
          <w:szCs w:val="15"/>
          <w:b w:val="1"/>
          <w:bCs w:val="1"/>
          <w:color w:val="auto"/>
        </w:rPr>
        <w:t>NA Storage - Quarterly Results</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Pro Forma Quarterly Results for the year ended December 31, 2021</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8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 except for units on rent and</w:t>
            </w:r>
          </w:p>
        </w:tc>
        <w:tc>
          <w:tcPr>
            <w:tcW w:w="1120" w:type="dxa"/>
            <w:vAlign w:val="bottom"/>
            <w:shd w:val="clear" w:color="auto" w:fill="1D2758"/>
          </w:tcPr>
          <w:p>
            <w:pPr>
              <w:spacing w:after="0"/>
              <w:rPr>
                <w:sz w:val="13"/>
                <w:szCs w:val="13"/>
                <w:color w:val="auto"/>
              </w:rPr>
            </w:pPr>
          </w:p>
        </w:tc>
        <w:tc>
          <w:tcPr>
            <w:tcW w:w="1040" w:type="dxa"/>
            <w:vAlign w:val="bottom"/>
            <w:vMerge w:val="restart"/>
            <w:shd w:val="clear" w:color="auto" w:fill="1D2758"/>
          </w:tcPr>
          <w:p>
            <w:pPr>
              <w:jc w:val="right"/>
              <w:ind w:right="554"/>
              <w:spacing w:after="0"/>
              <w:rPr>
                <w:sz w:val="20"/>
                <w:szCs w:val="20"/>
                <w:color w:val="auto"/>
              </w:rPr>
            </w:pPr>
            <w:r>
              <w:rPr>
                <w:rFonts w:ascii="Arial" w:cs="Arial" w:eastAsia="Arial" w:hAnsi="Arial"/>
                <w:sz w:val="13"/>
                <w:szCs w:val="13"/>
                <w:b w:val="1"/>
                <w:bCs w:val="1"/>
                <w:color w:val="FFFFFF"/>
              </w:rPr>
              <w:t>Q1</w:t>
            </w:r>
          </w:p>
        </w:tc>
        <w:tc>
          <w:tcPr>
            <w:tcW w:w="380" w:type="dxa"/>
            <w:vAlign w:val="bottom"/>
            <w:shd w:val="clear" w:color="auto" w:fill="1D2758"/>
          </w:tcPr>
          <w:p>
            <w:pPr>
              <w:spacing w:after="0"/>
              <w:rPr>
                <w:sz w:val="13"/>
                <w:szCs w:val="13"/>
                <w:color w:val="auto"/>
              </w:rPr>
            </w:pPr>
          </w:p>
        </w:tc>
        <w:tc>
          <w:tcPr>
            <w:tcW w:w="1040" w:type="dxa"/>
            <w:vAlign w:val="bottom"/>
            <w:vMerge w:val="restart"/>
            <w:shd w:val="clear" w:color="auto" w:fill="1D2758"/>
          </w:tcPr>
          <w:p>
            <w:pPr>
              <w:jc w:val="right"/>
              <w:ind w:right="554"/>
              <w:spacing w:after="0"/>
              <w:rPr>
                <w:sz w:val="20"/>
                <w:szCs w:val="20"/>
                <w:color w:val="auto"/>
              </w:rPr>
            </w:pPr>
            <w:r>
              <w:rPr>
                <w:rFonts w:ascii="Arial" w:cs="Arial" w:eastAsia="Arial" w:hAnsi="Arial"/>
                <w:sz w:val="13"/>
                <w:szCs w:val="13"/>
                <w:b w:val="1"/>
                <w:bCs w:val="1"/>
                <w:color w:val="FFFFFF"/>
              </w:rPr>
              <w:t>Q2</w:t>
            </w:r>
          </w:p>
        </w:tc>
        <w:tc>
          <w:tcPr>
            <w:tcW w:w="380" w:type="dxa"/>
            <w:vAlign w:val="bottom"/>
            <w:shd w:val="clear" w:color="auto" w:fill="1D2758"/>
          </w:tcPr>
          <w:p>
            <w:pPr>
              <w:spacing w:after="0"/>
              <w:rPr>
                <w:sz w:val="13"/>
                <w:szCs w:val="13"/>
                <w:color w:val="auto"/>
              </w:rPr>
            </w:pPr>
          </w:p>
        </w:tc>
        <w:tc>
          <w:tcPr>
            <w:tcW w:w="1040" w:type="dxa"/>
            <w:vAlign w:val="bottom"/>
            <w:vMerge w:val="restart"/>
            <w:shd w:val="clear" w:color="auto" w:fill="1D2758"/>
          </w:tcPr>
          <w:p>
            <w:pPr>
              <w:jc w:val="right"/>
              <w:ind w:right="554"/>
              <w:spacing w:after="0"/>
              <w:rPr>
                <w:sz w:val="20"/>
                <w:szCs w:val="20"/>
                <w:color w:val="auto"/>
              </w:rPr>
            </w:pPr>
            <w:r>
              <w:rPr>
                <w:rFonts w:ascii="Arial" w:cs="Arial" w:eastAsia="Arial" w:hAnsi="Arial"/>
                <w:sz w:val="13"/>
                <w:szCs w:val="13"/>
                <w:b w:val="1"/>
                <w:bCs w:val="1"/>
                <w:color w:val="FFFFFF"/>
              </w:rPr>
              <w:t>Q3</w:t>
            </w:r>
          </w:p>
        </w:tc>
        <w:tc>
          <w:tcPr>
            <w:tcW w:w="380" w:type="dxa"/>
            <w:vAlign w:val="bottom"/>
            <w:shd w:val="clear" w:color="auto" w:fill="1D2758"/>
          </w:tcPr>
          <w:p>
            <w:pPr>
              <w:spacing w:after="0"/>
              <w:rPr>
                <w:sz w:val="13"/>
                <w:szCs w:val="13"/>
                <w:color w:val="auto"/>
              </w:rPr>
            </w:pPr>
          </w:p>
        </w:tc>
        <w:tc>
          <w:tcPr>
            <w:tcW w:w="1040" w:type="dxa"/>
            <w:vAlign w:val="bottom"/>
            <w:vMerge w:val="restart"/>
            <w:shd w:val="clear" w:color="auto" w:fill="1D2758"/>
          </w:tcPr>
          <w:p>
            <w:pPr>
              <w:jc w:val="right"/>
              <w:ind w:right="554"/>
              <w:spacing w:after="0"/>
              <w:rPr>
                <w:sz w:val="20"/>
                <w:szCs w:val="20"/>
                <w:color w:val="auto"/>
              </w:rPr>
            </w:pPr>
            <w:r>
              <w:rPr>
                <w:rFonts w:ascii="Arial" w:cs="Arial" w:eastAsia="Arial" w:hAnsi="Arial"/>
                <w:sz w:val="13"/>
                <w:szCs w:val="13"/>
                <w:b w:val="1"/>
                <w:bCs w:val="1"/>
                <w:color w:val="FFFFFF"/>
              </w:rPr>
              <w:t>Q4</w:t>
            </w:r>
          </w:p>
        </w:tc>
        <w:tc>
          <w:tcPr>
            <w:tcW w:w="340" w:type="dxa"/>
            <w:vAlign w:val="bottom"/>
            <w:shd w:val="clear" w:color="auto" w:fill="1D2758"/>
          </w:tcPr>
          <w:p>
            <w:pPr>
              <w:spacing w:after="0"/>
              <w:rPr>
                <w:sz w:val="13"/>
                <w:szCs w:val="13"/>
                <w:color w:val="auto"/>
              </w:rPr>
            </w:pPr>
          </w:p>
        </w:tc>
        <w:tc>
          <w:tcPr>
            <w:tcW w:w="1040" w:type="dxa"/>
            <w:vAlign w:val="bottom"/>
            <w:vMerge w:val="restart"/>
            <w:shd w:val="clear" w:color="auto" w:fill="1D2758"/>
          </w:tcPr>
          <w:p>
            <w:pPr>
              <w:jc w:val="right"/>
              <w:ind w:right="454"/>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75"/>
        </w:trPr>
        <w:tc>
          <w:tcPr>
            <w:tcW w:w="348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monthly rental rate)</w:t>
            </w:r>
          </w:p>
        </w:tc>
        <w:tc>
          <w:tcPr>
            <w:tcW w:w="112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34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80" w:type="dxa"/>
            <w:vAlign w:val="bottom"/>
            <w:shd w:val="clear" w:color="auto" w:fill="DBDBDB"/>
          </w:tcPr>
          <w:p>
            <w:pPr>
              <w:ind w:left="20"/>
              <w:spacing w:after="0"/>
              <w:rPr>
                <w:sz w:val="20"/>
                <w:szCs w:val="20"/>
                <w:color w:val="auto"/>
              </w:rPr>
            </w:pPr>
            <w:r>
              <w:rPr>
                <w:rFonts w:ascii="Arial" w:cs="Arial" w:eastAsia="Arial" w:hAnsi="Arial"/>
                <w:sz w:val="13"/>
                <w:szCs w:val="13"/>
                <w:color w:val="auto"/>
              </w:rPr>
              <w:t>Revenue</w:t>
            </w:r>
          </w:p>
        </w:tc>
        <w:tc>
          <w:tcPr>
            <w:tcW w:w="1120" w:type="dxa"/>
            <w:vAlign w:val="bottom"/>
            <w:shd w:val="clear" w:color="auto" w:fill="DBDBDB"/>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107,748</w:t>
            </w:r>
          </w:p>
        </w:tc>
        <w:tc>
          <w:tcPr>
            <w:tcW w:w="380" w:type="dxa"/>
            <w:vAlign w:val="bottom"/>
            <w:shd w:val="clear" w:color="auto" w:fill="DBDBDB"/>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115,794</w:t>
            </w:r>
          </w:p>
        </w:tc>
        <w:tc>
          <w:tcPr>
            <w:tcW w:w="380" w:type="dxa"/>
            <w:vAlign w:val="bottom"/>
            <w:shd w:val="clear" w:color="auto" w:fill="DBDBDB"/>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133,897</w:t>
            </w:r>
          </w:p>
        </w:tc>
        <w:tc>
          <w:tcPr>
            <w:tcW w:w="380" w:type="dxa"/>
            <w:vAlign w:val="bottom"/>
            <w:shd w:val="clear" w:color="auto" w:fill="DBDBDB"/>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151,363</w:t>
            </w:r>
          </w:p>
        </w:tc>
        <w:tc>
          <w:tcPr>
            <w:tcW w:w="3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508,802</w:t>
            </w:r>
          </w:p>
        </w:tc>
        <w:tc>
          <w:tcPr>
            <w:tcW w:w="0" w:type="dxa"/>
            <w:vAlign w:val="bottom"/>
          </w:tcPr>
          <w:p>
            <w:pPr>
              <w:spacing w:after="0"/>
              <w:rPr>
                <w:sz w:val="1"/>
                <w:szCs w:val="1"/>
                <w:color w:val="auto"/>
              </w:rPr>
            </w:pPr>
          </w:p>
        </w:tc>
      </w:tr>
      <w:tr>
        <w:trPr>
          <w:trHeight w:val="172"/>
        </w:trPr>
        <w:tc>
          <w:tcPr>
            <w:tcW w:w="3480" w:type="dxa"/>
            <w:vAlign w:val="bottom"/>
          </w:tcPr>
          <w:p>
            <w:pPr>
              <w:ind w:left="20"/>
              <w:spacing w:after="0"/>
              <w:rPr>
                <w:sz w:val="20"/>
                <w:szCs w:val="20"/>
                <w:color w:val="auto"/>
              </w:rPr>
            </w:pPr>
            <w:r>
              <w:rPr>
                <w:rFonts w:ascii="Arial" w:cs="Arial" w:eastAsia="Arial" w:hAnsi="Arial"/>
                <w:sz w:val="13"/>
                <w:szCs w:val="13"/>
                <w:color w:val="auto"/>
              </w:rPr>
              <w:t>Gross profit</w:t>
            </w:r>
          </w:p>
        </w:tc>
        <w:tc>
          <w:tcPr>
            <w:tcW w:w="112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4"/>
              <w:spacing w:after="0"/>
              <w:rPr>
                <w:sz w:val="20"/>
                <w:szCs w:val="20"/>
                <w:color w:val="auto"/>
              </w:rPr>
            </w:pPr>
            <w:r>
              <w:rPr>
                <w:rFonts w:ascii="Arial" w:cs="Arial" w:eastAsia="Arial" w:hAnsi="Arial"/>
                <w:sz w:val="13"/>
                <w:szCs w:val="13"/>
                <w:color w:val="auto"/>
              </w:rPr>
              <w:t>72,619</w:t>
            </w:r>
          </w:p>
        </w:tc>
        <w:tc>
          <w:tcPr>
            <w:tcW w:w="38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4"/>
              <w:spacing w:after="0"/>
              <w:rPr>
                <w:sz w:val="20"/>
                <w:szCs w:val="20"/>
                <w:color w:val="auto"/>
              </w:rPr>
            </w:pPr>
            <w:r>
              <w:rPr>
                <w:rFonts w:ascii="Arial" w:cs="Arial" w:eastAsia="Arial" w:hAnsi="Arial"/>
                <w:sz w:val="13"/>
                <w:szCs w:val="13"/>
                <w:color w:val="auto"/>
              </w:rPr>
              <w:t>75,721</w:t>
            </w:r>
          </w:p>
        </w:tc>
        <w:tc>
          <w:tcPr>
            <w:tcW w:w="38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4"/>
              <w:spacing w:after="0"/>
              <w:rPr>
                <w:sz w:val="20"/>
                <w:szCs w:val="20"/>
                <w:color w:val="auto"/>
              </w:rPr>
            </w:pPr>
            <w:r>
              <w:rPr>
                <w:rFonts w:ascii="Arial" w:cs="Arial" w:eastAsia="Arial" w:hAnsi="Arial"/>
                <w:sz w:val="13"/>
                <w:szCs w:val="13"/>
                <w:color w:val="auto"/>
              </w:rPr>
              <w:t>92,496</w:t>
            </w:r>
          </w:p>
        </w:tc>
        <w:tc>
          <w:tcPr>
            <w:tcW w:w="38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4"/>
              <w:spacing w:after="0"/>
              <w:rPr>
                <w:sz w:val="20"/>
                <w:szCs w:val="20"/>
                <w:color w:val="auto"/>
              </w:rPr>
            </w:pPr>
            <w:r>
              <w:rPr>
                <w:rFonts w:ascii="Arial" w:cs="Arial" w:eastAsia="Arial" w:hAnsi="Arial"/>
                <w:sz w:val="13"/>
                <w:szCs w:val="13"/>
                <w:color w:val="auto"/>
              </w:rPr>
              <w:t>107,423</w:t>
            </w:r>
          </w:p>
        </w:tc>
        <w:tc>
          <w:tcPr>
            <w:tcW w:w="34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94"/>
              <w:spacing w:after="0"/>
              <w:rPr>
                <w:sz w:val="20"/>
                <w:szCs w:val="20"/>
                <w:color w:val="auto"/>
              </w:rPr>
            </w:pPr>
            <w:r>
              <w:rPr>
                <w:rFonts w:ascii="Arial" w:cs="Arial" w:eastAsia="Arial" w:hAnsi="Arial"/>
                <w:sz w:val="13"/>
                <w:szCs w:val="13"/>
                <w:color w:val="auto"/>
              </w:rPr>
              <w:t>348,259</w:t>
            </w:r>
          </w:p>
        </w:tc>
        <w:tc>
          <w:tcPr>
            <w:tcW w:w="0" w:type="dxa"/>
            <w:vAlign w:val="bottom"/>
          </w:tcPr>
          <w:p>
            <w:pPr>
              <w:spacing w:after="0"/>
              <w:rPr>
                <w:sz w:val="1"/>
                <w:szCs w:val="1"/>
                <w:color w:val="auto"/>
              </w:rPr>
            </w:pPr>
          </w:p>
        </w:tc>
      </w:tr>
      <w:tr>
        <w:trPr>
          <w:trHeight w:val="178"/>
        </w:trPr>
        <w:tc>
          <w:tcPr>
            <w:tcW w:w="3480" w:type="dxa"/>
            <w:vAlign w:val="bottom"/>
            <w:shd w:val="clear" w:color="auto" w:fill="DBDBDB"/>
          </w:tcPr>
          <w:p>
            <w:pPr>
              <w:ind w:left="20"/>
              <w:spacing w:after="0"/>
              <w:rPr>
                <w:sz w:val="20"/>
                <w:szCs w:val="20"/>
                <w:color w:val="auto"/>
              </w:rPr>
            </w:pPr>
            <w:r>
              <w:rPr>
                <w:rFonts w:ascii="Arial" w:cs="Arial" w:eastAsia="Arial" w:hAnsi="Arial"/>
                <w:sz w:val="13"/>
                <w:szCs w:val="13"/>
                <w:color w:val="auto"/>
              </w:rPr>
              <w:t>Adjusted EBITDA</w:t>
            </w:r>
          </w:p>
        </w:tc>
        <w:tc>
          <w:tcPr>
            <w:tcW w:w="1120" w:type="dxa"/>
            <w:vAlign w:val="bottom"/>
            <w:shd w:val="clear" w:color="auto" w:fill="DBDBDB"/>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46,322</w:t>
            </w:r>
          </w:p>
        </w:tc>
        <w:tc>
          <w:tcPr>
            <w:tcW w:w="380" w:type="dxa"/>
            <w:vAlign w:val="bottom"/>
            <w:shd w:val="clear" w:color="auto" w:fill="DBDBDB"/>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49,526</w:t>
            </w:r>
          </w:p>
        </w:tc>
        <w:tc>
          <w:tcPr>
            <w:tcW w:w="380" w:type="dxa"/>
            <w:vAlign w:val="bottom"/>
            <w:shd w:val="clear" w:color="auto" w:fill="DBDBDB"/>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59,123</w:t>
            </w:r>
          </w:p>
        </w:tc>
        <w:tc>
          <w:tcPr>
            <w:tcW w:w="380" w:type="dxa"/>
            <w:vAlign w:val="bottom"/>
            <w:shd w:val="clear" w:color="auto" w:fill="DBDBDB"/>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71,629</w:t>
            </w:r>
          </w:p>
        </w:tc>
        <w:tc>
          <w:tcPr>
            <w:tcW w:w="3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226,600</w:t>
            </w:r>
          </w:p>
        </w:tc>
        <w:tc>
          <w:tcPr>
            <w:tcW w:w="0" w:type="dxa"/>
            <w:vAlign w:val="bottom"/>
          </w:tcPr>
          <w:p>
            <w:pPr>
              <w:spacing w:after="0"/>
              <w:rPr>
                <w:sz w:val="1"/>
                <w:szCs w:val="1"/>
                <w:color w:val="auto"/>
              </w:rPr>
            </w:pPr>
          </w:p>
        </w:tc>
      </w:tr>
      <w:tr>
        <w:trPr>
          <w:trHeight w:val="172"/>
        </w:trPr>
        <w:tc>
          <w:tcPr>
            <w:tcW w:w="3480" w:type="dxa"/>
            <w:vAlign w:val="bottom"/>
          </w:tcPr>
          <w:p>
            <w:pPr>
              <w:ind w:left="20"/>
              <w:spacing w:after="0"/>
              <w:rPr>
                <w:sz w:val="20"/>
                <w:szCs w:val="20"/>
                <w:color w:val="auto"/>
              </w:rPr>
            </w:pPr>
            <w:r>
              <w:rPr>
                <w:rFonts w:ascii="Arial" w:cs="Arial" w:eastAsia="Arial" w:hAnsi="Arial"/>
                <w:sz w:val="13"/>
                <w:szCs w:val="13"/>
                <w:color w:val="auto"/>
              </w:rPr>
              <w:t>Capex for rental equipment</w:t>
            </w:r>
          </w:p>
        </w:tc>
        <w:tc>
          <w:tcPr>
            <w:tcW w:w="112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4"/>
              <w:spacing w:after="0"/>
              <w:rPr>
                <w:sz w:val="20"/>
                <w:szCs w:val="20"/>
                <w:color w:val="auto"/>
              </w:rPr>
            </w:pPr>
            <w:r>
              <w:rPr>
                <w:rFonts w:ascii="Arial" w:cs="Arial" w:eastAsia="Arial" w:hAnsi="Arial"/>
                <w:sz w:val="13"/>
                <w:szCs w:val="13"/>
                <w:color w:val="auto"/>
              </w:rPr>
              <w:t>3,472</w:t>
            </w:r>
          </w:p>
        </w:tc>
        <w:tc>
          <w:tcPr>
            <w:tcW w:w="38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4"/>
              <w:spacing w:after="0"/>
              <w:rPr>
                <w:sz w:val="20"/>
                <w:szCs w:val="20"/>
                <w:color w:val="auto"/>
              </w:rPr>
            </w:pPr>
            <w:r>
              <w:rPr>
                <w:rFonts w:ascii="Arial" w:cs="Arial" w:eastAsia="Arial" w:hAnsi="Arial"/>
                <w:sz w:val="13"/>
                <w:szCs w:val="13"/>
                <w:color w:val="auto"/>
              </w:rPr>
              <w:t>8,773</w:t>
            </w:r>
          </w:p>
        </w:tc>
        <w:tc>
          <w:tcPr>
            <w:tcW w:w="38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4"/>
              <w:spacing w:after="0"/>
              <w:rPr>
                <w:sz w:val="20"/>
                <w:szCs w:val="20"/>
                <w:color w:val="auto"/>
              </w:rPr>
            </w:pPr>
            <w:r>
              <w:rPr>
                <w:rFonts w:ascii="Arial" w:cs="Arial" w:eastAsia="Arial" w:hAnsi="Arial"/>
                <w:sz w:val="13"/>
                <w:szCs w:val="13"/>
                <w:color w:val="auto"/>
              </w:rPr>
              <w:t>11,920</w:t>
            </w:r>
          </w:p>
        </w:tc>
        <w:tc>
          <w:tcPr>
            <w:tcW w:w="38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4"/>
              <w:spacing w:after="0"/>
              <w:rPr>
                <w:sz w:val="20"/>
                <w:szCs w:val="20"/>
                <w:color w:val="auto"/>
              </w:rPr>
            </w:pPr>
            <w:r>
              <w:rPr>
                <w:rFonts w:ascii="Arial" w:cs="Arial" w:eastAsia="Arial" w:hAnsi="Arial"/>
                <w:sz w:val="13"/>
                <w:szCs w:val="13"/>
                <w:color w:val="auto"/>
              </w:rPr>
              <w:t>21,261</w:t>
            </w:r>
          </w:p>
        </w:tc>
        <w:tc>
          <w:tcPr>
            <w:tcW w:w="34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94"/>
              <w:spacing w:after="0"/>
              <w:rPr>
                <w:sz w:val="20"/>
                <w:szCs w:val="20"/>
                <w:color w:val="auto"/>
              </w:rPr>
            </w:pPr>
            <w:r>
              <w:rPr>
                <w:rFonts w:ascii="Arial" w:cs="Arial" w:eastAsia="Arial" w:hAnsi="Arial"/>
                <w:sz w:val="13"/>
                <w:szCs w:val="13"/>
                <w:color w:val="auto"/>
              </w:rPr>
              <w:t>45,426</w:t>
            </w:r>
          </w:p>
        </w:tc>
        <w:tc>
          <w:tcPr>
            <w:tcW w:w="0" w:type="dxa"/>
            <w:vAlign w:val="bottom"/>
          </w:tcPr>
          <w:p>
            <w:pPr>
              <w:spacing w:after="0"/>
              <w:rPr>
                <w:sz w:val="1"/>
                <w:szCs w:val="1"/>
                <w:color w:val="auto"/>
              </w:rPr>
            </w:pPr>
          </w:p>
        </w:tc>
      </w:tr>
      <w:tr>
        <w:trPr>
          <w:trHeight w:val="178"/>
        </w:trPr>
        <w:tc>
          <w:tcPr>
            <w:tcW w:w="3480" w:type="dxa"/>
            <w:vAlign w:val="bottom"/>
            <w:shd w:val="clear" w:color="auto" w:fill="DBDBDB"/>
          </w:tcPr>
          <w:p>
            <w:pPr>
              <w:ind w:left="20"/>
              <w:spacing w:after="0"/>
              <w:rPr>
                <w:sz w:val="20"/>
                <w:szCs w:val="20"/>
                <w:color w:val="auto"/>
              </w:rPr>
            </w:pPr>
            <w:r>
              <w:rPr>
                <w:rFonts w:ascii="Arial" w:cs="Arial" w:eastAsia="Arial" w:hAnsi="Arial"/>
                <w:sz w:val="13"/>
                <w:szCs w:val="13"/>
                <w:color w:val="auto"/>
              </w:rPr>
              <w:t>Average modular space units on rent</w:t>
            </w:r>
          </w:p>
        </w:tc>
        <w:tc>
          <w:tcPr>
            <w:tcW w:w="1120" w:type="dxa"/>
            <w:vAlign w:val="bottom"/>
            <w:shd w:val="clear" w:color="auto" w:fill="DBDBDB"/>
          </w:tcPr>
          <w:p>
            <w:pPr>
              <w:spacing w:after="0"/>
              <w:rPr>
                <w:sz w:val="15"/>
                <w:szCs w:val="15"/>
                <w:color w:val="auto"/>
              </w:rPr>
            </w:pPr>
          </w:p>
        </w:tc>
        <w:tc>
          <w:tcPr>
            <w:tcW w:w="10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16,439</w:t>
            </w:r>
          </w:p>
        </w:tc>
        <w:tc>
          <w:tcPr>
            <w:tcW w:w="380" w:type="dxa"/>
            <w:vAlign w:val="bottom"/>
            <w:shd w:val="clear" w:color="auto" w:fill="DBDBDB"/>
          </w:tcPr>
          <w:p>
            <w:pPr>
              <w:spacing w:after="0"/>
              <w:rPr>
                <w:sz w:val="15"/>
                <w:szCs w:val="15"/>
                <w:color w:val="auto"/>
              </w:rPr>
            </w:pPr>
          </w:p>
        </w:tc>
        <w:tc>
          <w:tcPr>
            <w:tcW w:w="10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16,360</w:t>
            </w:r>
          </w:p>
        </w:tc>
        <w:tc>
          <w:tcPr>
            <w:tcW w:w="380" w:type="dxa"/>
            <w:vAlign w:val="bottom"/>
            <w:shd w:val="clear" w:color="auto" w:fill="DBDBDB"/>
          </w:tcPr>
          <w:p>
            <w:pPr>
              <w:spacing w:after="0"/>
              <w:rPr>
                <w:sz w:val="15"/>
                <w:szCs w:val="15"/>
                <w:color w:val="auto"/>
              </w:rPr>
            </w:pPr>
          </w:p>
        </w:tc>
        <w:tc>
          <w:tcPr>
            <w:tcW w:w="10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16,316</w:t>
            </w:r>
          </w:p>
        </w:tc>
        <w:tc>
          <w:tcPr>
            <w:tcW w:w="380" w:type="dxa"/>
            <w:vAlign w:val="bottom"/>
            <w:shd w:val="clear" w:color="auto" w:fill="DBDBDB"/>
          </w:tcPr>
          <w:p>
            <w:pPr>
              <w:spacing w:after="0"/>
              <w:rPr>
                <w:sz w:val="15"/>
                <w:szCs w:val="15"/>
                <w:color w:val="auto"/>
              </w:rPr>
            </w:pPr>
          </w:p>
        </w:tc>
        <w:tc>
          <w:tcPr>
            <w:tcW w:w="10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18,006</w:t>
            </w:r>
          </w:p>
        </w:tc>
        <w:tc>
          <w:tcPr>
            <w:tcW w:w="340" w:type="dxa"/>
            <w:vAlign w:val="bottom"/>
            <w:shd w:val="clear" w:color="auto" w:fill="DBDBDB"/>
          </w:tcPr>
          <w:p>
            <w:pPr>
              <w:spacing w:after="0"/>
              <w:rPr>
                <w:sz w:val="15"/>
                <w:szCs w:val="15"/>
                <w:color w:val="auto"/>
              </w:rPr>
            </w:pPr>
          </w:p>
        </w:tc>
        <w:tc>
          <w:tcPr>
            <w:tcW w:w="10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16,780</w:t>
            </w:r>
          </w:p>
        </w:tc>
        <w:tc>
          <w:tcPr>
            <w:tcW w:w="0" w:type="dxa"/>
            <w:vAlign w:val="bottom"/>
          </w:tcPr>
          <w:p>
            <w:pPr>
              <w:spacing w:after="0"/>
              <w:rPr>
                <w:sz w:val="1"/>
                <w:szCs w:val="1"/>
                <w:color w:val="auto"/>
              </w:rPr>
            </w:pPr>
          </w:p>
        </w:tc>
      </w:tr>
      <w:tr>
        <w:trPr>
          <w:trHeight w:val="172"/>
        </w:trPr>
        <w:tc>
          <w:tcPr>
            <w:tcW w:w="3480" w:type="dxa"/>
            <w:vAlign w:val="bottom"/>
          </w:tcPr>
          <w:p>
            <w:pPr>
              <w:ind w:left="20"/>
              <w:spacing w:after="0"/>
              <w:rPr>
                <w:sz w:val="20"/>
                <w:szCs w:val="20"/>
                <w:color w:val="auto"/>
              </w:rPr>
            </w:pPr>
            <w:r>
              <w:rPr>
                <w:rFonts w:ascii="Arial" w:cs="Arial" w:eastAsia="Arial" w:hAnsi="Arial"/>
                <w:sz w:val="13"/>
                <w:szCs w:val="13"/>
                <w:color w:val="auto"/>
              </w:rPr>
              <w:t>Average modular space utilization rate</w:t>
            </w:r>
          </w:p>
        </w:tc>
        <w:tc>
          <w:tcPr>
            <w:tcW w:w="1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79.4 %</w:t>
            </w:r>
          </w:p>
        </w:tc>
        <w:tc>
          <w:tcPr>
            <w:tcW w:w="3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78.4 %</w:t>
            </w:r>
          </w:p>
        </w:tc>
        <w:tc>
          <w:tcPr>
            <w:tcW w:w="3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77.6 %</w:t>
            </w:r>
          </w:p>
        </w:tc>
        <w:tc>
          <w:tcPr>
            <w:tcW w:w="3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78.8 %</w:t>
            </w: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78.5 %</w:t>
            </w:r>
          </w:p>
        </w:tc>
        <w:tc>
          <w:tcPr>
            <w:tcW w:w="0" w:type="dxa"/>
            <w:vAlign w:val="bottom"/>
          </w:tcPr>
          <w:p>
            <w:pPr>
              <w:spacing w:after="0"/>
              <w:rPr>
                <w:sz w:val="1"/>
                <w:szCs w:val="1"/>
                <w:color w:val="auto"/>
              </w:rPr>
            </w:pPr>
          </w:p>
        </w:tc>
      </w:tr>
      <w:tr>
        <w:trPr>
          <w:trHeight w:val="178"/>
        </w:trPr>
        <w:tc>
          <w:tcPr>
            <w:tcW w:w="3480" w:type="dxa"/>
            <w:vAlign w:val="bottom"/>
            <w:shd w:val="clear" w:color="auto" w:fill="DBDBDB"/>
          </w:tcPr>
          <w:p>
            <w:pPr>
              <w:ind w:left="20"/>
              <w:spacing w:after="0"/>
              <w:rPr>
                <w:sz w:val="20"/>
                <w:szCs w:val="20"/>
                <w:color w:val="auto"/>
              </w:rPr>
            </w:pPr>
            <w:r>
              <w:rPr>
                <w:rFonts w:ascii="Arial" w:cs="Arial" w:eastAsia="Arial" w:hAnsi="Arial"/>
                <w:sz w:val="13"/>
                <w:szCs w:val="13"/>
                <w:color w:val="auto"/>
              </w:rPr>
              <w:t>Average modular space monthly rental rate</w:t>
            </w:r>
          </w:p>
        </w:tc>
        <w:tc>
          <w:tcPr>
            <w:tcW w:w="1120" w:type="dxa"/>
            <w:vAlign w:val="bottom"/>
            <w:shd w:val="clear" w:color="auto" w:fill="DBDBDB"/>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535</w:t>
            </w:r>
          </w:p>
        </w:tc>
        <w:tc>
          <w:tcPr>
            <w:tcW w:w="380" w:type="dxa"/>
            <w:vAlign w:val="bottom"/>
            <w:shd w:val="clear" w:color="auto" w:fill="DBDBDB"/>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573</w:t>
            </w:r>
          </w:p>
        </w:tc>
        <w:tc>
          <w:tcPr>
            <w:tcW w:w="380" w:type="dxa"/>
            <w:vAlign w:val="bottom"/>
            <w:shd w:val="clear" w:color="auto" w:fill="DBDBDB"/>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602</w:t>
            </w:r>
          </w:p>
        </w:tc>
        <w:tc>
          <w:tcPr>
            <w:tcW w:w="380" w:type="dxa"/>
            <w:vAlign w:val="bottom"/>
            <w:shd w:val="clear" w:color="auto" w:fill="DBDBDB"/>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617</w:t>
            </w:r>
          </w:p>
        </w:tc>
        <w:tc>
          <w:tcPr>
            <w:tcW w:w="3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582</w:t>
            </w:r>
          </w:p>
        </w:tc>
        <w:tc>
          <w:tcPr>
            <w:tcW w:w="0" w:type="dxa"/>
            <w:vAlign w:val="bottom"/>
          </w:tcPr>
          <w:p>
            <w:pPr>
              <w:spacing w:after="0"/>
              <w:rPr>
                <w:sz w:val="1"/>
                <w:szCs w:val="1"/>
                <w:color w:val="auto"/>
              </w:rPr>
            </w:pPr>
          </w:p>
        </w:tc>
      </w:tr>
      <w:tr>
        <w:trPr>
          <w:trHeight w:val="172"/>
        </w:trPr>
        <w:tc>
          <w:tcPr>
            <w:tcW w:w="3480" w:type="dxa"/>
            <w:vAlign w:val="bottom"/>
          </w:tcPr>
          <w:p>
            <w:pPr>
              <w:ind w:left="20"/>
              <w:spacing w:after="0"/>
              <w:rPr>
                <w:sz w:val="20"/>
                <w:szCs w:val="20"/>
                <w:color w:val="auto"/>
              </w:rPr>
            </w:pPr>
            <w:r>
              <w:rPr>
                <w:rFonts w:ascii="Arial" w:cs="Arial" w:eastAsia="Arial" w:hAnsi="Arial"/>
                <w:sz w:val="13"/>
                <w:szCs w:val="13"/>
                <w:color w:val="auto"/>
              </w:rPr>
              <w:t>Average portable storage units on rent</w:t>
            </w:r>
          </w:p>
        </w:tc>
        <w:tc>
          <w:tcPr>
            <w:tcW w:w="1120" w:type="dxa"/>
            <w:vAlign w:val="bottom"/>
          </w:tcPr>
          <w:p>
            <w:pPr>
              <w:spacing w:after="0"/>
              <w:rPr>
                <w:sz w:val="14"/>
                <w:szCs w:val="14"/>
                <w:color w:val="auto"/>
              </w:rPr>
            </w:pPr>
          </w:p>
        </w:tc>
        <w:tc>
          <w:tcPr>
            <w:tcW w:w="1040" w:type="dxa"/>
            <w:vAlign w:val="bottom"/>
          </w:tcPr>
          <w:p>
            <w:pPr>
              <w:jc w:val="right"/>
              <w:ind w:right="134"/>
              <w:spacing w:after="0"/>
              <w:rPr>
                <w:sz w:val="20"/>
                <w:szCs w:val="20"/>
                <w:color w:val="auto"/>
              </w:rPr>
            </w:pPr>
            <w:r>
              <w:rPr>
                <w:rFonts w:ascii="Arial" w:cs="Arial" w:eastAsia="Arial" w:hAnsi="Arial"/>
                <w:sz w:val="13"/>
                <w:szCs w:val="13"/>
                <w:color w:val="auto"/>
              </w:rPr>
              <w:t>105,810</w:t>
            </w:r>
          </w:p>
        </w:tc>
        <w:tc>
          <w:tcPr>
            <w:tcW w:w="380" w:type="dxa"/>
            <w:vAlign w:val="bottom"/>
          </w:tcPr>
          <w:p>
            <w:pPr>
              <w:spacing w:after="0"/>
              <w:rPr>
                <w:sz w:val="14"/>
                <w:szCs w:val="14"/>
                <w:color w:val="auto"/>
              </w:rPr>
            </w:pPr>
          </w:p>
        </w:tc>
        <w:tc>
          <w:tcPr>
            <w:tcW w:w="1040" w:type="dxa"/>
            <w:vAlign w:val="bottom"/>
          </w:tcPr>
          <w:p>
            <w:pPr>
              <w:jc w:val="right"/>
              <w:ind w:right="134"/>
              <w:spacing w:after="0"/>
              <w:rPr>
                <w:sz w:val="20"/>
                <w:szCs w:val="20"/>
                <w:color w:val="auto"/>
              </w:rPr>
            </w:pPr>
            <w:r>
              <w:rPr>
                <w:rFonts w:ascii="Arial" w:cs="Arial" w:eastAsia="Arial" w:hAnsi="Arial"/>
                <w:sz w:val="13"/>
                <w:szCs w:val="13"/>
                <w:color w:val="auto"/>
              </w:rPr>
              <w:t>112,862</w:t>
            </w:r>
          </w:p>
        </w:tc>
        <w:tc>
          <w:tcPr>
            <w:tcW w:w="380" w:type="dxa"/>
            <w:vAlign w:val="bottom"/>
          </w:tcPr>
          <w:p>
            <w:pPr>
              <w:spacing w:after="0"/>
              <w:rPr>
                <w:sz w:val="14"/>
                <w:szCs w:val="14"/>
                <w:color w:val="auto"/>
              </w:rPr>
            </w:pPr>
          </w:p>
        </w:tc>
        <w:tc>
          <w:tcPr>
            <w:tcW w:w="1040" w:type="dxa"/>
            <w:vAlign w:val="bottom"/>
          </w:tcPr>
          <w:p>
            <w:pPr>
              <w:jc w:val="right"/>
              <w:ind w:right="134"/>
              <w:spacing w:after="0"/>
              <w:rPr>
                <w:sz w:val="20"/>
                <w:szCs w:val="20"/>
                <w:color w:val="auto"/>
              </w:rPr>
            </w:pPr>
            <w:r>
              <w:rPr>
                <w:rFonts w:ascii="Arial" w:cs="Arial" w:eastAsia="Arial" w:hAnsi="Arial"/>
                <w:sz w:val="13"/>
                <w:szCs w:val="13"/>
                <w:color w:val="auto"/>
              </w:rPr>
              <w:t>137,123</w:t>
            </w:r>
          </w:p>
        </w:tc>
        <w:tc>
          <w:tcPr>
            <w:tcW w:w="380" w:type="dxa"/>
            <w:vAlign w:val="bottom"/>
          </w:tcPr>
          <w:p>
            <w:pPr>
              <w:spacing w:after="0"/>
              <w:rPr>
                <w:sz w:val="14"/>
                <w:szCs w:val="14"/>
                <w:color w:val="auto"/>
              </w:rPr>
            </w:pPr>
          </w:p>
        </w:tc>
        <w:tc>
          <w:tcPr>
            <w:tcW w:w="1040" w:type="dxa"/>
            <w:vAlign w:val="bottom"/>
          </w:tcPr>
          <w:p>
            <w:pPr>
              <w:jc w:val="right"/>
              <w:ind w:right="134"/>
              <w:spacing w:after="0"/>
              <w:rPr>
                <w:sz w:val="20"/>
                <w:szCs w:val="20"/>
                <w:color w:val="auto"/>
              </w:rPr>
            </w:pPr>
            <w:r>
              <w:rPr>
                <w:rFonts w:ascii="Arial" w:cs="Arial" w:eastAsia="Arial" w:hAnsi="Arial"/>
                <w:sz w:val="13"/>
                <w:szCs w:val="13"/>
                <w:color w:val="auto"/>
              </w:rPr>
              <w:t>158,055</w:t>
            </w:r>
          </w:p>
        </w:tc>
        <w:tc>
          <w:tcPr>
            <w:tcW w:w="340" w:type="dxa"/>
            <w:vAlign w:val="bottom"/>
          </w:tcPr>
          <w:p>
            <w:pPr>
              <w:spacing w:after="0"/>
              <w:rPr>
                <w:sz w:val="14"/>
                <w:szCs w:val="14"/>
                <w:color w:val="auto"/>
              </w:rPr>
            </w:pPr>
          </w:p>
        </w:tc>
        <w:tc>
          <w:tcPr>
            <w:tcW w:w="1040" w:type="dxa"/>
            <w:vAlign w:val="bottom"/>
          </w:tcPr>
          <w:p>
            <w:pPr>
              <w:jc w:val="right"/>
              <w:ind w:right="94"/>
              <w:spacing w:after="0"/>
              <w:rPr>
                <w:sz w:val="20"/>
                <w:szCs w:val="20"/>
                <w:color w:val="auto"/>
              </w:rPr>
            </w:pPr>
            <w:r>
              <w:rPr>
                <w:rFonts w:ascii="Arial" w:cs="Arial" w:eastAsia="Arial" w:hAnsi="Arial"/>
                <w:sz w:val="13"/>
                <w:szCs w:val="13"/>
                <w:color w:val="auto"/>
              </w:rPr>
              <w:t>128,463</w:t>
            </w:r>
          </w:p>
        </w:tc>
        <w:tc>
          <w:tcPr>
            <w:tcW w:w="0" w:type="dxa"/>
            <w:vAlign w:val="bottom"/>
          </w:tcPr>
          <w:p>
            <w:pPr>
              <w:spacing w:after="0"/>
              <w:rPr>
                <w:sz w:val="1"/>
                <w:szCs w:val="1"/>
                <w:color w:val="auto"/>
              </w:rPr>
            </w:pPr>
          </w:p>
        </w:tc>
      </w:tr>
      <w:tr>
        <w:trPr>
          <w:trHeight w:val="178"/>
        </w:trPr>
        <w:tc>
          <w:tcPr>
            <w:tcW w:w="3480" w:type="dxa"/>
            <w:vAlign w:val="bottom"/>
            <w:shd w:val="clear" w:color="auto" w:fill="DBDBDB"/>
          </w:tcPr>
          <w:p>
            <w:pPr>
              <w:ind w:left="20"/>
              <w:spacing w:after="0"/>
              <w:rPr>
                <w:sz w:val="20"/>
                <w:szCs w:val="20"/>
                <w:color w:val="auto"/>
              </w:rPr>
            </w:pPr>
            <w:r>
              <w:rPr>
                <w:rFonts w:ascii="Arial" w:cs="Arial" w:eastAsia="Arial" w:hAnsi="Arial"/>
                <w:sz w:val="13"/>
                <w:szCs w:val="13"/>
                <w:color w:val="auto"/>
              </w:rPr>
              <w:t>Average portable storage utilization rate</w:t>
            </w:r>
          </w:p>
        </w:tc>
        <w:tc>
          <w:tcPr>
            <w:tcW w:w="112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73.9 %</w:t>
            </w:r>
          </w:p>
        </w:tc>
        <w:tc>
          <w:tcPr>
            <w:tcW w:w="38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76.1 %</w:t>
            </w:r>
          </w:p>
        </w:tc>
        <w:tc>
          <w:tcPr>
            <w:tcW w:w="38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83.2 %</w:t>
            </w:r>
          </w:p>
        </w:tc>
        <w:tc>
          <w:tcPr>
            <w:tcW w:w="38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88.1 %</w:t>
            </w:r>
          </w:p>
        </w:tc>
        <w:tc>
          <w:tcPr>
            <w:tcW w:w="34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80.9 %</w:t>
            </w:r>
          </w:p>
        </w:tc>
        <w:tc>
          <w:tcPr>
            <w:tcW w:w="0" w:type="dxa"/>
            <w:vAlign w:val="bottom"/>
          </w:tcPr>
          <w:p>
            <w:pPr>
              <w:spacing w:after="0"/>
              <w:rPr>
                <w:sz w:val="1"/>
                <w:szCs w:val="1"/>
                <w:color w:val="auto"/>
              </w:rPr>
            </w:pPr>
          </w:p>
        </w:tc>
      </w:tr>
      <w:tr>
        <w:trPr>
          <w:trHeight w:val="169"/>
        </w:trPr>
        <w:tc>
          <w:tcPr>
            <w:tcW w:w="3480" w:type="dxa"/>
            <w:vAlign w:val="bottom"/>
          </w:tcPr>
          <w:p>
            <w:pPr>
              <w:ind w:left="20"/>
              <w:spacing w:after="0"/>
              <w:rPr>
                <w:sz w:val="20"/>
                <w:szCs w:val="20"/>
                <w:color w:val="auto"/>
              </w:rPr>
            </w:pPr>
            <w:r>
              <w:rPr>
                <w:rFonts w:ascii="Arial" w:cs="Arial" w:eastAsia="Arial" w:hAnsi="Arial"/>
                <w:sz w:val="13"/>
                <w:szCs w:val="13"/>
                <w:color w:val="auto"/>
              </w:rPr>
              <w:t>Average portable storage monthly rental rate</w:t>
            </w:r>
          </w:p>
        </w:tc>
        <w:tc>
          <w:tcPr>
            <w:tcW w:w="112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4"/>
              <w:spacing w:after="0"/>
              <w:rPr>
                <w:sz w:val="20"/>
                <w:szCs w:val="20"/>
                <w:color w:val="auto"/>
              </w:rPr>
            </w:pPr>
            <w:r>
              <w:rPr>
                <w:rFonts w:ascii="Arial" w:cs="Arial" w:eastAsia="Arial" w:hAnsi="Arial"/>
                <w:sz w:val="13"/>
                <w:szCs w:val="13"/>
                <w:color w:val="auto"/>
              </w:rPr>
              <w:t>148</w:t>
            </w:r>
          </w:p>
        </w:tc>
        <w:tc>
          <w:tcPr>
            <w:tcW w:w="38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4"/>
              <w:spacing w:after="0"/>
              <w:rPr>
                <w:sz w:val="20"/>
                <w:szCs w:val="20"/>
                <w:color w:val="auto"/>
              </w:rPr>
            </w:pPr>
            <w:r>
              <w:rPr>
                <w:rFonts w:ascii="Arial" w:cs="Arial" w:eastAsia="Arial" w:hAnsi="Arial"/>
                <w:sz w:val="13"/>
                <w:szCs w:val="13"/>
                <w:color w:val="auto"/>
              </w:rPr>
              <w:t>151</w:t>
            </w:r>
          </w:p>
        </w:tc>
        <w:tc>
          <w:tcPr>
            <w:tcW w:w="38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4"/>
              <w:spacing w:after="0"/>
              <w:rPr>
                <w:sz w:val="20"/>
                <w:szCs w:val="20"/>
                <w:color w:val="auto"/>
              </w:rPr>
            </w:pPr>
            <w:r>
              <w:rPr>
                <w:rFonts w:ascii="Arial" w:cs="Arial" w:eastAsia="Arial" w:hAnsi="Arial"/>
                <w:sz w:val="13"/>
                <w:szCs w:val="13"/>
                <w:color w:val="auto"/>
              </w:rPr>
              <w:t>155</w:t>
            </w:r>
          </w:p>
        </w:tc>
        <w:tc>
          <w:tcPr>
            <w:tcW w:w="38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4"/>
              <w:spacing w:after="0"/>
              <w:rPr>
                <w:sz w:val="20"/>
                <w:szCs w:val="20"/>
                <w:color w:val="auto"/>
              </w:rPr>
            </w:pPr>
            <w:r>
              <w:rPr>
                <w:rFonts w:ascii="Arial" w:cs="Arial" w:eastAsia="Arial" w:hAnsi="Arial"/>
                <w:sz w:val="13"/>
                <w:szCs w:val="13"/>
                <w:color w:val="auto"/>
              </w:rPr>
              <w:t>163</w:t>
            </w:r>
          </w:p>
        </w:tc>
        <w:tc>
          <w:tcPr>
            <w:tcW w:w="34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94"/>
              <w:spacing w:after="0"/>
              <w:rPr>
                <w:sz w:val="20"/>
                <w:szCs w:val="20"/>
                <w:color w:val="auto"/>
              </w:rPr>
            </w:pPr>
            <w:r>
              <w:rPr>
                <w:rFonts w:ascii="Arial" w:cs="Arial" w:eastAsia="Arial" w:hAnsi="Arial"/>
                <w:sz w:val="13"/>
                <w:szCs w:val="13"/>
                <w:color w:val="auto"/>
              </w:rPr>
              <w:t>155</w:t>
            </w: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Pro Forma Quarterly Results for the Year ended December 31, 2020:</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8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 except for units on rent and</w:t>
            </w:r>
          </w:p>
        </w:tc>
        <w:tc>
          <w:tcPr>
            <w:tcW w:w="1120" w:type="dxa"/>
            <w:vAlign w:val="bottom"/>
            <w:shd w:val="clear" w:color="auto" w:fill="1D2758"/>
          </w:tcPr>
          <w:p>
            <w:pPr>
              <w:spacing w:after="0"/>
              <w:rPr>
                <w:sz w:val="13"/>
                <w:szCs w:val="13"/>
                <w:color w:val="auto"/>
              </w:rPr>
            </w:pPr>
          </w:p>
        </w:tc>
        <w:tc>
          <w:tcPr>
            <w:tcW w:w="1040" w:type="dxa"/>
            <w:vAlign w:val="bottom"/>
            <w:vMerge w:val="restart"/>
            <w:shd w:val="clear" w:color="auto" w:fill="1D2758"/>
          </w:tcPr>
          <w:p>
            <w:pPr>
              <w:jc w:val="right"/>
              <w:ind w:right="554"/>
              <w:spacing w:after="0"/>
              <w:rPr>
                <w:sz w:val="20"/>
                <w:szCs w:val="20"/>
                <w:color w:val="auto"/>
              </w:rPr>
            </w:pPr>
            <w:r>
              <w:rPr>
                <w:rFonts w:ascii="Arial" w:cs="Arial" w:eastAsia="Arial" w:hAnsi="Arial"/>
                <w:sz w:val="13"/>
                <w:szCs w:val="13"/>
                <w:b w:val="1"/>
                <w:bCs w:val="1"/>
                <w:color w:val="FFFFFF"/>
              </w:rPr>
              <w:t>Q1</w:t>
            </w:r>
          </w:p>
        </w:tc>
        <w:tc>
          <w:tcPr>
            <w:tcW w:w="380" w:type="dxa"/>
            <w:vAlign w:val="bottom"/>
            <w:shd w:val="clear" w:color="auto" w:fill="1D2758"/>
          </w:tcPr>
          <w:p>
            <w:pPr>
              <w:spacing w:after="0"/>
              <w:rPr>
                <w:sz w:val="13"/>
                <w:szCs w:val="13"/>
                <w:color w:val="auto"/>
              </w:rPr>
            </w:pPr>
          </w:p>
        </w:tc>
        <w:tc>
          <w:tcPr>
            <w:tcW w:w="1040" w:type="dxa"/>
            <w:vAlign w:val="bottom"/>
            <w:vMerge w:val="restart"/>
            <w:shd w:val="clear" w:color="auto" w:fill="1D2758"/>
          </w:tcPr>
          <w:p>
            <w:pPr>
              <w:jc w:val="right"/>
              <w:ind w:right="554"/>
              <w:spacing w:after="0"/>
              <w:rPr>
                <w:sz w:val="20"/>
                <w:szCs w:val="20"/>
                <w:color w:val="auto"/>
              </w:rPr>
            </w:pPr>
            <w:r>
              <w:rPr>
                <w:rFonts w:ascii="Arial" w:cs="Arial" w:eastAsia="Arial" w:hAnsi="Arial"/>
                <w:sz w:val="13"/>
                <w:szCs w:val="13"/>
                <w:b w:val="1"/>
                <w:bCs w:val="1"/>
                <w:color w:val="FFFFFF"/>
              </w:rPr>
              <w:t>Q2</w:t>
            </w:r>
          </w:p>
        </w:tc>
        <w:tc>
          <w:tcPr>
            <w:tcW w:w="380" w:type="dxa"/>
            <w:vAlign w:val="bottom"/>
            <w:shd w:val="clear" w:color="auto" w:fill="1D2758"/>
          </w:tcPr>
          <w:p>
            <w:pPr>
              <w:spacing w:after="0"/>
              <w:rPr>
                <w:sz w:val="13"/>
                <w:szCs w:val="13"/>
                <w:color w:val="auto"/>
              </w:rPr>
            </w:pPr>
          </w:p>
        </w:tc>
        <w:tc>
          <w:tcPr>
            <w:tcW w:w="1040" w:type="dxa"/>
            <w:vAlign w:val="bottom"/>
            <w:vMerge w:val="restart"/>
            <w:shd w:val="clear" w:color="auto" w:fill="1D2758"/>
          </w:tcPr>
          <w:p>
            <w:pPr>
              <w:jc w:val="right"/>
              <w:ind w:right="554"/>
              <w:spacing w:after="0"/>
              <w:rPr>
                <w:sz w:val="20"/>
                <w:szCs w:val="20"/>
                <w:color w:val="auto"/>
              </w:rPr>
            </w:pPr>
            <w:r>
              <w:rPr>
                <w:rFonts w:ascii="Arial" w:cs="Arial" w:eastAsia="Arial" w:hAnsi="Arial"/>
                <w:sz w:val="13"/>
                <w:szCs w:val="13"/>
                <w:b w:val="1"/>
                <w:bCs w:val="1"/>
                <w:color w:val="FFFFFF"/>
              </w:rPr>
              <w:t>Q3</w:t>
            </w:r>
          </w:p>
        </w:tc>
        <w:tc>
          <w:tcPr>
            <w:tcW w:w="380" w:type="dxa"/>
            <w:vAlign w:val="bottom"/>
            <w:shd w:val="clear" w:color="auto" w:fill="1D2758"/>
          </w:tcPr>
          <w:p>
            <w:pPr>
              <w:spacing w:after="0"/>
              <w:rPr>
                <w:sz w:val="13"/>
                <w:szCs w:val="13"/>
                <w:color w:val="auto"/>
              </w:rPr>
            </w:pPr>
          </w:p>
        </w:tc>
        <w:tc>
          <w:tcPr>
            <w:tcW w:w="1040" w:type="dxa"/>
            <w:vAlign w:val="bottom"/>
            <w:vMerge w:val="restart"/>
            <w:shd w:val="clear" w:color="auto" w:fill="1D2758"/>
          </w:tcPr>
          <w:p>
            <w:pPr>
              <w:jc w:val="right"/>
              <w:ind w:right="554"/>
              <w:spacing w:after="0"/>
              <w:rPr>
                <w:sz w:val="20"/>
                <w:szCs w:val="20"/>
                <w:color w:val="auto"/>
              </w:rPr>
            </w:pPr>
            <w:r>
              <w:rPr>
                <w:rFonts w:ascii="Arial" w:cs="Arial" w:eastAsia="Arial" w:hAnsi="Arial"/>
                <w:sz w:val="13"/>
                <w:szCs w:val="13"/>
                <w:b w:val="1"/>
                <w:bCs w:val="1"/>
                <w:color w:val="FFFFFF"/>
              </w:rPr>
              <w:t>Q4</w:t>
            </w:r>
          </w:p>
        </w:tc>
        <w:tc>
          <w:tcPr>
            <w:tcW w:w="340" w:type="dxa"/>
            <w:vAlign w:val="bottom"/>
            <w:shd w:val="clear" w:color="auto" w:fill="1D2758"/>
          </w:tcPr>
          <w:p>
            <w:pPr>
              <w:spacing w:after="0"/>
              <w:rPr>
                <w:sz w:val="13"/>
                <w:szCs w:val="13"/>
                <w:color w:val="auto"/>
              </w:rPr>
            </w:pPr>
          </w:p>
        </w:tc>
        <w:tc>
          <w:tcPr>
            <w:tcW w:w="1040" w:type="dxa"/>
            <w:vAlign w:val="bottom"/>
            <w:vMerge w:val="restart"/>
            <w:shd w:val="clear" w:color="auto" w:fill="1D2758"/>
          </w:tcPr>
          <w:p>
            <w:pPr>
              <w:jc w:val="right"/>
              <w:ind w:right="454"/>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75"/>
        </w:trPr>
        <w:tc>
          <w:tcPr>
            <w:tcW w:w="348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monthly rental rate)</w:t>
            </w:r>
          </w:p>
        </w:tc>
        <w:tc>
          <w:tcPr>
            <w:tcW w:w="112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34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80" w:type="dxa"/>
            <w:vAlign w:val="bottom"/>
            <w:shd w:val="clear" w:color="auto" w:fill="DBDBDB"/>
          </w:tcPr>
          <w:p>
            <w:pPr>
              <w:ind w:left="20"/>
              <w:spacing w:after="0"/>
              <w:rPr>
                <w:sz w:val="20"/>
                <w:szCs w:val="20"/>
                <w:color w:val="auto"/>
              </w:rPr>
            </w:pPr>
            <w:r>
              <w:rPr>
                <w:rFonts w:ascii="Arial" w:cs="Arial" w:eastAsia="Arial" w:hAnsi="Arial"/>
                <w:sz w:val="13"/>
                <w:szCs w:val="13"/>
                <w:color w:val="auto"/>
              </w:rPr>
              <w:t>Revenue</w:t>
            </w:r>
          </w:p>
        </w:tc>
        <w:tc>
          <w:tcPr>
            <w:tcW w:w="1120" w:type="dxa"/>
            <w:vAlign w:val="bottom"/>
            <w:shd w:val="clear" w:color="auto" w:fill="DBDBDB"/>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103,495</w:t>
            </w:r>
          </w:p>
        </w:tc>
        <w:tc>
          <w:tcPr>
            <w:tcW w:w="380" w:type="dxa"/>
            <w:vAlign w:val="bottom"/>
            <w:shd w:val="clear" w:color="auto" w:fill="DBDBDB"/>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92,826</w:t>
            </w:r>
          </w:p>
        </w:tc>
        <w:tc>
          <w:tcPr>
            <w:tcW w:w="380" w:type="dxa"/>
            <w:vAlign w:val="bottom"/>
            <w:shd w:val="clear" w:color="auto" w:fill="DBDBDB"/>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104,493</w:t>
            </w:r>
          </w:p>
        </w:tc>
        <w:tc>
          <w:tcPr>
            <w:tcW w:w="380" w:type="dxa"/>
            <w:vAlign w:val="bottom"/>
            <w:shd w:val="clear" w:color="auto" w:fill="DBDBDB"/>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117,336</w:t>
            </w:r>
          </w:p>
        </w:tc>
        <w:tc>
          <w:tcPr>
            <w:tcW w:w="3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418,150</w:t>
            </w:r>
          </w:p>
        </w:tc>
        <w:tc>
          <w:tcPr>
            <w:tcW w:w="0" w:type="dxa"/>
            <w:vAlign w:val="bottom"/>
          </w:tcPr>
          <w:p>
            <w:pPr>
              <w:spacing w:after="0"/>
              <w:rPr>
                <w:sz w:val="1"/>
                <w:szCs w:val="1"/>
                <w:color w:val="auto"/>
              </w:rPr>
            </w:pPr>
          </w:p>
        </w:tc>
      </w:tr>
      <w:tr>
        <w:trPr>
          <w:trHeight w:val="172"/>
        </w:trPr>
        <w:tc>
          <w:tcPr>
            <w:tcW w:w="3480" w:type="dxa"/>
            <w:vAlign w:val="bottom"/>
          </w:tcPr>
          <w:p>
            <w:pPr>
              <w:ind w:left="20"/>
              <w:spacing w:after="0"/>
              <w:rPr>
                <w:sz w:val="20"/>
                <w:szCs w:val="20"/>
                <w:color w:val="auto"/>
              </w:rPr>
            </w:pPr>
            <w:r>
              <w:rPr>
                <w:rFonts w:ascii="Arial" w:cs="Arial" w:eastAsia="Arial" w:hAnsi="Arial"/>
                <w:sz w:val="13"/>
                <w:szCs w:val="13"/>
                <w:color w:val="auto"/>
              </w:rPr>
              <w:t>Gross profit</w:t>
            </w:r>
          </w:p>
        </w:tc>
        <w:tc>
          <w:tcPr>
            <w:tcW w:w="112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4"/>
              <w:spacing w:after="0"/>
              <w:rPr>
                <w:sz w:val="20"/>
                <w:szCs w:val="20"/>
                <w:color w:val="auto"/>
              </w:rPr>
            </w:pPr>
            <w:r>
              <w:rPr>
                <w:rFonts w:ascii="Arial" w:cs="Arial" w:eastAsia="Arial" w:hAnsi="Arial"/>
                <w:sz w:val="13"/>
                <w:szCs w:val="13"/>
                <w:color w:val="auto"/>
              </w:rPr>
              <w:t>71,400</w:t>
            </w:r>
          </w:p>
        </w:tc>
        <w:tc>
          <w:tcPr>
            <w:tcW w:w="38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4"/>
              <w:spacing w:after="0"/>
              <w:rPr>
                <w:sz w:val="20"/>
                <w:szCs w:val="20"/>
                <w:color w:val="auto"/>
              </w:rPr>
            </w:pPr>
            <w:r>
              <w:rPr>
                <w:rFonts w:ascii="Arial" w:cs="Arial" w:eastAsia="Arial" w:hAnsi="Arial"/>
                <w:sz w:val="13"/>
                <w:szCs w:val="13"/>
                <w:color w:val="auto"/>
              </w:rPr>
              <w:t>66,639</w:t>
            </w:r>
          </w:p>
        </w:tc>
        <w:tc>
          <w:tcPr>
            <w:tcW w:w="38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4"/>
              <w:spacing w:after="0"/>
              <w:rPr>
                <w:sz w:val="20"/>
                <w:szCs w:val="20"/>
                <w:color w:val="auto"/>
              </w:rPr>
            </w:pPr>
            <w:r>
              <w:rPr>
                <w:rFonts w:ascii="Arial" w:cs="Arial" w:eastAsia="Arial" w:hAnsi="Arial"/>
                <w:sz w:val="13"/>
                <w:szCs w:val="13"/>
                <w:color w:val="auto"/>
              </w:rPr>
              <w:t>73,384</w:t>
            </w:r>
          </w:p>
        </w:tc>
        <w:tc>
          <w:tcPr>
            <w:tcW w:w="38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4"/>
              <w:spacing w:after="0"/>
              <w:rPr>
                <w:sz w:val="20"/>
                <w:szCs w:val="20"/>
                <w:color w:val="auto"/>
              </w:rPr>
            </w:pPr>
            <w:r>
              <w:rPr>
                <w:rFonts w:ascii="Arial" w:cs="Arial" w:eastAsia="Arial" w:hAnsi="Arial"/>
                <w:sz w:val="13"/>
                <w:szCs w:val="13"/>
                <w:color w:val="auto"/>
              </w:rPr>
              <w:t>83,401</w:t>
            </w:r>
          </w:p>
        </w:tc>
        <w:tc>
          <w:tcPr>
            <w:tcW w:w="34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94"/>
              <w:spacing w:after="0"/>
              <w:rPr>
                <w:sz w:val="20"/>
                <w:szCs w:val="20"/>
                <w:color w:val="auto"/>
              </w:rPr>
            </w:pPr>
            <w:r>
              <w:rPr>
                <w:rFonts w:ascii="Arial" w:cs="Arial" w:eastAsia="Arial" w:hAnsi="Arial"/>
                <w:sz w:val="13"/>
                <w:szCs w:val="13"/>
                <w:color w:val="auto"/>
              </w:rPr>
              <w:t>294,824</w:t>
            </w:r>
          </w:p>
        </w:tc>
        <w:tc>
          <w:tcPr>
            <w:tcW w:w="0" w:type="dxa"/>
            <w:vAlign w:val="bottom"/>
          </w:tcPr>
          <w:p>
            <w:pPr>
              <w:spacing w:after="0"/>
              <w:rPr>
                <w:sz w:val="1"/>
                <w:szCs w:val="1"/>
                <w:color w:val="auto"/>
              </w:rPr>
            </w:pPr>
          </w:p>
        </w:tc>
      </w:tr>
      <w:tr>
        <w:trPr>
          <w:trHeight w:val="178"/>
        </w:trPr>
        <w:tc>
          <w:tcPr>
            <w:tcW w:w="3480" w:type="dxa"/>
            <w:vAlign w:val="bottom"/>
            <w:shd w:val="clear" w:color="auto" w:fill="DBDBDB"/>
          </w:tcPr>
          <w:p>
            <w:pPr>
              <w:ind w:left="20"/>
              <w:spacing w:after="0"/>
              <w:rPr>
                <w:sz w:val="20"/>
                <w:szCs w:val="20"/>
                <w:color w:val="auto"/>
              </w:rPr>
            </w:pPr>
            <w:r>
              <w:rPr>
                <w:rFonts w:ascii="Arial" w:cs="Arial" w:eastAsia="Arial" w:hAnsi="Arial"/>
                <w:sz w:val="13"/>
                <w:szCs w:val="13"/>
                <w:color w:val="auto"/>
              </w:rPr>
              <w:t>Adjusted EBITDA</w:t>
            </w:r>
          </w:p>
        </w:tc>
        <w:tc>
          <w:tcPr>
            <w:tcW w:w="1120" w:type="dxa"/>
            <w:vAlign w:val="bottom"/>
            <w:shd w:val="clear" w:color="auto" w:fill="DBDBDB"/>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43,994</w:t>
            </w:r>
          </w:p>
        </w:tc>
        <w:tc>
          <w:tcPr>
            <w:tcW w:w="380" w:type="dxa"/>
            <w:vAlign w:val="bottom"/>
            <w:shd w:val="clear" w:color="auto" w:fill="DBDBDB"/>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40,770</w:t>
            </w:r>
          </w:p>
        </w:tc>
        <w:tc>
          <w:tcPr>
            <w:tcW w:w="380" w:type="dxa"/>
            <w:vAlign w:val="bottom"/>
            <w:shd w:val="clear" w:color="auto" w:fill="DBDBDB"/>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46,465</w:t>
            </w:r>
          </w:p>
        </w:tc>
        <w:tc>
          <w:tcPr>
            <w:tcW w:w="380" w:type="dxa"/>
            <w:vAlign w:val="bottom"/>
            <w:shd w:val="clear" w:color="auto" w:fill="DBDBDB"/>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53,372</w:t>
            </w:r>
          </w:p>
        </w:tc>
        <w:tc>
          <w:tcPr>
            <w:tcW w:w="3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184,601</w:t>
            </w:r>
          </w:p>
        </w:tc>
        <w:tc>
          <w:tcPr>
            <w:tcW w:w="0" w:type="dxa"/>
            <w:vAlign w:val="bottom"/>
          </w:tcPr>
          <w:p>
            <w:pPr>
              <w:spacing w:after="0"/>
              <w:rPr>
                <w:sz w:val="1"/>
                <w:szCs w:val="1"/>
                <w:color w:val="auto"/>
              </w:rPr>
            </w:pPr>
          </w:p>
        </w:tc>
      </w:tr>
      <w:tr>
        <w:trPr>
          <w:trHeight w:val="172"/>
        </w:trPr>
        <w:tc>
          <w:tcPr>
            <w:tcW w:w="3480" w:type="dxa"/>
            <w:vAlign w:val="bottom"/>
          </w:tcPr>
          <w:p>
            <w:pPr>
              <w:ind w:left="20"/>
              <w:spacing w:after="0"/>
              <w:rPr>
                <w:sz w:val="20"/>
                <w:szCs w:val="20"/>
                <w:color w:val="auto"/>
              </w:rPr>
            </w:pPr>
            <w:r>
              <w:rPr>
                <w:rFonts w:ascii="Arial" w:cs="Arial" w:eastAsia="Arial" w:hAnsi="Arial"/>
                <w:sz w:val="13"/>
                <w:szCs w:val="13"/>
                <w:color w:val="auto"/>
              </w:rPr>
              <w:t>Capex for rental equipment</w:t>
            </w:r>
          </w:p>
        </w:tc>
        <w:tc>
          <w:tcPr>
            <w:tcW w:w="112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4"/>
              <w:spacing w:after="0"/>
              <w:rPr>
                <w:sz w:val="20"/>
                <w:szCs w:val="20"/>
                <w:color w:val="auto"/>
              </w:rPr>
            </w:pPr>
            <w:r>
              <w:rPr>
                <w:rFonts w:ascii="Arial" w:cs="Arial" w:eastAsia="Arial" w:hAnsi="Arial"/>
                <w:sz w:val="13"/>
                <w:szCs w:val="13"/>
                <w:color w:val="auto"/>
              </w:rPr>
              <w:t>5,200</w:t>
            </w:r>
          </w:p>
        </w:tc>
        <w:tc>
          <w:tcPr>
            <w:tcW w:w="38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4"/>
              <w:spacing w:after="0"/>
              <w:rPr>
                <w:sz w:val="20"/>
                <w:szCs w:val="20"/>
                <w:color w:val="auto"/>
              </w:rPr>
            </w:pPr>
            <w:r>
              <w:rPr>
                <w:rFonts w:ascii="Arial" w:cs="Arial" w:eastAsia="Arial" w:hAnsi="Arial"/>
                <w:sz w:val="13"/>
                <w:szCs w:val="13"/>
                <w:color w:val="auto"/>
              </w:rPr>
              <w:t>7,272</w:t>
            </w:r>
          </w:p>
        </w:tc>
        <w:tc>
          <w:tcPr>
            <w:tcW w:w="38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4"/>
              <w:spacing w:after="0"/>
              <w:rPr>
                <w:sz w:val="20"/>
                <w:szCs w:val="20"/>
                <w:color w:val="auto"/>
              </w:rPr>
            </w:pPr>
            <w:r>
              <w:rPr>
                <w:rFonts w:ascii="Arial" w:cs="Arial" w:eastAsia="Arial" w:hAnsi="Arial"/>
                <w:sz w:val="13"/>
                <w:szCs w:val="13"/>
                <w:color w:val="auto"/>
              </w:rPr>
              <w:t>7,234</w:t>
            </w:r>
          </w:p>
        </w:tc>
        <w:tc>
          <w:tcPr>
            <w:tcW w:w="38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4"/>
              <w:spacing w:after="0"/>
              <w:rPr>
                <w:sz w:val="20"/>
                <w:szCs w:val="20"/>
                <w:color w:val="auto"/>
              </w:rPr>
            </w:pPr>
            <w:r>
              <w:rPr>
                <w:rFonts w:ascii="Arial" w:cs="Arial" w:eastAsia="Arial" w:hAnsi="Arial"/>
                <w:sz w:val="13"/>
                <w:szCs w:val="13"/>
                <w:color w:val="auto"/>
              </w:rPr>
              <w:t>7,735</w:t>
            </w:r>
          </w:p>
        </w:tc>
        <w:tc>
          <w:tcPr>
            <w:tcW w:w="34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94"/>
              <w:spacing w:after="0"/>
              <w:rPr>
                <w:sz w:val="20"/>
                <w:szCs w:val="20"/>
                <w:color w:val="auto"/>
              </w:rPr>
            </w:pPr>
            <w:r>
              <w:rPr>
                <w:rFonts w:ascii="Arial" w:cs="Arial" w:eastAsia="Arial" w:hAnsi="Arial"/>
                <w:sz w:val="13"/>
                <w:szCs w:val="13"/>
                <w:color w:val="auto"/>
              </w:rPr>
              <w:t>27,441</w:t>
            </w:r>
          </w:p>
        </w:tc>
        <w:tc>
          <w:tcPr>
            <w:tcW w:w="0" w:type="dxa"/>
            <w:vAlign w:val="bottom"/>
          </w:tcPr>
          <w:p>
            <w:pPr>
              <w:spacing w:after="0"/>
              <w:rPr>
                <w:sz w:val="1"/>
                <w:szCs w:val="1"/>
                <w:color w:val="auto"/>
              </w:rPr>
            </w:pPr>
          </w:p>
        </w:tc>
      </w:tr>
      <w:tr>
        <w:trPr>
          <w:trHeight w:val="178"/>
        </w:trPr>
        <w:tc>
          <w:tcPr>
            <w:tcW w:w="3480" w:type="dxa"/>
            <w:vAlign w:val="bottom"/>
            <w:shd w:val="clear" w:color="auto" w:fill="DBDBDB"/>
          </w:tcPr>
          <w:p>
            <w:pPr>
              <w:ind w:left="20"/>
              <w:spacing w:after="0"/>
              <w:rPr>
                <w:sz w:val="20"/>
                <w:szCs w:val="20"/>
                <w:color w:val="auto"/>
              </w:rPr>
            </w:pPr>
            <w:r>
              <w:rPr>
                <w:rFonts w:ascii="Arial" w:cs="Arial" w:eastAsia="Arial" w:hAnsi="Arial"/>
                <w:sz w:val="13"/>
                <w:szCs w:val="13"/>
                <w:color w:val="auto"/>
              </w:rPr>
              <w:t>Average modular space units on rent</w:t>
            </w:r>
          </w:p>
        </w:tc>
        <w:tc>
          <w:tcPr>
            <w:tcW w:w="1120" w:type="dxa"/>
            <w:vAlign w:val="bottom"/>
            <w:shd w:val="clear" w:color="auto" w:fill="DBDBDB"/>
          </w:tcPr>
          <w:p>
            <w:pPr>
              <w:spacing w:after="0"/>
              <w:rPr>
                <w:sz w:val="15"/>
                <w:szCs w:val="15"/>
                <w:color w:val="auto"/>
              </w:rPr>
            </w:pPr>
          </w:p>
        </w:tc>
        <w:tc>
          <w:tcPr>
            <w:tcW w:w="10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15,509</w:t>
            </w:r>
          </w:p>
        </w:tc>
        <w:tc>
          <w:tcPr>
            <w:tcW w:w="380" w:type="dxa"/>
            <w:vAlign w:val="bottom"/>
            <w:shd w:val="clear" w:color="auto" w:fill="DBDBDB"/>
          </w:tcPr>
          <w:p>
            <w:pPr>
              <w:spacing w:after="0"/>
              <w:rPr>
                <w:sz w:val="15"/>
                <w:szCs w:val="15"/>
                <w:color w:val="auto"/>
              </w:rPr>
            </w:pPr>
          </w:p>
        </w:tc>
        <w:tc>
          <w:tcPr>
            <w:tcW w:w="10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15,757</w:t>
            </w:r>
          </w:p>
        </w:tc>
        <w:tc>
          <w:tcPr>
            <w:tcW w:w="380" w:type="dxa"/>
            <w:vAlign w:val="bottom"/>
            <w:shd w:val="clear" w:color="auto" w:fill="DBDBDB"/>
          </w:tcPr>
          <w:p>
            <w:pPr>
              <w:spacing w:after="0"/>
              <w:rPr>
                <w:sz w:val="15"/>
                <w:szCs w:val="15"/>
                <w:color w:val="auto"/>
              </w:rPr>
            </w:pPr>
          </w:p>
        </w:tc>
        <w:tc>
          <w:tcPr>
            <w:tcW w:w="10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16,383</w:t>
            </w:r>
          </w:p>
        </w:tc>
        <w:tc>
          <w:tcPr>
            <w:tcW w:w="380" w:type="dxa"/>
            <w:vAlign w:val="bottom"/>
            <w:shd w:val="clear" w:color="auto" w:fill="DBDBDB"/>
          </w:tcPr>
          <w:p>
            <w:pPr>
              <w:spacing w:after="0"/>
              <w:rPr>
                <w:sz w:val="15"/>
                <w:szCs w:val="15"/>
                <w:color w:val="auto"/>
              </w:rPr>
            </w:pPr>
          </w:p>
        </w:tc>
        <w:tc>
          <w:tcPr>
            <w:tcW w:w="10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16,948</w:t>
            </w:r>
          </w:p>
        </w:tc>
        <w:tc>
          <w:tcPr>
            <w:tcW w:w="340" w:type="dxa"/>
            <w:vAlign w:val="bottom"/>
            <w:shd w:val="clear" w:color="auto" w:fill="DBDBDB"/>
          </w:tcPr>
          <w:p>
            <w:pPr>
              <w:spacing w:after="0"/>
              <w:rPr>
                <w:sz w:val="15"/>
                <w:szCs w:val="15"/>
                <w:color w:val="auto"/>
              </w:rPr>
            </w:pPr>
          </w:p>
        </w:tc>
        <w:tc>
          <w:tcPr>
            <w:tcW w:w="10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16,152</w:t>
            </w:r>
          </w:p>
        </w:tc>
        <w:tc>
          <w:tcPr>
            <w:tcW w:w="0" w:type="dxa"/>
            <w:vAlign w:val="bottom"/>
          </w:tcPr>
          <w:p>
            <w:pPr>
              <w:spacing w:after="0"/>
              <w:rPr>
                <w:sz w:val="1"/>
                <w:szCs w:val="1"/>
                <w:color w:val="auto"/>
              </w:rPr>
            </w:pPr>
          </w:p>
        </w:tc>
      </w:tr>
      <w:tr>
        <w:trPr>
          <w:trHeight w:val="172"/>
        </w:trPr>
        <w:tc>
          <w:tcPr>
            <w:tcW w:w="3480" w:type="dxa"/>
            <w:vAlign w:val="bottom"/>
          </w:tcPr>
          <w:p>
            <w:pPr>
              <w:ind w:left="20"/>
              <w:spacing w:after="0"/>
              <w:rPr>
                <w:sz w:val="20"/>
                <w:szCs w:val="20"/>
                <w:color w:val="auto"/>
              </w:rPr>
            </w:pPr>
            <w:r>
              <w:rPr>
                <w:rFonts w:ascii="Arial" w:cs="Arial" w:eastAsia="Arial" w:hAnsi="Arial"/>
                <w:sz w:val="13"/>
                <w:szCs w:val="13"/>
                <w:color w:val="auto"/>
              </w:rPr>
              <w:t>Average modular space utilization rate</w:t>
            </w:r>
          </w:p>
        </w:tc>
        <w:tc>
          <w:tcPr>
            <w:tcW w:w="1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77.8 %</w:t>
            </w:r>
          </w:p>
        </w:tc>
        <w:tc>
          <w:tcPr>
            <w:tcW w:w="3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78.6 %</w:t>
            </w:r>
          </w:p>
        </w:tc>
        <w:tc>
          <w:tcPr>
            <w:tcW w:w="3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80.4 %</w:t>
            </w:r>
          </w:p>
        </w:tc>
        <w:tc>
          <w:tcPr>
            <w:tcW w:w="3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80.9 %</w:t>
            </w: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79.4 %</w:t>
            </w:r>
          </w:p>
        </w:tc>
        <w:tc>
          <w:tcPr>
            <w:tcW w:w="0" w:type="dxa"/>
            <w:vAlign w:val="bottom"/>
          </w:tcPr>
          <w:p>
            <w:pPr>
              <w:spacing w:after="0"/>
              <w:rPr>
                <w:sz w:val="1"/>
                <w:szCs w:val="1"/>
                <w:color w:val="auto"/>
              </w:rPr>
            </w:pPr>
          </w:p>
        </w:tc>
      </w:tr>
      <w:tr>
        <w:trPr>
          <w:trHeight w:val="178"/>
        </w:trPr>
        <w:tc>
          <w:tcPr>
            <w:tcW w:w="3480" w:type="dxa"/>
            <w:vAlign w:val="bottom"/>
            <w:shd w:val="clear" w:color="auto" w:fill="DBDBDB"/>
          </w:tcPr>
          <w:p>
            <w:pPr>
              <w:ind w:left="20"/>
              <w:spacing w:after="0"/>
              <w:rPr>
                <w:sz w:val="20"/>
                <w:szCs w:val="20"/>
                <w:color w:val="auto"/>
              </w:rPr>
            </w:pPr>
            <w:r>
              <w:rPr>
                <w:rFonts w:ascii="Arial" w:cs="Arial" w:eastAsia="Arial" w:hAnsi="Arial"/>
                <w:sz w:val="13"/>
                <w:szCs w:val="13"/>
                <w:color w:val="auto"/>
              </w:rPr>
              <w:t>Average modular space monthly rental rate</w:t>
            </w:r>
          </w:p>
        </w:tc>
        <w:tc>
          <w:tcPr>
            <w:tcW w:w="1120" w:type="dxa"/>
            <w:vAlign w:val="bottom"/>
            <w:shd w:val="clear" w:color="auto" w:fill="DBDBDB"/>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497</w:t>
            </w:r>
          </w:p>
        </w:tc>
        <w:tc>
          <w:tcPr>
            <w:tcW w:w="380" w:type="dxa"/>
            <w:vAlign w:val="bottom"/>
            <w:shd w:val="clear" w:color="auto" w:fill="DBDBDB"/>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463</w:t>
            </w:r>
          </w:p>
        </w:tc>
        <w:tc>
          <w:tcPr>
            <w:tcW w:w="380" w:type="dxa"/>
            <w:vAlign w:val="bottom"/>
            <w:shd w:val="clear" w:color="auto" w:fill="DBDBDB"/>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505</w:t>
            </w:r>
          </w:p>
        </w:tc>
        <w:tc>
          <w:tcPr>
            <w:tcW w:w="380" w:type="dxa"/>
            <w:vAlign w:val="bottom"/>
            <w:shd w:val="clear" w:color="auto" w:fill="DBDBDB"/>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547</w:t>
            </w:r>
          </w:p>
        </w:tc>
        <w:tc>
          <w:tcPr>
            <w:tcW w:w="3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504</w:t>
            </w:r>
          </w:p>
        </w:tc>
        <w:tc>
          <w:tcPr>
            <w:tcW w:w="0" w:type="dxa"/>
            <w:vAlign w:val="bottom"/>
          </w:tcPr>
          <w:p>
            <w:pPr>
              <w:spacing w:after="0"/>
              <w:rPr>
                <w:sz w:val="1"/>
                <w:szCs w:val="1"/>
                <w:color w:val="auto"/>
              </w:rPr>
            </w:pPr>
          </w:p>
        </w:tc>
      </w:tr>
      <w:tr>
        <w:trPr>
          <w:trHeight w:val="172"/>
        </w:trPr>
        <w:tc>
          <w:tcPr>
            <w:tcW w:w="3480" w:type="dxa"/>
            <w:vAlign w:val="bottom"/>
          </w:tcPr>
          <w:p>
            <w:pPr>
              <w:ind w:left="20"/>
              <w:spacing w:after="0"/>
              <w:rPr>
                <w:sz w:val="20"/>
                <w:szCs w:val="20"/>
                <w:color w:val="auto"/>
              </w:rPr>
            </w:pPr>
            <w:r>
              <w:rPr>
                <w:rFonts w:ascii="Arial" w:cs="Arial" w:eastAsia="Arial" w:hAnsi="Arial"/>
                <w:sz w:val="13"/>
                <w:szCs w:val="13"/>
                <w:color w:val="auto"/>
              </w:rPr>
              <w:t>Average portable storage units on rent</w:t>
            </w:r>
          </w:p>
        </w:tc>
        <w:tc>
          <w:tcPr>
            <w:tcW w:w="1120" w:type="dxa"/>
            <w:vAlign w:val="bottom"/>
          </w:tcPr>
          <w:p>
            <w:pPr>
              <w:spacing w:after="0"/>
              <w:rPr>
                <w:sz w:val="14"/>
                <w:szCs w:val="14"/>
                <w:color w:val="auto"/>
              </w:rPr>
            </w:pPr>
          </w:p>
        </w:tc>
        <w:tc>
          <w:tcPr>
            <w:tcW w:w="1040" w:type="dxa"/>
            <w:vAlign w:val="bottom"/>
          </w:tcPr>
          <w:p>
            <w:pPr>
              <w:jc w:val="right"/>
              <w:ind w:right="134"/>
              <w:spacing w:after="0"/>
              <w:rPr>
                <w:sz w:val="20"/>
                <w:szCs w:val="20"/>
                <w:color w:val="auto"/>
              </w:rPr>
            </w:pPr>
            <w:r>
              <w:rPr>
                <w:rFonts w:ascii="Arial" w:cs="Arial" w:eastAsia="Arial" w:hAnsi="Arial"/>
                <w:sz w:val="13"/>
                <w:szCs w:val="13"/>
                <w:color w:val="auto"/>
              </w:rPr>
              <w:t>105,441</w:t>
            </w:r>
          </w:p>
        </w:tc>
        <w:tc>
          <w:tcPr>
            <w:tcW w:w="380" w:type="dxa"/>
            <w:vAlign w:val="bottom"/>
          </w:tcPr>
          <w:p>
            <w:pPr>
              <w:spacing w:after="0"/>
              <w:rPr>
                <w:sz w:val="14"/>
                <w:szCs w:val="14"/>
                <w:color w:val="auto"/>
              </w:rPr>
            </w:pPr>
          </w:p>
        </w:tc>
        <w:tc>
          <w:tcPr>
            <w:tcW w:w="1040" w:type="dxa"/>
            <w:vAlign w:val="bottom"/>
          </w:tcPr>
          <w:p>
            <w:pPr>
              <w:jc w:val="right"/>
              <w:ind w:right="134"/>
              <w:spacing w:after="0"/>
              <w:rPr>
                <w:sz w:val="20"/>
                <w:szCs w:val="20"/>
                <w:color w:val="auto"/>
              </w:rPr>
            </w:pPr>
            <w:r>
              <w:rPr>
                <w:rFonts w:ascii="Arial" w:cs="Arial" w:eastAsia="Arial" w:hAnsi="Arial"/>
                <w:sz w:val="13"/>
                <w:szCs w:val="13"/>
                <w:color w:val="auto"/>
              </w:rPr>
              <w:t>101,463</w:t>
            </w:r>
          </w:p>
        </w:tc>
        <w:tc>
          <w:tcPr>
            <w:tcW w:w="380" w:type="dxa"/>
            <w:vAlign w:val="bottom"/>
          </w:tcPr>
          <w:p>
            <w:pPr>
              <w:spacing w:after="0"/>
              <w:rPr>
                <w:sz w:val="14"/>
                <w:szCs w:val="14"/>
                <w:color w:val="auto"/>
              </w:rPr>
            </w:pPr>
          </w:p>
        </w:tc>
        <w:tc>
          <w:tcPr>
            <w:tcW w:w="1040" w:type="dxa"/>
            <w:vAlign w:val="bottom"/>
          </w:tcPr>
          <w:p>
            <w:pPr>
              <w:jc w:val="right"/>
              <w:ind w:right="134"/>
              <w:spacing w:after="0"/>
              <w:rPr>
                <w:sz w:val="20"/>
                <w:szCs w:val="20"/>
                <w:color w:val="auto"/>
              </w:rPr>
            </w:pPr>
            <w:r>
              <w:rPr>
                <w:rFonts w:ascii="Arial" w:cs="Arial" w:eastAsia="Arial" w:hAnsi="Arial"/>
                <w:sz w:val="13"/>
                <w:szCs w:val="13"/>
                <w:color w:val="auto"/>
              </w:rPr>
              <w:t>105,221</w:t>
            </w:r>
          </w:p>
        </w:tc>
        <w:tc>
          <w:tcPr>
            <w:tcW w:w="380" w:type="dxa"/>
            <w:vAlign w:val="bottom"/>
          </w:tcPr>
          <w:p>
            <w:pPr>
              <w:spacing w:after="0"/>
              <w:rPr>
                <w:sz w:val="14"/>
                <w:szCs w:val="14"/>
                <w:color w:val="auto"/>
              </w:rPr>
            </w:pPr>
          </w:p>
        </w:tc>
        <w:tc>
          <w:tcPr>
            <w:tcW w:w="1040" w:type="dxa"/>
            <w:vAlign w:val="bottom"/>
          </w:tcPr>
          <w:p>
            <w:pPr>
              <w:jc w:val="right"/>
              <w:ind w:right="134"/>
              <w:spacing w:after="0"/>
              <w:rPr>
                <w:sz w:val="20"/>
                <w:szCs w:val="20"/>
                <w:color w:val="auto"/>
              </w:rPr>
            </w:pPr>
            <w:r>
              <w:rPr>
                <w:rFonts w:ascii="Arial" w:cs="Arial" w:eastAsia="Arial" w:hAnsi="Arial"/>
                <w:sz w:val="13"/>
                <w:szCs w:val="13"/>
                <w:color w:val="auto"/>
              </w:rPr>
              <w:t>120,439</w:t>
            </w:r>
          </w:p>
        </w:tc>
        <w:tc>
          <w:tcPr>
            <w:tcW w:w="340" w:type="dxa"/>
            <w:vAlign w:val="bottom"/>
          </w:tcPr>
          <w:p>
            <w:pPr>
              <w:spacing w:after="0"/>
              <w:rPr>
                <w:sz w:val="14"/>
                <w:szCs w:val="14"/>
                <w:color w:val="auto"/>
              </w:rPr>
            </w:pPr>
          </w:p>
        </w:tc>
        <w:tc>
          <w:tcPr>
            <w:tcW w:w="1040" w:type="dxa"/>
            <w:vAlign w:val="bottom"/>
          </w:tcPr>
          <w:p>
            <w:pPr>
              <w:jc w:val="right"/>
              <w:ind w:right="94"/>
              <w:spacing w:after="0"/>
              <w:rPr>
                <w:sz w:val="20"/>
                <w:szCs w:val="20"/>
                <w:color w:val="auto"/>
              </w:rPr>
            </w:pPr>
            <w:r>
              <w:rPr>
                <w:rFonts w:ascii="Arial" w:cs="Arial" w:eastAsia="Arial" w:hAnsi="Arial"/>
                <w:sz w:val="13"/>
                <w:szCs w:val="13"/>
                <w:color w:val="auto"/>
              </w:rPr>
              <w:t>108,167</w:t>
            </w:r>
          </w:p>
        </w:tc>
        <w:tc>
          <w:tcPr>
            <w:tcW w:w="0" w:type="dxa"/>
            <w:vAlign w:val="bottom"/>
          </w:tcPr>
          <w:p>
            <w:pPr>
              <w:spacing w:after="0"/>
              <w:rPr>
                <w:sz w:val="1"/>
                <w:szCs w:val="1"/>
                <w:color w:val="auto"/>
              </w:rPr>
            </w:pPr>
          </w:p>
        </w:tc>
      </w:tr>
      <w:tr>
        <w:trPr>
          <w:trHeight w:val="178"/>
        </w:trPr>
        <w:tc>
          <w:tcPr>
            <w:tcW w:w="3480" w:type="dxa"/>
            <w:vAlign w:val="bottom"/>
            <w:shd w:val="clear" w:color="auto" w:fill="DBDBDB"/>
          </w:tcPr>
          <w:p>
            <w:pPr>
              <w:ind w:left="20"/>
              <w:spacing w:after="0"/>
              <w:rPr>
                <w:sz w:val="20"/>
                <w:szCs w:val="20"/>
                <w:color w:val="auto"/>
              </w:rPr>
            </w:pPr>
            <w:r>
              <w:rPr>
                <w:rFonts w:ascii="Arial" w:cs="Arial" w:eastAsia="Arial" w:hAnsi="Arial"/>
                <w:sz w:val="13"/>
                <w:szCs w:val="13"/>
                <w:color w:val="auto"/>
              </w:rPr>
              <w:t>Average portable storage utilization rate</w:t>
            </w:r>
          </w:p>
        </w:tc>
        <w:tc>
          <w:tcPr>
            <w:tcW w:w="112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73.1 %</w:t>
            </w:r>
          </w:p>
        </w:tc>
        <w:tc>
          <w:tcPr>
            <w:tcW w:w="38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70.6 %</w:t>
            </w:r>
          </w:p>
        </w:tc>
        <w:tc>
          <w:tcPr>
            <w:tcW w:w="38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73.4 %</w:t>
            </w:r>
          </w:p>
        </w:tc>
        <w:tc>
          <w:tcPr>
            <w:tcW w:w="38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83.0 %</w:t>
            </w:r>
          </w:p>
        </w:tc>
        <w:tc>
          <w:tcPr>
            <w:tcW w:w="34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75.1 %</w:t>
            </w:r>
          </w:p>
        </w:tc>
        <w:tc>
          <w:tcPr>
            <w:tcW w:w="0" w:type="dxa"/>
            <w:vAlign w:val="bottom"/>
          </w:tcPr>
          <w:p>
            <w:pPr>
              <w:spacing w:after="0"/>
              <w:rPr>
                <w:sz w:val="1"/>
                <w:szCs w:val="1"/>
                <w:color w:val="auto"/>
              </w:rPr>
            </w:pPr>
          </w:p>
        </w:tc>
      </w:tr>
      <w:tr>
        <w:trPr>
          <w:trHeight w:val="169"/>
        </w:trPr>
        <w:tc>
          <w:tcPr>
            <w:tcW w:w="3480" w:type="dxa"/>
            <w:vAlign w:val="bottom"/>
          </w:tcPr>
          <w:p>
            <w:pPr>
              <w:ind w:left="20"/>
              <w:spacing w:after="0"/>
              <w:rPr>
                <w:sz w:val="20"/>
                <w:szCs w:val="20"/>
                <w:color w:val="auto"/>
              </w:rPr>
            </w:pPr>
            <w:r>
              <w:rPr>
                <w:rFonts w:ascii="Arial" w:cs="Arial" w:eastAsia="Arial" w:hAnsi="Arial"/>
                <w:sz w:val="13"/>
                <w:szCs w:val="13"/>
                <w:color w:val="auto"/>
              </w:rPr>
              <w:t>Average portable storage monthly rental rate</w:t>
            </w:r>
          </w:p>
        </w:tc>
        <w:tc>
          <w:tcPr>
            <w:tcW w:w="112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4"/>
              <w:spacing w:after="0"/>
              <w:rPr>
                <w:sz w:val="20"/>
                <w:szCs w:val="20"/>
                <w:color w:val="auto"/>
              </w:rPr>
            </w:pPr>
            <w:r>
              <w:rPr>
                <w:rFonts w:ascii="Arial" w:cs="Arial" w:eastAsia="Arial" w:hAnsi="Arial"/>
                <w:sz w:val="13"/>
                <w:szCs w:val="13"/>
                <w:color w:val="auto"/>
              </w:rPr>
              <w:t>146</w:t>
            </w:r>
          </w:p>
        </w:tc>
        <w:tc>
          <w:tcPr>
            <w:tcW w:w="38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4"/>
              <w:spacing w:after="0"/>
              <w:rPr>
                <w:sz w:val="20"/>
                <w:szCs w:val="20"/>
                <w:color w:val="auto"/>
              </w:rPr>
            </w:pPr>
            <w:r>
              <w:rPr>
                <w:rFonts w:ascii="Arial" w:cs="Arial" w:eastAsia="Arial" w:hAnsi="Arial"/>
                <w:sz w:val="13"/>
                <w:szCs w:val="13"/>
                <w:color w:val="auto"/>
              </w:rPr>
              <w:t>143</w:t>
            </w:r>
          </w:p>
        </w:tc>
        <w:tc>
          <w:tcPr>
            <w:tcW w:w="38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4"/>
              <w:spacing w:after="0"/>
              <w:rPr>
                <w:sz w:val="20"/>
                <w:szCs w:val="20"/>
                <w:color w:val="auto"/>
              </w:rPr>
            </w:pPr>
            <w:r>
              <w:rPr>
                <w:rFonts w:ascii="Arial" w:cs="Arial" w:eastAsia="Arial" w:hAnsi="Arial"/>
                <w:sz w:val="13"/>
                <w:szCs w:val="13"/>
                <w:color w:val="auto"/>
              </w:rPr>
              <w:t>145</w:t>
            </w:r>
          </w:p>
        </w:tc>
        <w:tc>
          <w:tcPr>
            <w:tcW w:w="38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4"/>
              <w:spacing w:after="0"/>
              <w:rPr>
                <w:sz w:val="20"/>
                <w:szCs w:val="20"/>
                <w:color w:val="auto"/>
              </w:rPr>
            </w:pPr>
            <w:r>
              <w:rPr>
                <w:rFonts w:ascii="Arial" w:cs="Arial" w:eastAsia="Arial" w:hAnsi="Arial"/>
                <w:sz w:val="13"/>
                <w:szCs w:val="13"/>
                <w:color w:val="auto"/>
              </w:rPr>
              <w:t>150</w:t>
            </w:r>
          </w:p>
        </w:tc>
        <w:tc>
          <w:tcPr>
            <w:tcW w:w="34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94"/>
              <w:spacing w:after="0"/>
              <w:rPr>
                <w:sz w:val="20"/>
                <w:szCs w:val="20"/>
                <w:color w:val="auto"/>
              </w:rPr>
            </w:pPr>
            <w:r>
              <w:rPr>
                <w:rFonts w:ascii="Arial" w:cs="Arial" w:eastAsia="Arial" w:hAnsi="Arial"/>
                <w:sz w:val="13"/>
                <w:szCs w:val="13"/>
                <w:color w:val="auto"/>
              </w:rPr>
              <w:t>146</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 Forma Comparison of Years ended December 31, 2021 and 2020</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NA Storage</w:t>
      </w:r>
    </w:p>
    <w:p>
      <w:pPr>
        <w:spacing w:after="0" w:line="47" w:lineRule="exact"/>
        <w:rPr>
          <w:sz w:val="20"/>
          <w:szCs w:val="20"/>
          <w:color w:val="auto"/>
        </w:rPr>
      </w:pPr>
    </w:p>
    <w:p>
      <w:pPr>
        <w:jc w:val="both"/>
        <w:ind w:firstLine="524"/>
        <w:spacing w:after="0" w:line="257" w:lineRule="auto"/>
        <w:rPr>
          <w:sz w:val="20"/>
          <w:szCs w:val="20"/>
          <w:color w:val="auto"/>
        </w:rPr>
      </w:pPr>
      <w:r>
        <w:rPr>
          <w:rFonts w:ascii="Arial" w:cs="Arial" w:eastAsia="Arial" w:hAnsi="Arial"/>
          <w:sz w:val="13"/>
          <w:szCs w:val="13"/>
          <w:b w:val="1"/>
          <w:bCs w:val="1"/>
          <w:color w:val="auto"/>
        </w:rPr>
        <w:t xml:space="preserve">Revenue: </w:t>
      </w:r>
      <w:r>
        <w:rPr>
          <w:rFonts w:ascii="Arial" w:cs="Arial" w:eastAsia="Arial" w:hAnsi="Arial"/>
          <w:sz w:val="13"/>
          <w:szCs w:val="13"/>
          <w:color w:val="auto"/>
        </w:rPr>
        <w:t>Total revenue increased $90.6 million, or 21.7%, to $508.8 million for the year ended December 31, 2021 from $418.2 million for the year ended December 31, 2020. Leasing</w:t>
      </w:r>
      <w:r>
        <w:rPr>
          <w:rFonts w:ascii="Arial" w:cs="Arial" w:eastAsia="Arial" w:hAnsi="Arial"/>
          <w:sz w:val="13"/>
          <w:szCs w:val="13"/>
          <w:b w:val="1"/>
          <w:bCs w:val="1"/>
          <w:color w:val="auto"/>
        </w:rPr>
        <w:t xml:space="preserve"> </w:t>
      </w:r>
      <w:r>
        <w:rPr>
          <w:rFonts w:ascii="Arial" w:cs="Arial" w:eastAsia="Arial" w:hAnsi="Arial"/>
          <w:sz w:val="13"/>
          <w:szCs w:val="13"/>
          <w:color w:val="auto"/>
        </w:rPr>
        <w:t>revenues for the year ended December 31, increased year-over-year by $73.7 million, or 23.5% to $387.6 million. The average number of portable storage units on rent increased 20,296 units, or 18.8% to 128,463 compared to 108,167 units in 2020. The increase is associated with year over year growth in the broader construction segment and continuous pricing optimization, as well as due to the impact of acquisitions closed in the third and fourth quarter of 2021.</w:t>
      </w:r>
    </w:p>
    <w:p>
      <w:pPr>
        <w:spacing w:after="0" w:line="59" w:lineRule="exact"/>
        <w:rPr>
          <w:sz w:val="20"/>
          <w:szCs w:val="20"/>
          <w:color w:val="auto"/>
        </w:rPr>
      </w:pPr>
    </w:p>
    <w:p>
      <w:pPr>
        <w:jc w:val="both"/>
        <w:ind w:firstLine="524"/>
        <w:spacing w:after="0" w:line="264" w:lineRule="auto"/>
        <w:rPr>
          <w:sz w:val="20"/>
          <w:szCs w:val="20"/>
          <w:color w:val="auto"/>
        </w:rPr>
      </w:pPr>
      <w:r>
        <w:rPr>
          <w:rFonts w:ascii="Arial" w:cs="Arial" w:eastAsia="Arial" w:hAnsi="Arial"/>
          <w:sz w:val="13"/>
          <w:szCs w:val="13"/>
          <w:b w:val="1"/>
          <w:bCs w:val="1"/>
          <w:color w:val="auto"/>
        </w:rPr>
        <w:t xml:space="preserve">Gross Profit: </w:t>
      </w:r>
      <w:r>
        <w:rPr>
          <w:rFonts w:ascii="Arial" w:cs="Arial" w:eastAsia="Arial" w:hAnsi="Arial"/>
          <w:sz w:val="13"/>
          <w:szCs w:val="13"/>
          <w:color w:val="auto"/>
        </w:rPr>
        <w:t>Gross profit increased $53.5 million, or 18.1%, for the year ended December 31, 2021 to $348.3 million from $294.8 million for the year ended December 31, 2020. This</w:t>
      </w:r>
      <w:r>
        <w:rPr>
          <w:rFonts w:ascii="Arial" w:cs="Arial" w:eastAsia="Arial" w:hAnsi="Arial"/>
          <w:sz w:val="13"/>
          <w:szCs w:val="13"/>
          <w:b w:val="1"/>
          <w:bCs w:val="1"/>
          <w:color w:val="auto"/>
        </w:rPr>
        <w:t xml:space="preserve"> </w:t>
      </w:r>
      <w:r>
        <w:rPr>
          <w:rFonts w:ascii="Arial" w:cs="Arial" w:eastAsia="Arial" w:hAnsi="Arial"/>
          <w:sz w:val="13"/>
          <w:szCs w:val="13"/>
          <w:color w:val="auto"/>
        </w:rPr>
        <w:t>gross profit increase was driven primarily by a $56.7 million, or 20.4%, year-over-year increase within leasing and an increase in delivery and installation gross profit of $2.3 million partially offset by a decrease of $0.3 million in sales.</w:t>
      </w:r>
    </w:p>
    <w:p>
      <w:pPr>
        <w:spacing w:after="0" w:line="53" w:lineRule="exact"/>
        <w:rPr>
          <w:sz w:val="20"/>
          <w:szCs w:val="20"/>
          <w:color w:val="auto"/>
        </w:rPr>
      </w:pPr>
    </w:p>
    <w:p>
      <w:pPr>
        <w:jc w:val="both"/>
        <w:ind w:firstLine="524"/>
        <w:spacing w:after="0" w:line="264" w:lineRule="auto"/>
        <w:rPr>
          <w:sz w:val="20"/>
          <w:szCs w:val="20"/>
          <w:color w:val="auto"/>
        </w:rPr>
      </w:pPr>
      <w:r>
        <w:rPr>
          <w:rFonts w:ascii="Arial" w:cs="Arial" w:eastAsia="Arial" w:hAnsi="Arial"/>
          <w:sz w:val="13"/>
          <w:szCs w:val="13"/>
          <w:b w:val="1"/>
          <w:bCs w:val="1"/>
          <w:color w:val="auto"/>
        </w:rPr>
        <w:t xml:space="preserve">Adjusted EBITDA: </w:t>
      </w:r>
      <w:r>
        <w:rPr>
          <w:rFonts w:ascii="Arial" w:cs="Arial" w:eastAsia="Arial" w:hAnsi="Arial"/>
          <w:sz w:val="13"/>
          <w:szCs w:val="13"/>
          <w:color w:val="auto"/>
        </w:rPr>
        <w:t>Adjusted EBITDA increased $42.0 million, or 22.8%, to $226.6 million for the year ended December 31, 2021 from $184.6 million for the year ended December 31,</w:t>
      </w:r>
      <w:r>
        <w:rPr>
          <w:rFonts w:ascii="Arial" w:cs="Arial" w:eastAsia="Arial" w:hAnsi="Arial"/>
          <w:sz w:val="13"/>
          <w:szCs w:val="13"/>
          <w:b w:val="1"/>
          <w:bCs w:val="1"/>
          <w:color w:val="auto"/>
        </w:rPr>
        <w:t xml:space="preserve"> </w:t>
      </w:r>
      <w:r>
        <w:rPr>
          <w:rFonts w:ascii="Arial" w:cs="Arial" w:eastAsia="Arial" w:hAnsi="Arial"/>
          <w:sz w:val="13"/>
          <w:szCs w:val="13"/>
          <w:color w:val="auto"/>
        </w:rPr>
        <w:t>2020 and the margin expanded to 44.5% from 44.1%. Excluding integration and stock-based compensation, SG&amp;A expense increased due to increased costs for personnel of approximately $6.9 million and $1.0 million due to increased travel.</w:t>
      </w:r>
    </w:p>
    <w:p>
      <w:pPr>
        <w:spacing w:after="0" w:line="53" w:lineRule="exact"/>
        <w:rPr>
          <w:sz w:val="20"/>
          <w:szCs w:val="20"/>
          <w:color w:val="auto"/>
        </w:rPr>
      </w:pPr>
    </w:p>
    <w:p>
      <w:pPr>
        <w:jc w:val="both"/>
        <w:ind w:firstLine="524"/>
        <w:spacing w:after="0" w:line="264" w:lineRule="auto"/>
        <w:rPr>
          <w:sz w:val="20"/>
          <w:szCs w:val="20"/>
          <w:color w:val="auto"/>
        </w:rPr>
      </w:pPr>
      <w:r>
        <w:rPr>
          <w:rFonts w:ascii="Arial" w:cs="Arial" w:eastAsia="Arial" w:hAnsi="Arial"/>
          <w:sz w:val="13"/>
          <w:szCs w:val="13"/>
          <w:b w:val="1"/>
          <w:bCs w:val="1"/>
          <w:color w:val="auto"/>
        </w:rPr>
        <w:t xml:space="preserve">Capex for Rental Equipment: </w:t>
      </w:r>
      <w:r>
        <w:rPr>
          <w:rFonts w:ascii="Arial" w:cs="Arial" w:eastAsia="Arial" w:hAnsi="Arial"/>
          <w:sz w:val="13"/>
          <w:szCs w:val="13"/>
          <w:color w:val="auto"/>
        </w:rPr>
        <w:t>Purchases of rental equipment and refurbishments of $45.4 million for the year ended December 31, 2021 were $18.0 million higher than for the year</w:t>
      </w:r>
      <w:r>
        <w:rPr>
          <w:rFonts w:ascii="Arial" w:cs="Arial" w:eastAsia="Arial" w:hAnsi="Arial"/>
          <w:sz w:val="13"/>
          <w:szCs w:val="13"/>
          <w:b w:val="1"/>
          <w:bCs w:val="1"/>
          <w:color w:val="auto"/>
        </w:rPr>
        <w:t xml:space="preserve"> </w:t>
      </w:r>
      <w:r>
        <w:rPr>
          <w:rFonts w:ascii="Arial" w:cs="Arial" w:eastAsia="Arial" w:hAnsi="Arial"/>
          <w:sz w:val="13"/>
          <w:szCs w:val="13"/>
          <w:color w:val="auto"/>
        </w:rPr>
        <w:t>ended December 31, 2020. Rental fleet expenditures were reduced significantly during the year ended December 31, 2020 in response to COVID-19, especially after the first quarter of 2020, and were primarily to meet demand for specific products, largely ground level offices.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07" w:right="319" w:bottom="1440" w:gutter="0" w:footer="0" w:header="0"/>
        </w:sectPr>
      </w:pPr>
    </w:p>
    <w:bookmarkStart w:id="60" w:name="page61"/>
    <w:bookmarkEnd w:id="60"/>
    <w:p>
      <w:pPr>
        <w:spacing w:after="0"/>
        <w:rPr>
          <w:sz w:val="20"/>
          <w:szCs w:val="20"/>
          <w:color w:val="auto"/>
        </w:rPr>
      </w:pPr>
      <w:r>
        <w:rPr>
          <w:rFonts w:ascii="Arial" w:cs="Arial" w:eastAsia="Arial" w:hAnsi="Arial"/>
          <w:sz w:val="15"/>
          <w:szCs w:val="15"/>
          <w:b w:val="1"/>
          <w:bCs w:val="1"/>
          <w:color w:val="auto"/>
        </w:rPr>
        <w:t>UK Storage - Quarterly Results</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Pro Forma Quarterly Results for the year ended December 31, 2021:</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8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 except for units on rent and</w:t>
            </w:r>
          </w:p>
        </w:tc>
        <w:tc>
          <w:tcPr>
            <w:tcW w:w="1540" w:type="dxa"/>
            <w:vAlign w:val="bottom"/>
            <w:vMerge w:val="restart"/>
            <w:shd w:val="clear" w:color="auto" w:fill="1D2758"/>
          </w:tcPr>
          <w:p>
            <w:pPr>
              <w:jc w:val="right"/>
              <w:spacing w:after="0"/>
              <w:rPr>
                <w:sz w:val="20"/>
                <w:szCs w:val="20"/>
                <w:color w:val="auto"/>
              </w:rPr>
            </w:pPr>
            <w:r>
              <w:rPr>
                <w:rFonts w:ascii="Arial" w:cs="Arial" w:eastAsia="Arial" w:hAnsi="Arial"/>
                <w:sz w:val="13"/>
                <w:szCs w:val="13"/>
                <w:b w:val="1"/>
                <w:bCs w:val="1"/>
                <w:color w:val="FFFFFF"/>
              </w:rPr>
              <w:t>Q1</w:t>
            </w:r>
          </w:p>
        </w:tc>
        <w:tc>
          <w:tcPr>
            <w:tcW w:w="620" w:type="dxa"/>
            <w:vAlign w:val="bottom"/>
            <w:shd w:val="clear" w:color="auto" w:fill="1D2758"/>
          </w:tcPr>
          <w:p>
            <w:pPr>
              <w:spacing w:after="0"/>
              <w:rPr>
                <w:sz w:val="13"/>
                <w:szCs w:val="13"/>
                <w:color w:val="auto"/>
              </w:rPr>
            </w:pPr>
          </w:p>
        </w:tc>
        <w:tc>
          <w:tcPr>
            <w:tcW w:w="800" w:type="dxa"/>
            <w:vAlign w:val="bottom"/>
            <w:vMerge w:val="restart"/>
            <w:shd w:val="clear" w:color="auto" w:fill="1D2758"/>
          </w:tcPr>
          <w:p>
            <w:pPr>
              <w:jc w:val="right"/>
              <w:spacing w:after="0"/>
              <w:rPr>
                <w:sz w:val="20"/>
                <w:szCs w:val="20"/>
                <w:color w:val="auto"/>
              </w:rPr>
            </w:pPr>
            <w:r>
              <w:rPr>
                <w:rFonts w:ascii="Arial" w:cs="Arial" w:eastAsia="Arial" w:hAnsi="Arial"/>
                <w:sz w:val="13"/>
                <w:szCs w:val="13"/>
                <w:b w:val="1"/>
                <w:bCs w:val="1"/>
                <w:color w:val="FFFFFF"/>
              </w:rPr>
              <w:t>Q2</w:t>
            </w:r>
          </w:p>
        </w:tc>
        <w:tc>
          <w:tcPr>
            <w:tcW w:w="620" w:type="dxa"/>
            <w:vAlign w:val="bottom"/>
            <w:shd w:val="clear" w:color="auto" w:fill="1D2758"/>
          </w:tcPr>
          <w:p>
            <w:pPr>
              <w:spacing w:after="0"/>
              <w:rPr>
                <w:sz w:val="13"/>
                <w:szCs w:val="13"/>
                <w:color w:val="auto"/>
              </w:rPr>
            </w:pPr>
          </w:p>
        </w:tc>
        <w:tc>
          <w:tcPr>
            <w:tcW w:w="380" w:type="dxa"/>
            <w:vAlign w:val="bottom"/>
            <w:shd w:val="clear" w:color="auto" w:fill="1D2758"/>
          </w:tcPr>
          <w:p>
            <w:pPr>
              <w:spacing w:after="0"/>
              <w:rPr>
                <w:sz w:val="13"/>
                <w:szCs w:val="13"/>
                <w:color w:val="auto"/>
              </w:rPr>
            </w:pPr>
          </w:p>
        </w:tc>
        <w:tc>
          <w:tcPr>
            <w:tcW w:w="1040" w:type="dxa"/>
            <w:vAlign w:val="bottom"/>
            <w:vMerge w:val="restart"/>
            <w:shd w:val="clear" w:color="auto" w:fill="1D2758"/>
          </w:tcPr>
          <w:p>
            <w:pPr>
              <w:jc w:val="right"/>
              <w:ind w:right="554"/>
              <w:spacing w:after="0"/>
              <w:rPr>
                <w:sz w:val="20"/>
                <w:szCs w:val="20"/>
                <w:color w:val="auto"/>
              </w:rPr>
            </w:pPr>
            <w:r>
              <w:rPr>
                <w:rFonts w:ascii="Arial" w:cs="Arial" w:eastAsia="Arial" w:hAnsi="Arial"/>
                <w:sz w:val="13"/>
                <w:szCs w:val="13"/>
                <w:b w:val="1"/>
                <w:bCs w:val="1"/>
                <w:color w:val="FFFFFF"/>
              </w:rPr>
              <w:t>Q3</w:t>
            </w:r>
          </w:p>
        </w:tc>
        <w:tc>
          <w:tcPr>
            <w:tcW w:w="380" w:type="dxa"/>
            <w:vAlign w:val="bottom"/>
            <w:shd w:val="clear" w:color="auto" w:fill="1D2758"/>
          </w:tcPr>
          <w:p>
            <w:pPr>
              <w:spacing w:after="0"/>
              <w:rPr>
                <w:sz w:val="13"/>
                <w:szCs w:val="13"/>
                <w:color w:val="auto"/>
              </w:rPr>
            </w:pPr>
          </w:p>
        </w:tc>
        <w:tc>
          <w:tcPr>
            <w:tcW w:w="1040" w:type="dxa"/>
            <w:vAlign w:val="bottom"/>
            <w:vMerge w:val="restart"/>
            <w:shd w:val="clear" w:color="auto" w:fill="1D2758"/>
          </w:tcPr>
          <w:p>
            <w:pPr>
              <w:jc w:val="right"/>
              <w:ind w:right="554"/>
              <w:spacing w:after="0"/>
              <w:rPr>
                <w:sz w:val="20"/>
                <w:szCs w:val="20"/>
                <w:color w:val="auto"/>
              </w:rPr>
            </w:pPr>
            <w:r>
              <w:rPr>
                <w:rFonts w:ascii="Arial" w:cs="Arial" w:eastAsia="Arial" w:hAnsi="Arial"/>
                <w:sz w:val="13"/>
                <w:szCs w:val="13"/>
                <w:b w:val="1"/>
                <w:bCs w:val="1"/>
                <w:color w:val="FFFFFF"/>
              </w:rPr>
              <w:t>Q4</w:t>
            </w:r>
          </w:p>
        </w:tc>
        <w:tc>
          <w:tcPr>
            <w:tcW w:w="340" w:type="dxa"/>
            <w:vAlign w:val="bottom"/>
            <w:shd w:val="clear" w:color="auto" w:fill="1D2758"/>
          </w:tcPr>
          <w:p>
            <w:pPr>
              <w:spacing w:after="0"/>
              <w:rPr>
                <w:sz w:val="13"/>
                <w:szCs w:val="13"/>
                <w:color w:val="auto"/>
              </w:rPr>
            </w:pPr>
          </w:p>
        </w:tc>
        <w:tc>
          <w:tcPr>
            <w:tcW w:w="1040" w:type="dxa"/>
            <w:vAlign w:val="bottom"/>
            <w:vMerge w:val="restart"/>
            <w:shd w:val="clear" w:color="auto" w:fill="1D2758"/>
          </w:tcPr>
          <w:p>
            <w:pPr>
              <w:jc w:val="right"/>
              <w:ind w:right="454"/>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75"/>
        </w:trPr>
        <w:tc>
          <w:tcPr>
            <w:tcW w:w="348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monthly rental rate)</w:t>
            </w:r>
          </w:p>
        </w:tc>
        <w:tc>
          <w:tcPr>
            <w:tcW w:w="1540" w:type="dxa"/>
            <w:vAlign w:val="bottom"/>
            <w:vMerge w:val="continue"/>
            <w:shd w:val="clear" w:color="auto" w:fill="1D2758"/>
          </w:tcPr>
          <w:p>
            <w:pPr>
              <w:spacing w:after="0"/>
              <w:rPr>
                <w:sz w:val="15"/>
                <w:szCs w:val="15"/>
                <w:color w:val="auto"/>
              </w:rPr>
            </w:pPr>
          </w:p>
        </w:tc>
        <w:tc>
          <w:tcPr>
            <w:tcW w:w="620" w:type="dxa"/>
            <w:vAlign w:val="bottom"/>
            <w:shd w:val="clear" w:color="auto" w:fill="1D2758"/>
          </w:tcPr>
          <w:p>
            <w:pPr>
              <w:spacing w:after="0"/>
              <w:rPr>
                <w:sz w:val="15"/>
                <w:szCs w:val="15"/>
                <w:color w:val="auto"/>
              </w:rPr>
            </w:pPr>
          </w:p>
        </w:tc>
        <w:tc>
          <w:tcPr>
            <w:tcW w:w="800" w:type="dxa"/>
            <w:vAlign w:val="bottom"/>
            <w:vMerge w:val="continue"/>
            <w:shd w:val="clear" w:color="auto" w:fill="1D2758"/>
          </w:tcPr>
          <w:p>
            <w:pPr>
              <w:spacing w:after="0"/>
              <w:rPr>
                <w:sz w:val="15"/>
                <w:szCs w:val="15"/>
                <w:color w:val="auto"/>
              </w:rPr>
            </w:pPr>
          </w:p>
        </w:tc>
        <w:tc>
          <w:tcPr>
            <w:tcW w:w="620" w:type="dxa"/>
            <w:vAlign w:val="bottom"/>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34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80" w:type="dxa"/>
            <w:vAlign w:val="bottom"/>
            <w:shd w:val="clear" w:color="auto" w:fill="DBDBDB"/>
          </w:tcPr>
          <w:p>
            <w:pPr>
              <w:ind w:left="20"/>
              <w:spacing w:after="0"/>
              <w:rPr>
                <w:sz w:val="20"/>
                <w:szCs w:val="20"/>
                <w:color w:val="auto"/>
              </w:rPr>
            </w:pPr>
            <w:r>
              <w:rPr>
                <w:rFonts w:ascii="Arial" w:cs="Arial" w:eastAsia="Arial" w:hAnsi="Arial"/>
                <w:sz w:val="13"/>
                <w:szCs w:val="13"/>
                <w:color w:val="auto"/>
              </w:rPr>
              <w:t>Revenue</w:t>
            </w:r>
          </w:p>
        </w:tc>
        <w:tc>
          <w:tcPr>
            <w:tcW w:w="1540" w:type="dxa"/>
            <w:vAlign w:val="bottom"/>
            <w:shd w:val="clear" w:color="auto" w:fill="DBDBDB"/>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27,007</w:t>
            </w:r>
          </w:p>
        </w:tc>
        <w:tc>
          <w:tcPr>
            <w:tcW w:w="800" w:type="dxa"/>
            <w:vAlign w:val="bottom"/>
            <w:shd w:val="clear" w:color="auto" w:fill="DBDBDB"/>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28,432</w:t>
            </w:r>
          </w:p>
        </w:tc>
        <w:tc>
          <w:tcPr>
            <w:tcW w:w="380" w:type="dxa"/>
            <w:vAlign w:val="bottom"/>
            <w:shd w:val="clear" w:color="auto" w:fill="DBDBDB"/>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28,099</w:t>
            </w:r>
          </w:p>
        </w:tc>
        <w:tc>
          <w:tcPr>
            <w:tcW w:w="380" w:type="dxa"/>
            <w:vAlign w:val="bottom"/>
            <w:shd w:val="clear" w:color="auto" w:fill="DBDBDB"/>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27,487</w:t>
            </w:r>
          </w:p>
        </w:tc>
        <w:tc>
          <w:tcPr>
            <w:tcW w:w="3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111,025</w:t>
            </w:r>
          </w:p>
        </w:tc>
        <w:tc>
          <w:tcPr>
            <w:tcW w:w="0" w:type="dxa"/>
            <w:vAlign w:val="bottom"/>
          </w:tcPr>
          <w:p>
            <w:pPr>
              <w:spacing w:after="0"/>
              <w:rPr>
                <w:sz w:val="1"/>
                <w:szCs w:val="1"/>
                <w:color w:val="auto"/>
              </w:rPr>
            </w:pPr>
          </w:p>
        </w:tc>
      </w:tr>
      <w:tr>
        <w:trPr>
          <w:trHeight w:val="172"/>
        </w:trPr>
        <w:tc>
          <w:tcPr>
            <w:tcW w:w="3480" w:type="dxa"/>
            <w:vAlign w:val="bottom"/>
          </w:tcPr>
          <w:p>
            <w:pPr>
              <w:ind w:left="20"/>
              <w:spacing w:after="0"/>
              <w:rPr>
                <w:sz w:val="20"/>
                <w:szCs w:val="20"/>
                <w:color w:val="auto"/>
              </w:rPr>
            </w:pPr>
            <w:r>
              <w:rPr>
                <w:rFonts w:ascii="Arial" w:cs="Arial" w:eastAsia="Arial" w:hAnsi="Arial"/>
                <w:sz w:val="13"/>
                <w:szCs w:val="13"/>
                <w:color w:val="auto"/>
              </w:rPr>
              <w:t>Gross profit</w:t>
            </w:r>
          </w:p>
        </w:tc>
        <w:tc>
          <w:tcPr>
            <w:tcW w:w="1540" w:type="dxa"/>
            <w:vAlign w:val="bottom"/>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34"/>
              <w:spacing w:after="0"/>
              <w:rPr>
                <w:sz w:val="20"/>
                <w:szCs w:val="20"/>
                <w:color w:val="auto"/>
              </w:rPr>
            </w:pPr>
            <w:r>
              <w:rPr>
                <w:rFonts w:ascii="Arial" w:cs="Arial" w:eastAsia="Arial" w:hAnsi="Arial"/>
                <w:sz w:val="13"/>
                <w:szCs w:val="13"/>
                <w:color w:val="auto"/>
              </w:rPr>
              <w:t>16,493</w:t>
            </w:r>
          </w:p>
        </w:tc>
        <w:tc>
          <w:tcPr>
            <w:tcW w:w="800" w:type="dxa"/>
            <w:vAlign w:val="bottom"/>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34"/>
              <w:spacing w:after="0"/>
              <w:rPr>
                <w:sz w:val="20"/>
                <w:szCs w:val="20"/>
                <w:color w:val="auto"/>
              </w:rPr>
            </w:pPr>
            <w:r>
              <w:rPr>
                <w:rFonts w:ascii="Arial" w:cs="Arial" w:eastAsia="Arial" w:hAnsi="Arial"/>
                <w:sz w:val="13"/>
                <w:szCs w:val="13"/>
                <w:color w:val="auto"/>
              </w:rPr>
              <w:t>17,937</w:t>
            </w:r>
          </w:p>
        </w:tc>
        <w:tc>
          <w:tcPr>
            <w:tcW w:w="38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4"/>
              <w:spacing w:after="0"/>
              <w:rPr>
                <w:sz w:val="20"/>
                <w:szCs w:val="20"/>
                <w:color w:val="auto"/>
              </w:rPr>
            </w:pPr>
            <w:r>
              <w:rPr>
                <w:rFonts w:ascii="Arial" w:cs="Arial" w:eastAsia="Arial" w:hAnsi="Arial"/>
                <w:sz w:val="13"/>
                <w:szCs w:val="13"/>
                <w:color w:val="auto"/>
              </w:rPr>
              <w:t>18,876</w:t>
            </w:r>
          </w:p>
        </w:tc>
        <w:tc>
          <w:tcPr>
            <w:tcW w:w="38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4"/>
              <w:spacing w:after="0"/>
              <w:rPr>
                <w:sz w:val="20"/>
                <w:szCs w:val="20"/>
                <w:color w:val="auto"/>
              </w:rPr>
            </w:pPr>
            <w:r>
              <w:rPr>
                <w:rFonts w:ascii="Arial" w:cs="Arial" w:eastAsia="Arial" w:hAnsi="Arial"/>
                <w:sz w:val="13"/>
                <w:szCs w:val="13"/>
                <w:color w:val="auto"/>
              </w:rPr>
              <w:t>17,936</w:t>
            </w:r>
          </w:p>
        </w:tc>
        <w:tc>
          <w:tcPr>
            <w:tcW w:w="34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94"/>
              <w:spacing w:after="0"/>
              <w:rPr>
                <w:sz w:val="20"/>
                <w:szCs w:val="20"/>
                <w:color w:val="auto"/>
              </w:rPr>
            </w:pPr>
            <w:r>
              <w:rPr>
                <w:rFonts w:ascii="Arial" w:cs="Arial" w:eastAsia="Arial" w:hAnsi="Arial"/>
                <w:sz w:val="13"/>
                <w:szCs w:val="13"/>
                <w:color w:val="auto"/>
              </w:rPr>
              <w:t>71,242</w:t>
            </w:r>
          </w:p>
        </w:tc>
        <w:tc>
          <w:tcPr>
            <w:tcW w:w="0" w:type="dxa"/>
            <w:vAlign w:val="bottom"/>
          </w:tcPr>
          <w:p>
            <w:pPr>
              <w:spacing w:after="0"/>
              <w:rPr>
                <w:sz w:val="1"/>
                <w:szCs w:val="1"/>
                <w:color w:val="auto"/>
              </w:rPr>
            </w:pPr>
          </w:p>
        </w:tc>
      </w:tr>
      <w:tr>
        <w:trPr>
          <w:trHeight w:val="178"/>
        </w:trPr>
        <w:tc>
          <w:tcPr>
            <w:tcW w:w="3480" w:type="dxa"/>
            <w:vAlign w:val="bottom"/>
            <w:shd w:val="clear" w:color="auto" w:fill="DBDBDB"/>
          </w:tcPr>
          <w:p>
            <w:pPr>
              <w:ind w:left="20"/>
              <w:spacing w:after="0"/>
              <w:rPr>
                <w:sz w:val="20"/>
                <w:szCs w:val="20"/>
                <w:color w:val="auto"/>
              </w:rPr>
            </w:pPr>
            <w:r>
              <w:rPr>
                <w:rFonts w:ascii="Arial" w:cs="Arial" w:eastAsia="Arial" w:hAnsi="Arial"/>
                <w:sz w:val="13"/>
                <w:szCs w:val="13"/>
                <w:color w:val="auto"/>
              </w:rPr>
              <w:t>Adjusted EBITDA</w:t>
            </w:r>
          </w:p>
        </w:tc>
        <w:tc>
          <w:tcPr>
            <w:tcW w:w="1540" w:type="dxa"/>
            <w:vAlign w:val="bottom"/>
            <w:shd w:val="clear" w:color="auto" w:fill="DBDBDB"/>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11,064</w:t>
            </w:r>
          </w:p>
        </w:tc>
        <w:tc>
          <w:tcPr>
            <w:tcW w:w="800" w:type="dxa"/>
            <w:vAlign w:val="bottom"/>
            <w:shd w:val="clear" w:color="auto" w:fill="DBDBDB"/>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12,328</w:t>
            </w:r>
          </w:p>
        </w:tc>
        <w:tc>
          <w:tcPr>
            <w:tcW w:w="380" w:type="dxa"/>
            <w:vAlign w:val="bottom"/>
            <w:shd w:val="clear" w:color="auto" w:fill="DBDBDB"/>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13,255</w:t>
            </w:r>
          </w:p>
        </w:tc>
        <w:tc>
          <w:tcPr>
            <w:tcW w:w="380" w:type="dxa"/>
            <w:vAlign w:val="bottom"/>
            <w:shd w:val="clear" w:color="auto" w:fill="DBDBDB"/>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12,392</w:t>
            </w:r>
          </w:p>
        </w:tc>
        <w:tc>
          <w:tcPr>
            <w:tcW w:w="3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49,039</w:t>
            </w:r>
          </w:p>
        </w:tc>
        <w:tc>
          <w:tcPr>
            <w:tcW w:w="0" w:type="dxa"/>
            <w:vAlign w:val="bottom"/>
          </w:tcPr>
          <w:p>
            <w:pPr>
              <w:spacing w:after="0"/>
              <w:rPr>
                <w:sz w:val="1"/>
                <w:szCs w:val="1"/>
                <w:color w:val="auto"/>
              </w:rPr>
            </w:pPr>
          </w:p>
        </w:tc>
      </w:tr>
      <w:tr>
        <w:trPr>
          <w:trHeight w:val="172"/>
        </w:trPr>
        <w:tc>
          <w:tcPr>
            <w:tcW w:w="3480" w:type="dxa"/>
            <w:vAlign w:val="bottom"/>
          </w:tcPr>
          <w:p>
            <w:pPr>
              <w:ind w:left="20"/>
              <w:spacing w:after="0"/>
              <w:rPr>
                <w:sz w:val="20"/>
                <w:szCs w:val="20"/>
                <w:color w:val="auto"/>
              </w:rPr>
            </w:pPr>
            <w:r>
              <w:rPr>
                <w:rFonts w:ascii="Arial" w:cs="Arial" w:eastAsia="Arial" w:hAnsi="Arial"/>
                <w:sz w:val="13"/>
                <w:szCs w:val="13"/>
                <w:color w:val="auto"/>
              </w:rPr>
              <w:t>Capex for rental equipment</w:t>
            </w:r>
          </w:p>
        </w:tc>
        <w:tc>
          <w:tcPr>
            <w:tcW w:w="1540" w:type="dxa"/>
            <w:vAlign w:val="bottom"/>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34"/>
              <w:spacing w:after="0"/>
              <w:rPr>
                <w:sz w:val="20"/>
                <w:szCs w:val="20"/>
                <w:color w:val="auto"/>
              </w:rPr>
            </w:pPr>
            <w:r>
              <w:rPr>
                <w:rFonts w:ascii="Arial" w:cs="Arial" w:eastAsia="Arial" w:hAnsi="Arial"/>
                <w:sz w:val="13"/>
                <w:szCs w:val="13"/>
                <w:color w:val="auto"/>
              </w:rPr>
              <w:t>6,770</w:t>
            </w:r>
          </w:p>
        </w:tc>
        <w:tc>
          <w:tcPr>
            <w:tcW w:w="800" w:type="dxa"/>
            <w:vAlign w:val="bottom"/>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34"/>
              <w:spacing w:after="0"/>
              <w:rPr>
                <w:sz w:val="20"/>
                <w:szCs w:val="20"/>
                <w:color w:val="auto"/>
              </w:rPr>
            </w:pPr>
            <w:r>
              <w:rPr>
                <w:rFonts w:ascii="Arial" w:cs="Arial" w:eastAsia="Arial" w:hAnsi="Arial"/>
                <w:sz w:val="13"/>
                <w:szCs w:val="13"/>
                <w:color w:val="auto"/>
              </w:rPr>
              <w:t>4,226</w:t>
            </w:r>
          </w:p>
        </w:tc>
        <w:tc>
          <w:tcPr>
            <w:tcW w:w="38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4"/>
              <w:spacing w:after="0"/>
              <w:rPr>
                <w:sz w:val="20"/>
                <w:szCs w:val="20"/>
                <w:color w:val="auto"/>
              </w:rPr>
            </w:pPr>
            <w:r>
              <w:rPr>
                <w:rFonts w:ascii="Arial" w:cs="Arial" w:eastAsia="Arial" w:hAnsi="Arial"/>
                <w:sz w:val="13"/>
                <w:szCs w:val="13"/>
                <w:color w:val="auto"/>
              </w:rPr>
              <w:t>11,649</w:t>
            </w:r>
          </w:p>
        </w:tc>
        <w:tc>
          <w:tcPr>
            <w:tcW w:w="38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4"/>
              <w:spacing w:after="0"/>
              <w:rPr>
                <w:sz w:val="20"/>
                <w:szCs w:val="20"/>
                <w:color w:val="auto"/>
              </w:rPr>
            </w:pPr>
            <w:r>
              <w:rPr>
                <w:rFonts w:ascii="Arial" w:cs="Arial" w:eastAsia="Arial" w:hAnsi="Arial"/>
                <w:sz w:val="13"/>
                <w:szCs w:val="13"/>
                <w:color w:val="auto"/>
              </w:rPr>
              <w:t>5,185</w:t>
            </w:r>
          </w:p>
        </w:tc>
        <w:tc>
          <w:tcPr>
            <w:tcW w:w="34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94"/>
              <w:spacing w:after="0"/>
              <w:rPr>
                <w:sz w:val="20"/>
                <w:szCs w:val="20"/>
                <w:color w:val="auto"/>
              </w:rPr>
            </w:pPr>
            <w:r>
              <w:rPr>
                <w:rFonts w:ascii="Arial" w:cs="Arial" w:eastAsia="Arial" w:hAnsi="Arial"/>
                <w:sz w:val="13"/>
                <w:szCs w:val="13"/>
                <w:color w:val="auto"/>
              </w:rPr>
              <w:t>27,830</w:t>
            </w:r>
          </w:p>
        </w:tc>
        <w:tc>
          <w:tcPr>
            <w:tcW w:w="0" w:type="dxa"/>
            <w:vAlign w:val="bottom"/>
          </w:tcPr>
          <w:p>
            <w:pPr>
              <w:spacing w:after="0"/>
              <w:rPr>
                <w:sz w:val="1"/>
                <w:szCs w:val="1"/>
                <w:color w:val="auto"/>
              </w:rPr>
            </w:pPr>
          </w:p>
        </w:tc>
      </w:tr>
      <w:tr>
        <w:trPr>
          <w:trHeight w:val="178"/>
        </w:trPr>
        <w:tc>
          <w:tcPr>
            <w:tcW w:w="3480" w:type="dxa"/>
            <w:vAlign w:val="bottom"/>
            <w:shd w:val="clear" w:color="auto" w:fill="DBDBDB"/>
          </w:tcPr>
          <w:p>
            <w:pPr>
              <w:ind w:left="20"/>
              <w:spacing w:after="0"/>
              <w:rPr>
                <w:sz w:val="20"/>
                <w:szCs w:val="20"/>
                <w:color w:val="auto"/>
              </w:rPr>
            </w:pPr>
            <w:r>
              <w:rPr>
                <w:rFonts w:ascii="Arial" w:cs="Arial" w:eastAsia="Arial" w:hAnsi="Arial"/>
                <w:sz w:val="13"/>
                <w:szCs w:val="13"/>
                <w:color w:val="auto"/>
              </w:rPr>
              <w:t>Average modular space units on rent</w:t>
            </w:r>
          </w:p>
        </w:tc>
        <w:tc>
          <w:tcPr>
            <w:tcW w:w="1540" w:type="dxa"/>
            <w:vAlign w:val="bottom"/>
            <w:shd w:val="clear" w:color="auto" w:fill="DBDBDB"/>
          </w:tcPr>
          <w:p>
            <w:pPr>
              <w:spacing w:after="0"/>
              <w:rPr>
                <w:sz w:val="15"/>
                <w:szCs w:val="15"/>
                <w:color w:val="auto"/>
              </w:rPr>
            </w:pPr>
          </w:p>
        </w:tc>
        <w:tc>
          <w:tcPr>
            <w:tcW w:w="62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9,115</w:t>
            </w:r>
          </w:p>
        </w:tc>
        <w:tc>
          <w:tcPr>
            <w:tcW w:w="800" w:type="dxa"/>
            <w:vAlign w:val="bottom"/>
            <w:shd w:val="clear" w:color="auto" w:fill="DBDBDB"/>
          </w:tcPr>
          <w:p>
            <w:pPr>
              <w:spacing w:after="0"/>
              <w:rPr>
                <w:sz w:val="15"/>
                <w:szCs w:val="15"/>
                <w:color w:val="auto"/>
              </w:rPr>
            </w:pPr>
          </w:p>
        </w:tc>
        <w:tc>
          <w:tcPr>
            <w:tcW w:w="62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9,354</w:t>
            </w:r>
          </w:p>
        </w:tc>
        <w:tc>
          <w:tcPr>
            <w:tcW w:w="380" w:type="dxa"/>
            <w:vAlign w:val="bottom"/>
            <w:shd w:val="clear" w:color="auto" w:fill="DBDBDB"/>
          </w:tcPr>
          <w:p>
            <w:pPr>
              <w:spacing w:after="0"/>
              <w:rPr>
                <w:sz w:val="15"/>
                <w:szCs w:val="15"/>
                <w:color w:val="auto"/>
              </w:rPr>
            </w:pPr>
          </w:p>
        </w:tc>
        <w:tc>
          <w:tcPr>
            <w:tcW w:w="10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9,298</w:t>
            </w:r>
          </w:p>
        </w:tc>
        <w:tc>
          <w:tcPr>
            <w:tcW w:w="380" w:type="dxa"/>
            <w:vAlign w:val="bottom"/>
            <w:shd w:val="clear" w:color="auto" w:fill="DBDBDB"/>
          </w:tcPr>
          <w:p>
            <w:pPr>
              <w:spacing w:after="0"/>
              <w:rPr>
                <w:sz w:val="15"/>
                <w:szCs w:val="15"/>
                <w:color w:val="auto"/>
              </w:rPr>
            </w:pPr>
          </w:p>
        </w:tc>
        <w:tc>
          <w:tcPr>
            <w:tcW w:w="10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8,627</w:t>
            </w:r>
          </w:p>
        </w:tc>
        <w:tc>
          <w:tcPr>
            <w:tcW w:w="340" w:type="dxa"/>
            <w:vAlign w:val="bottom"/>
            <w:shd w:val="clear" w:color="auto" w:fill="DBDBDB"/>
          </w:tcPr>
          <w:p>
            <w:pPr>
              <w:spacing w:after="0"/>
              <w:rPr>
                <w:sz w:val="15"/>
                <w:szCs w:val="15"/>
                <w:color w:val="auto"/>
              </w:rPr>
            </w:pPr>
          </w:p>
        </w:tc>
        <w:tc>
          <w:tcPr>
            <w:tcW w:w="10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9,098</w:t>
            </w:r>
          </w:p>
        </w:tc>
        <w:tc>
          <w:tcPr>
            <w:tcW w:w="0" w:type="dxa"/>
            <w:vAlign w:val="bottom"/>
          </w:tcPr>
          <w:p>
            <w:pPr>
              <w:spacing w:after="0"/>
              <w:rPr>
                <w:sz w:val="1"/>
                <w:szCs w:val="1"/>
                <w:color w:val="auto"/>
              </w:rPr>
            </w:pPr>
          </w:p>
        </w:tc>
      </w:tr>
      <w:tr>
        <w:trPr>
          <w:trHeight w:val="172"/>
        </w:trPr>
        <w:tc>
          <w:tcPr>
            <w:tcW w:w="3480" w:type="dxa"/>
            <w:vAlign w:val="bottom"/>
          </w:tcPr>
          <w:p>
            <w:pPr>
              <w:ind w:left="20"/>
              <w:spacing w:after="0"/>
              <w:rPr>
                <w:sz w:val="20"/>
                <w:szCs w:val="20"/>
                <w:color w:val="auto"/>
              </w:rPr>
            </w:pPr>
            <w:r>
              <w:rPr>
                <w:rFonts w:ascii="Arial" w:cs="Arial" w:eastAsia="Arial" w:hAnsi="Arial"/>
                <w:sz w:val="13"/>
                <w:szCs w:val="13"/>
                <w:color w:val="auto"/>
              </w:rPr>
              <w:t>Average modular space utilization rate</w:t>
            </w:r>
          </w:p>
        </w:tc>
        <w:tc>
          <w:tcPr>
            <w:tcW w:w="15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83.8 %</w:t>
            </w:r>
          </w:p>
        </w:tc>
        <w:tc>
          <w:tcPr>
            <w:tcW w:w="8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84.3 %</w:t>
            </w:r>
          </w:p>
        </w:tc>
        <w:tc>
          <w:tcPr>
            <w:tcW w:w="3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83.4 %</w:t>
            </w:r>
          </w:p>
        </w:tc>
        <w:tc>
          <w:tcPr>
            <w:tcW w:w="3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76.7 %</w:t>
            </w: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82.0 %</w:t>
            </w:r>
          </w:p>
        </w:tc>
        <w:tc>
          <w:tcPr>
            <w:tcW w:w="0" w:type="dxa"/>
            <w:vAlign w:val="bottom"/>
          </w:tcPr>
          <w:p>
            <w:pPr>
              <w:spacing w:after="0"/>
              <w:rPr>
                <w:sz w:val="1"/>
                <w:szCs w:val="1"/>
                <w:color w:val="auto"/>
              </w:rPr>
            </w:pPr>
          </w:p>
        </w:tc>
      </w:tr>
      <w:tr>
        <w:trPr>
          <w:trHeight w:val="178"/>
        </w:trPr>
        <w:tc>
          <w:tcPr>
            <w:tcW w:w="3480" w:type="dxa"/>
            <w:vAlign w:val="bottom"/>
            <w:shd w:val="clear" w:color="auto" w:fill="DBDBDB"/>
          </w:tcPr>
          <w:p>
            <w:pPr>
              <w:ind w:left="20"/>
              <w:spacing w:after="0"/>
              <w:rPr>
                <w:sz w:val="20"/>
                <w:szCs w:val="20"/>
                <w:color w:val="auto"/>
              </w:rPr>
            </w:pPr>
            <w:r>
              <w:rPr>
                <w:rFonts w:ascii="Arial" w:cs="Arial" w:eastAsia="Arial" w:hAnsi="Arial"/>
                <w:sz w:val="13"/>
                <w:szCs w:val="13"/>
                <w:color w:val="auto"/>
              </w:rPr>
              <w:t>Average modular space monthly rental rate</w:t>
            </w:r>
          </w:p>
        </w:tc>
        <w:tc>
          <w:tcPr>
            <w:tcW w:w="1540" w:type="dxa"/>
            <w:vAlign w:val="bottom"/>
            <w:shd w:val="clear" w:color="auto" w:fill="DBDBDB"/>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404</w:t>
            </w:r>
          </w:p>
        </w:tc>
        <w:tc>
          <w:tcPr>
            <w:tcW w:w="800" w:type="dxa"/>
            <w:vAlign w:val="bottom"/>
            <w:shd w:val="clear" w:color="auto" w:fill="DBDBDB"/>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438</w:t>
            </w:r>
          </w:p>
        </w:tc>
        <w:tc>
          <w:tcPr>
            <w:tcW w:w="380" w:type="dxa"/>
            <w:vAlign w:val="bottom"/>
            <w:shd w:val="clear" w:color="auto" w:fill="DBDBDB"/>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454</w:t>
            </w:r>
          </w:p>
        </w:tc>
        <w:tc>
          <w:tcPr>
            <w:tcW w:w="380" w:type="dxa"/>
            <w:vAlign w:val="bottom"/>
            <w:shd w:val="clear" w:color="auto" w:fill="DBDBDB"/>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439</w:t>
            </w:r>
          </w:p>
        </w:tc>
        <w:tc>
          <w:tcPr>
            <w:tcW w:w="3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434</w:t>
            </w:r>
          </w:p>
        </w:tc>
        <w:tc>
          <w:tcPr>
            <w:tcW w:w="0" w:type="dxa"/>
            <w:vAlign w:val="bottom"/>
          </w:tcPr>
          <w:p>
            <w:pPr>
              <w:spacing w:after="0"/>
              <w:rPr>
                <w:sz w:val="1"/>
                <w:szCs w:val="1"/>
                <w:color w:val="auto"/>
              </w:rPr>
            </w:pPr>
          </w:p>
        </w:tc>
      </w:tr>
      <w:tr>
        <w:trPr>
          <w:trHeight w:val="172"/>
        </w:trPr>
        <w:tc>
          <w:tcPr>
            <w:tcW w:w="3480" w:type="dxa"/>
            <w:vAlign w:val="bottom"/>
          </w:tcPr>
          <w:p>
            <w:pPr>
              <w:ind w:left="20"/>
              <w:spacing w:after="0"/>
              <w:rPr>
                <w:sz w:val="20"/>
                <w:szCs w:val="20"/>
                <w:color w:val="auto"/>
              </w:rPr>
            </w:pPr>
            <w:r>
              <w:rPr>
                <w:rFonts w:ascii="Arial" w:cs="Arial" w:eastAsia="Arial" w:hAnsi="Arial"/>
                <w:sz w:val="13"/>
                <w:szCs w:val="13"/>
                <w:color w:val="auto"/>
              </w:rPr>
              <w:t>Average portable storage units on rent</w:t>
            </w:r>
          </w:p>
        </w:tc>
        <w:tc>
          <w:tcPr>
            <w:tcW w:w="1540" w:type="dxa"/>
            <w:vAlign w:val="bottom"/>
          </w:tcPr>
          <w:p>
            <w:pPr>
              <w:spacing w:after="0"/>
              <w:rPr>
                <w:sz w:val="14"/>
                <w:szCs w:val="14"/>
                <w:color w:val="auto"/>
              </w:rPr>
            </w:pPr>
          </w:p>
        </w:tc>
        <w:tc>
          <w:tcPr>
            <w:tcW w:w="620" w:type="dxa"/>
            <w:vAlign w:val="bottom"/>
          </w:tcPr>
          <w:p>
            <w:pPr>
              <w:jc w:val="right"/>
              <w:ind w:right="134"/>
              <w:spacing w:after="0"/>
              <w:rPr>
                <w:sz w:val="20"/>
                <w:szCs w:val="20"/>
                <w:color w:val="auto"/>
              </w:rPr>
            </w:pPr>
            <w:r>
              <w:rPr>
                <w:rFonts w:ascii="Arial" w:cs="Arial" w:eastAsia="Arial" w:hAnsi="Arial"/>
                <w:sz w:val="13"/>
                <w:szCs w:val="13"/>
                <w:color w:val="auto"/>
              </w:rPr>
              <w:t>24,647</w:t>
            </w:r>
          </w:p>
        </w:tc>
        <w:tc>
          <w:tcPr>
            <w:tcW w:w="800" w:type="dxa"/>
            <w:vAlign w:val="bottom"/>
          </w:tcPr>
          <w:p>
            <w:pPr>
              <w:spacing w:after="0"/>
              <w:rPr>
                <w:sz w:val="14"/>
                <w:szCs w:val="14"/>
                <w:color w:val="auto"/>
              </w:rPr>
            </w:pPr>
          </w:p>
        </w:tc>
        <w:tc>
          <w:tcPr>
            <w:tcW w:w="620" w:type="dxa"/>
            <w:vAlign w:val="bottom"/>
          </w:tcPr>
          <w:p>
            <w:pPr>
              <w:jc w:val="right"/>
              <w:ind w:right="134"/>
              <w:spacing w:after="0"/>
              <w:rPr>
                <w:sz w:val="20"/>
                <w:szCs w:val="20"/>
                <w:color w:val="auto"/>
              </w:rPr>
            </w:pPr>
            <w:r>
              <w:rPr>
                <w:rFonts w:ascii="Arial" w:cs="Arial" w:eastAsia="Arial" w:hAnsi="Arial"/>
                <w:sz w:val="13"/>
                <w:szCs w:val="13"/>
                <w:color w:val="auto"/>
              </w:rPr>
              <w:t>25,573</w:t>
            </w:r>
          </w:p>
        </w:tc>
        <w:tc>
          <w:tcPr>
            <w:tcW w:w="380" w:type="dxa"/>
            <w:vAlign w:val="bottom"/>
          </w:tcPr>
          <w:p>
            <w:pPr>
              <w:spacing w:after="0"/>
              <w:rPr>
                <w:sz w:val="14"/>
                <w:szCs w:val="14"/>
                <w:color w:val="auto"/>
              </w:rPr>
            </w:pPr>
          </w:p>
        </w:tc>
        <w:tc>
          <w:tcPr>
            <w:tcW w:w="1040" w:type="dxa"/>
            <w:vAlign w:val="bottom"/>
          </w:tcPr>
          <w:p>
            <w:pPr>
              <w:jc w:val="right"/>
              <w:ind w:right="134"/>
              <w:spacing w:after="0"/>
              <w:rPr>
                <w:sz w:val="20"/>
                <w:szCs w:val="20"/>
                <w:color w:val="auto"/>
              </w:rPr>
            </w:pPr>
            <w:r>
              <w:rPr>
                <w:rFonts w:ascii="Arial" w:cs="Arial" w:eastAsia="Arial" w:hAnsi="Arial"/>
                <w:sz w:val="13"/>
                <w:szCs w:val="13"/>
                <w:color w:val="auto"/>
              </w:rPr>
              <w:t>25,632</w:t>
            </w:r>
          </w:p>
        </w:tc>
        <w:tc>
          <w:tcPr>
            <w:tcW w:w="380" w:type="dxa"/>
            <w:vAlign w:val="bottom"/>
          </w:tcPr>
          <w:p>
            <w:pPr>
              <w:spacing w:after="0"/>
              <w:rPr>
                <w:sz w:val="14"/>
                <w:szCs w:val="14"/>
                <w:color w:val="auto"/>
              </w:rPr>
            </w:pPr>
          </w:p>
        </w:tc>
        <w:tc>
          <w:tcPr>
            <w:tcW w:w="1040" w:type="dxa"/>
            <w:vAlign w:val="bottom"/>
          </w:tcPr>
          <w:p>
            <w:pPr>
              <w:jc w:val="right"/>
              <w:ind w:right="134"/>
              <w:spacing w:after="0"/>
              <w:rPr>
                <w:sz w:val="20"/>
                <w:szCs w:val="20"/>
                <w:color w:val="auto"/>
              </w:rPr>
            </w:pPr>
            <w:r>
              <w:rPr>
                <w:rFonts w:ascii="Arial" w:cs="Arial" w:eastAsia="Arial" w:hAnsi="Arial"/>
                <w:sz w:val="13"/>
                <w:szCs w:val="13"/>
                <w:color w:val="auto"/>
              </w:rPr>
              <w:t>26,911</w:t>
            </w:r>
          </w:p>
        </w:tc>
        <w:tc>
          <w:tcPr>
            <w:tcW w:w="340" w:type="dxa"/>
            <w:vAlign w:val="bottom"/>
          </w:tcPr>
          <w:p>
            <w:pPr>
              <w:spacing w:after="0"/>
              <w:rPr>
                <w:sz w:val="14"/>
                <w:szCs w:val="14"/>
                <w:color w:val="auto"/>
              </w:rPr>
            </w:pPr>
          </w:p>
        </w:tc>
        <w:tc>
          <w:tcPr>
            <w:tcW w:w="1040" w:type="dxa"/>
            <w:vAlign w:val="bottom"/>
          </w:tcPr>
          <w:p>
            <w:pPr>
              <w:jc w:val="right"/>
              <w:ind w:right="94"/>
              <w:spacing w:after="0"/>
              <w:rPr>
                <w:sz w:val="20"/>
                <w:szCs w:val="20"/>
                <w:color w:val="auto"/>
              </w:rPr>
            </w:pPr>
            <w:r>
              <w:rPr>
                <w:rFonts w:ascii="Arial" w:cs="Arial" w:eastAsia="Arial" w:hAnsi="Arial"/>
                <w:sz w:val="13"/>
                <w:szCs w:val="13"/>
                <w:color w:val="auto"/>
              </w:rPr>
              <w:t>25,691</w:t>
            </w:r>
          </w:p>
        </w:tc>
        <w:tc>
          <w:tcPr>
            <w:tcW w:w="0" w:type="dxa"/>
            <w:vAlign w:val="bottom"/>
          </w:tcPr>
          <w:p>
            <w:pPr>
              <w:spacing w:after="0"/>
              <w:rPr>
                <w:sz w:val="1"/>
                <w:szCs w:val="1"/>
                <w:color w:val="auto"/>
              </w:rPr>
            </w:pPr>
          </w:p>
        </w:tc>
      </w:tr>
      <w:tr>
        <w:trPr>
          <w:trHeight w:val="178"/>
        </w:trPr>
        <w:tc>
          <w:tcPr>
            <w:tcW w:w="3480" w:type="dxa"/>
            <w:vAlign w:val="bottom"/>
            <w:shd w:val="clear" w:color="auto" w:fill="DBDBDB"/>
          </w:tcPr>
          <w:p>
            <w:pPr>
              <w:ind w:left="20"/>
              <w:spacing w:after="0"/>
              <w:rPr>
                <w:sz w:val="20"/>
                <w:szCs w:val="20"/>
                <w:color w:val="auto"/>
              </w:rPr>
            </w:pPr>
            <w:r>
              <w:rPr>
                <w:rFonts w:ascii="Arial" w:cs="Arial" w:eastAsia="Arial" w:hAnsi="Arial"/>
                <w:sz w:val="13"/>
                <w:szCs w:val="13"/>
                <w:color w:val="auto"/>
              </w:rPr>
              <w:t>Average portable storage utilization rate</w:t>
            </w:r>
          </w:p>
        </w:tc>
        <w:tc>
          <w:tcPr>
            <w:tcW w:w="1540" w:type="dxa"/>
            <w:vAlign w:val="bottom"/>
            <w:shd w:val="clear" w:color="auto" w:fill="DBDBDB"/>
          </w:tcPr>
          <w:p>
            <w:pPr>
              <w:spacing w:after="0"/>
              <w:rPr>
                <w:sz w:val="15"/>
                <w:szCs w:val="15"/>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89.2 %</w:t>
            </w:r>
          </w:p>
        </w:tc>
        <w:tc>
          <w:tcPr>
            <w:tcW w:w="800" w:type="dxa"/>
            <w:vAlign w:val="bottom"/>
            <w:shd w:val="clear" w:color="auto" w:fill="DBDBDB"/>
          </w:tcPr>
          <w:p>
            <w:pPr>
              <w:spacing w:after="0"/>
              <w:rPr>
                <w:sz w:val="15"/>
                <w:szCs w:val="15"/>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91.8 %</w:t>
            </w:r>
          </w:p>
        </w:tc>
        <w:tc>
          <w:tcPr>
            <w:tcW w:w="38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89.1 %</w:t>
            </w:r>
          </w:p>
        </w:tc>
        <w:tc>
          <w:tcPr>
            <w:tcW w:w="38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90.6 %</w:t>
            </w:r>
          </w:p>
        </w:tc>
        <w:tc>
          <w:tcPr>
            <w:tcW w:w="34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90.2 %</w:t>
            </w:r>
          </w:p>
        </w:tc>
        <w:tc>
          <w:tcPr>
            <w:tcW w:w="0" w:type="dxa"/>
            <w:vAlign w:val="bottom"/>
          </w:tcPr>
          <w:p>
            <w:pPr>
              <w:spacing w:after="0"/>
              <w:rPr>
                <w:sz w:val="1"/>
                <w:szCs w:val="1"/>
                <w:color w:val="auto"/>
              </w:rPr>
            </w:pPr>
          </w:p>
        </w:tc>
      </w:tr>
      <w:tr>
        <w:trPr>
          <w:trHeight w:val="169"/>
        </w:trPr>
        <w:tc>
          <w:tcPr>
            <w:tcW w:w="3480" w:type="dxa"/>
            <w:vAlign w:val="bottom"/>
          </w:tcPr>
          <w:p>
            <w:pPr>
              <w:ind w:left="20"/>
              <w:spacing w:after="0"/>
              <w:rPr>
                <w:sz w:val="20"/>
                <w:szCs w:val="20"/>
                <w:color w:val="auto"/>
              </w:rPr>
            </w:pPr>
            <w:r>
              <w:rPr>
                <w:rFonts w:ascii="Arial" w:cs="Arial" w:eastAsia="Arial" w:hAnsi="Arial"/>
                <w:sz w:val="13"/>
                <w:szCs w:val="13"/>
                <w:color w:val="auto"/>
              </w:rPr>
              <w:t>Average portable storage monthly rental rate</w:t>
            </w:r>
          </w:p>
        </w:tc>
        <w:tc>
          <w:tcPr>
            <w:tcW w:w="1540" w:type="dxa"/>
            <w:vAlign w:val="bottom"/>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34"/>
              <w:spacing w:after="0"/>
              <w:rPr>
                <w:sz w:val="20"/>
                <w:szCs w:val="20"/>
                <w:color w:val="auto"/>
              </w:rPr>
            </w:pPr>
            <w:r>
              <w:rPr>
                <w:rFonts w:ascii="Arial" w:cs="Arial" w:eastAsia="Arial" w:hAnsi="Arial"/>
                <w:sz w:val="13"/>
                <w:szCs w:val="13"/>
                <w:color w:val="auto"/>
              </w:rPr>
              <w:t>82</w:t>
            </w:r>
          </w:p>
        </w:tc>
        <w:tc>
          <w:tcPr>
            <w:tcW w:w="800" w:type="dxa"/>
            <w:vAlign w:val="bottom"/>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34"/>
              <w:spacing w:after="0"/>
              <w:rPr>
                <w:sz w:val="20"/>
                <w:szCs w:val="20"/>
                <w:color w:val="auto"/>
              </w:rPr>
            </w:pPr>
            <w:r>
              <w:rPr>
                <w:rFonts w:ascii="Arial" w:cs="Arial" w:eastAsia="Arial" w:hAnsi="Arial"/>
                <w:sz w:val="13"/>
                <w:szCs w:val="13"/>
                <w:color w:val="auto"/>
              </w:rPr>
              <w:t>88</w:t>
            </w:r>
          </w:p>
        </w:tc>
        <w:tc>
          <w:tcPr>
            <w:tcW w:w="38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4"/>
              <w:spacing w:after="0"/>
              <w:rPr>
                <w:sz w:val="20"/>
                <w:szCs w:val="20"/>
                <w:color w:val="auto"/>
              </w:rPr>
            </w:pPr>
            <w:r>
              <w:rPr>
                <w:rFonts w:ascii="Arial" w:cs="Arial" w:eastAsia="Arial" w:hAnsi="Arial"/>
                <w:sz w:val="13"/>
                <w:szCs w:val="13"/>
                <w:color w:val="auto"/>
              </w:rPr>
              <w:t>90</w:t>
            </w:r>
          </w:p>
        </w:tc>
        <w:tc>
          <w:tcPr>
            <w:tcW w:w="38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4"/>
              <w:spacing w:after="0"/>
              <w:rPr>
                <w:sz w:val="20"/>
                <w:szCs w:val="20"/>
                <w:color w:val="auto"/>
              </w:rPr>
            </w:pPr>
            <w:r>
              <w:rPr>
                <w:rFonts w:ascii="Arial" w:cs="Arial" w:eastAsia="Arial" w:hAnsi="Arial"/>
                <w:sz w:val="13"/>
                <w:szCs w:val="13"/>
                <w:color w:val="auto"/>
              </w:rPr>
              <w:t>91</w:t>
            </w:r>
          </w:p>
        </w:tc>
        <w:tc>
          <w:tcPr>
            <w:tcW w:w="34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94"/>
              <w:spacing w:after="0"/>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Pro Forma Quarterly Results for the year ended December 31, 2020:</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8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 except for units on rent and</w:t>
            </w:r>
          </w:p>
        </w:tc>
        <w:tc>
          <w:tcPr>
            <w:tcW w:w="1540" w:type="dxa"/>
            <w:vAlign w:val="bottom"/>
            <w:vMerge w:val="restart"/>
            <w:shd w:val="clear" w:color="auto" w:fill="1D2758"/>
          </w:tcPr>
          <w:p>
            <w:pPr>
              <w:jc w:val="right"/>
              <w:spacing w:after="0"/>
              <w:rPr>
                <w:sz w:val="20"/>
                <w:szCs w:val="20"/>
                <w:color w:val="auto"/>
              </w:rPr>
            </w:pPr>
            <w:r>
              <w:rPr>
                <w:rFonts w:ascii="Arial" w:cs="Arial" w:eastAsia="Arial" w:hAnsi="Arial"/>
                <w:sz w:val="13"/>
                <w:szCs w:val="13"/>
                <w:b w:val="1"/>
                <w:bCs w:val="1"/>
                <w:color w:val="FFFFFF"/>
              </w:rPr>
              <w:t>Q1</w:t>
            </w:r>
          </w:p>
        </w:tc>
        <w:tc>
          <w:tcPr>
            <w:tcW w:w="620" w:type="dxa"/>
            <w:vAlign w:val="bottom"/>
            <w:shd w:val="clear" w:color="auto" w:fill="1D2758"/>
          </w:tcPr>
          <w:p>
            <w:pPr>
              <w:spacing w:after="0"/>
              <w:rPr>
                <w:sz w:val="13"/>
                <w:szCs w:val="13"/>
                <w:color w:val="auto"/>
              </w:rPr>
            </w:pPr>
          </w:p>
        </w:tc>
        <w:tc>
          <w:tcPr>
            <w:tcW w:w="800" w:type="dxa"/>
            <w:vAlign w:val="bottom"/>
            <w:vMerge w:val="restart"/>
            <w:shd w:val="clear" w:color="auto" w:fill="1D2758"/>
          </w:tcPr>
          <w:p>
            <w:pPr>
              <w:jc w:val="right"/>
              <w:spacing w:after="0"/>
              <w:rPr>
                <w:sz w:val="20"/>
                <w:szCs w:val="20"/>
                <w:color w:val="auto"/>
              </w:rPr>
            </w:pPr>
            <w:r>
              <w:rPr>
                <w:rFonts w:ascii="Arial" w:cs="Arial" w:eastAsia="Arial" w:hAnsi="Arial"/>
                <w:sz w:val="13"/>
                <w:szCs w:val="13"/>
                <w:b w:val="1"/>
                <w:bCs w:val="1"/>
                <w:color w:val="FFFFFF"/>
              </w:rPr>
              <w:t>Q2</w:t>
            </w:r>
          </w:p>
        </w:tc>
        <w:tc>
          <w:tcPr>
            <w:tcW w:w="620" w:type="dxa"/>
            <w:vAlign w:val="bottom"/>
            <w:shd w:val="clear" w:color="auto" w:fill="1D2758"/>
          </w:tcPr>
          <w:p>
            <w:pPr>
              <w:spacing w:after="0"/>
              <w:rPr>
                <w:sz w:val="13"/>
                <w:szCs w:val="13"/>
                <w:color w:val="auto"/>
              </w:rPr>
            </w:pPr>
          </w:p>
        </w:tc>
        <w:tc>
          <w:tcPr>
            <w:tcW w:w="800" w:type="dxa"/>
            <w:vAlign w:val="bottom"/>
            <w:vMerge w:val="restart"/>
            <w:shd w:val="clear" w:color="auto" w:fill="1D2758"/>
          </w:tcPr>
          <w:p>
            <w:pPr>
              <w:jc w:val="right"/>
              <w:spacing w:after="0"/>
              <w:rPr>
                <w:sz w:val="20"/>
                <w:szCs w:val="20"/>
                <w:color w:val="auto"/>
              </w:rPr>
            </w:pPr>
            <w:r>
              <w:rPr>
                <w:rFonts w:ascii="Arial" w:cs="Arial" w:eastAsia="Arial" w:hAnsi="Arial"/>
                <w:sz w:val="13"/>
                <w:szCs w:val="13"/>
                <w:b w:val="1"/>
                <w:bCs w:val="1"/>
                <w:color w:val="FFFFFF"/>
              </w:rPr>
              <w:t>Q3</w:t>
            </w:r>
          </w:p>
        </w:tc>
        <w:tc>
          <w:tcPr>
            <w:tcW w:w="620" w:type="dxa"/>
            <w:vAlign w:val="bottom"/>
            <w:shd w:val="clear" w:color="auto" w:fill="1D2758"/>
          </w:tcPr>
          <w:p>
            <w:pPr>
              <w:spacing w:after="0"/>
              <w:rPr>
                <w:sz w:val="13"/>
                <w:szCs w:val="13"/>
                <w:color w:val="auto"/>
              </w:rPr>
            </w:pPr>
          </w:p>
        </w:tc>
        <w:tc>
          <w:tcPr>
            <w:tcW w:w="800" w:type="dxa"/>
            <w:vAlign w:val="bottom"/>
            <w:vMerge w:val="restart"/>
            <w:shd w:val="clear" w:color="auto" w:fill="1D2758"/>
          </w:tcPr>
          <w:p>
            <w:pPr>
              <w:jc w:val="right"/>
              <w:spacing w:after="0"/>
              <w:rPr>
                <w:sz w:val="20"/>
                <w:szCs w:val="20"/>
                <w:color w:val="auto"/>
              </w:rPr>
            </w:pPr>
            <w:r>
              <w:rPr>
                <w:rFonts w:ascii="Arial" w:cs="Arial" w:eastAsia="Arial" w:hAnsi="Arial"/>
                <w:sz w:val="13"/>
                <w:szCs w:val="13"/>
                <w:b w:val="1"/>
                <w:bCs w:val="1"/>
                <w:color w:val="FFFFFF"/>
              </w:rPr>
              <w:t>Q4</w:t>
            </w:r>
          </w:p>
        </w:tc>
        <w:tc>
          <w:tcPr>
            <w:tcW w:w="620" w:type="dxa"/>
            <w:vAlign w:val="bottom"/>
            <w:shd w:val="clear" w:color="auto" w:fill="1D2758"/>
          </w:tcPr>
          <w:p>
            <w:pPr>
              <w:spacing w:after="0"/>
              <w:rPr>
                <w:sz w:val="13"/>
                <w:szCs w:val="13"/>
                <w:color w:val="auto"/>
              </w:rPr>
            </w:pPr>
          </w:p>
        </w:tc>
        <w:tc>
          <w:tcPr>
            <w:tcW w:w="340" w:type="dxa"/>
            <w:vAlign w:val="bottom"/>
            <w:shd w:val="clear" w:color="auto" w:fill="1D2758"/>
          </w:tcPr>
          <w:p>
            <w:pPr>
              <w:spacing w:after="0"/>
              <w:rPr>
                <w:sz w:val="13"/>
                <w:szCs w:val="13"/>
                <w:color w:val="auto"/>
              </w:rPr>
            </w:pPr>
          </w:p>
        </w:tc>
        <w:tc>
          <w:tcPr>
            <w:tcW w:w="1040" w:type="dxa"/>
            <w:vAlign w:val="bottom"/>
            <w:vMerge w:val="restart"/>
            <w:shd w:val="clear" w:color="auto" w:fill="1D2758"/>
          </w:tcPr>
          <w:p>
            <w:pPr>
              <w:jc w:val="right"/>
              <w:ind w:right="454"/>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75"/>
        </w:trPr>
        <w:tc>
          <w:tcPr>
            <w:tcW w:w="348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monthly rental rate)</w:t>
            </w:r>
          </w:p>
        </w:tc>
        <w:tc>
          <w:tcPr>
            <w:tcW w:w="1540" w:type="dxa"/>
            <w:vAlign w:val="bottom"/>
            <w:vMerge w:val="continue"/>
            <w:shd w:val="clear" w:color="auto" w:fill="1D2758"/>
          </w:tcPr>
          <w:p>
            <w:pPr>
              <w:spacing w:after="0"/>
              <w:rPr>
                <w:sz w:val="15"/>
                <w:szCs w:val="15"/>
                <w:color w:val="auto"/>
              </w:rPr>
            </w:pPr>
          </w:p>
        </w:tc>
        <w:tc>
          <w:tcPr>
            <w:tcW w:w="620" w:type="dxa"/>
            <w:vAlign w:val="bottom"/>
            <w:shd w:val="clear" w:color="auto" w:fill="1D2758"/>
          </w:tcPr>
          <w:p>
            <w:pPr>
              <w:spacing w:after="0"/>
              <w:rPr>
                <w:sz w:val="15"/>
                <w:szCs w:val="15"/>
                <w:color w:val="auto"/>
              </w:rPr>
            </w:pPr>
          </w:p>
        </w:tc>
        <w:tc>
          <w:tcPr>
            <w:tcW w:w="800" w:type="dxa"/>
            <w:vAlign w:val="bottom"/>
            <w:vMerge w:val="continue"/>
            <w:shd w:val="clear" w:color="auto" w:fill="1D2758"/>
          </w:tcPr>
          <w:p>
            <w:pPr>
              <w:spacing w:after="0"/>
              <w:rPr>
                <w:sz w:val="15"/>
                <w:szCs w:val="15"/>
                <w:color w:val="auto"/>
              </w:rPr>
            </w:pPr>
          </w:p>
        </w:tc>
        <w:tc>
          <w:tcPr>
            <w:tcW w:w="620" w:type="dxa"/>
            <w:vAlign w:val="bottom"/>
            <w:shd w:val="clear" w:color="auto" w:fill="1D2758"/>
          </w:tcPr>
          <w:p>
            <w:pPr>
              <w:spacing w:after="0"/>
              <w:rPr>
                <w:sz w:val="15"/>
                <w:szCs w:val="15"/>
                <w:color w:val="auto"/>
              </w:rPr>
            </w:pPr>
          </w:p>
        </w:tc>
        <w:tc>
          <w:tcPr>
            <w:tcW w:w="800" w:type="dxa"/>
            <w:vAlign w:val="bottom"/>
            <w:vMerge w:val="continue"/>
            <w:shd w:val="clear" w:color="auto" w:fill="1D2758"/>
          </w:tcPr>
          <w:p>
            <w:pPr>
              <w:spacing w:after="0"/>
              <w:rPr>
                <w:sz w:val="15"/>
                <w:szCs w:val="15"/>
                <w:color w:val="auto"/>
              </w:rPr>
            </w:pPr>
          </w:p>
        </w:tc>
        <w:tc>
          <w:tcPr>
            <w:tcW w:w="620" w:type="dxa"/>
            <w:vAlign w:val="bottom"/>
            <w:shd w:val="clear" w:color="auto" w:fill="1D2758"/>
          </w:tcPr>
          <w:p>
            <w:pPr>
              <w:spacing w:after="0"/>
              <w:rPr>
                <w:sz w:val="15"/>
                <w:szCs w:val="15"/>
                <w:color w:val="auto"/>
              </w:rPr>
            </w:pPr>
          </w:p>
        </w:tc>
        <w:tc>
          <w:tcPr>
            <w:tcW w:w="800" w:type="dxa"/>
            <w:vAlign w:val="bottom"/>
            <w:vMerge w:val="continue"/>
            <w:shd w:val="clear" w:color="auto" w:fill="1D2758"/>
          </w:tcPr>
          <w:p>
            <w:pPr>
              <w:spacing w:after="0"/>
              <w:rPr>
                <w:sz w:val="15"/>
                <w:szCs w:val="15"/>
                <w:color w:val="auto"/>
              </w:rPr>
            </w:pPr>
          </w:p>
        </w:tc>
        <w:tc>
          <w:tcPr>
            <w:tcW w:w="620" w:type="dxa"/>
            <w:vAlign w:val="bottom"/>
            <w:shd w:val="clear" w:color="auto" w:fill="1D2758"/>
          </w:tcPr>
          <w:p>
            <w:pPr>
              <w:spacing w:after="0"/>
              <w:rPr>
                <w:sz w:val="15"/>
                <w:szCs w:val="15"/>
                <w:color w:val="auto"/>
              </w:rPr>
            </w:pPr>
          </w:p>
        </w:tc>
        <w:tc>
          <w:tcPr>
            <w:tcW w:w="34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80" w:type="dxa"/>
            <w:vAlign w:val="bottom"/>
            <w:shd w:val="clear" w:color="auto" w:fill="DBDBDB"/>
          </w:tcPr>
          <w:p>
            <w:pPr>
              <w:ind w:left="20"/>
              <w:spacing w:after="0"/>
              <w:rPr>
                <w:sz w:val="20"/>
                <w:szCs w:val="20"/>
                <w:color w:val="auto"/>
              </w:rPr>
            </w:pPr>
            <w:r>
              <w:rPr>
                <w:rFonts w:ascii="Arial" w:cs="Arial" w:eastAsia="Arial" w:hAnsi="Arial"/>
                <w:sz w:val="13"/>
                <w:szCs w:val="13"/>
                <w:color w:val="auto"/>
              </w:rPr>
              <w:t>Revenue</w:t>
            </w:r>
          </w:p>
        </w:tc>
        <w:tc>
          <w:tcPr>
            <w:tcW w:w="1540" w:type="dxa"/>
            <w:vAlign w:val="bottom"/>
            <w:shd w:val="clear" w:color="auto" w:fill="DBDBDB"/>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20,197</w:t>
            </w:r>
          </w:p>
        </w:tc>
        <w:tc>
          <w:tcPr>
            <w:tcW w:w="800" w:type="dxa"/>
            <w:vAlign w:val="bottom"/>
            <w:shd w:val="clear" w:color="auto" w:fill="DBDBDB"/>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17,154</w:t>
            </w:r>
          </w:p>
        </w:tc>
        <w:tc>
          <w:tcPr>
            <w:tcW w:w="800" w:type="dxa"/>
            <w:vAlign w:val="bottom"/>
            <w:shd w:val="clear" w:color="auto" w:fill="DBDBDB"/>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21,653</w:t>
            </w:r>
          </w:p>
        </w:tc>
        <w:tc>
          <w:tcPr>
            <w:tcW w:w="800" w:type="dxa"/>
            <w:vAlign w:val="bottom"/>
            <w:shd w:val="clear" w:color="auto" w:fill="DBDBDB"/>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24,708</w:t>
            </w:r>
          </w:p>
        </w:tc>
        <w:tc>
          <w:tcPr>
            <w:tcW w:w="3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83,712</w:t>
            </w:r>
          </w:p>
        </w:tc>
        <w:tc>
          <w:tcPr>
            <w:tcW w:w="0" w:type="dxa"/>
            <w:vAlign w:val="bottom"/>
          </w:tcPr>
          <w:p>
            <w:pPr>
              <w:spacing w:after="0"/>
              <w:rPr>
                <w:sz w:val="1"/>
                <w:szCs w:val="1"/>
                <w:color w:val="auto"/>
              </w:rPr>
            </w:pPr>
          </w:p>
        </w:tc>
      </w:tr>
      <w:tr>
        <w:trPr>
          <w:trHeight w:val="172"/>
        </w:trPr>
        <w:tc>
          <w:tcPr>
            <w:tcW w:w="3480" w:type="dxa"/>
            <w:vAlign w:val="bottom"/>
          </w:tcPr>
          <w:p>
            <w:pPr>
              <w:ind w:left="20"/>
              <w:spacing w:after="0"/>
              <w:rPr>
                <w:sz w:val="20"/>
                <w:szCs w:val="20"/>
                <w:color w:val="auto"/>
              </w:rPr>
            </w:pPr>
            <w:r>
              <w:rPr>
                <w:rFonts w:ascii="Arial" w:cs="Arial" w:eastAsia="Arial" w:hAnsi="Arial"/>
                <w:sz w:val="13"/>
                <w:szCs w:val="13"/>
                <w:color w:val="auto"/>
              </w:rPr>
              <w:t>Gross profit</w:t>
            </w:r>
          </w:p>
        </w:tc>
        <w:tc>
          <w:tcPr>
            <w:tcW w:w="1540" w:type="dxa"/>
            <w:vAlign w:val="bottom"/>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34"/>
              <w:spacing w:after="0"/>
              <w:rPr>
                <w:sz w:val="20"/>
                <w:szCs w:val="20"/>
                <w:color w:val="auto"/>
              </w:rPr>
            </w:pPr>
            <w:r>
              <w:rPr>
                <w:rFonts w:ascii="Arial" w:cs="Arial" w:eastAsia="Arial" w:hAnsi="Arial"/>
                <w:sz w:val="13"/>
                <w:szCs w:val="13"/>
                <w:color w:val="auto"/>
              </w:rPr>
              <w:t>11,372</w:t>
            </w:r>
          </w:p>
        </w:tc>
        <w:tc>
          <w:tcPr>
            <w:tcW w:w="800" w:type="dxa"/>
            <w:vAlign w:val="bottom"/>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34"/>
              <w:spacing w:after="0"/>
              <w:rPr>
                <w:sz w:val="20"/>
                <w:szCs w:val="20"/>
                <w:color w:val="auto"/>
              </w:rPr>
            </w:pPr>
            <w:r>
              <w:rPr>
                <w:rFonts w:ascii="Arial" w:cs="Arial" w:eastAsia="Arial" w:hAnsi="Arial"/>
                <w:sz w:val="13"/>
                <w:szCs w:val="13"/>
                <w:color w:val="auto"/>
              </w:rPr>
              <w:t>10,991</w:t>
            </w:r>
          </w:p>
        </w:tc>
        <w:tc>
          <w:tcPr>
            <w:tcW w:w="800" w:type="dxa"/>
            <w:vAlign w:val="bottom"/>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34"/>
              <w:spacing w:after="0"/>
              <w:rPr>
                <w:sz w:val="20"/>
                <w:szCs w:val="20"/>
                <w:color w:val="auto"/>
              </w:rPr>
            </w:pPr>
            <w:r>
              <w:rPr>
                <w:rFonts w:ascii="Arial" w:cs="Arial" w:eastAsia="Arial" w:hAnsi="Arial"/>
                <w:sz w:val="13"/>
                <w:szCs w:val="13"/>
                <w:color w:val="auto"/>
              </w:rPr>
              <w:t>12,671</w:t>
            </w:r>
          </w:p>
        </w:tc>
        <w:tc>
          <w:tcPr>
            <w:tcW w:w="800" w:type="dxa"/>
            <w:vAlign w:val="bottom"/>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34"/>
              <w:spacing w:after="0"/>
              <w:rPr>
                <w:sz w:val="20"/>
                <w:szCs w:val="20"/>
                <w:color w:val="auto"/>
              </w:rPr>
            </w:pPr>
            <w:r>
              <w:rPr>
                <w:rFonts w:ascii="Arial" w:cs="Arial" w:eastAsia="Arial" w:hAnsi="Arial"/>
                <w:sz w:val="13"/>
                <w:szCs w:val="13"/>
                <w:color w:val="auto"/>
              </w:rPr>
              <w:t>14,971</w:t>
            </w:r>
          </w:p>
        </w:tc>
        <w:tc>
          <w:tcPr>
            <w:tcW w:w="34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94"/>
              <w:spacing w:after="0"/>
              <w:rPr>
                <w:sz w:val="20"/>
                <w:szCs w:val="20"/>
                <w:color w:val="auto"/>
              </w:rPr>
            </w:pPr>
            <w:r>
              <w:rPr>
                <w:rFonts w:ascii="Arial" w:cs="Arial" w:eastAsia="Arial" w:hAnsi="Arial"/>
                <w:sz w:val="13"/>
                <w:szCs w:val="13"/>
                <w:color w:val="auto"/>
              </w:rPr>
              <w:t>50,005</w:t>
            </w:r>
          </w:p>
        </w:tc>
        <w:tc>
          <w:tcPr>
            <w:tcW w:w="0" w:type="dxa"/>
            <w:vAlign w:val="bottom"/>
          </w:tcPr>
          <w:p>
            <w:pPr>
              <w:spacing w:after="0"/>
              <w:rPr>
                <w:sz w:val="1"/>
                <w:szCs w:val="1"/>
                <w:color w:val="auto"/>
              </w:rPr>
            </w:pPr>
          </w:p>
        </w:tc>
      </w:tr>
      <w:tr>
        <w:trPr>
          <w:trHeight w:val="178"/>
        </w:trPr>
        <w:tc>
          <w:tcPr>
            <w:tcW w:w="3480" w:type="dxa"/>
            <w:vAlign w:val="bottom"/>
            <w:shd w:val="clear" w:color="auto" w:fill="DBDBDB"/>
          </w:tcPr>
          <w:p>
            <w:pPr>
              <w:ind w:left="20"/>
              <w:spacing w:after="0"/>
              <w:rPr>
                <w:sz w:val="20"/>
                <w:szCs w:val="20"/>
                <w:color w:val="auto"/>
              </w:rPr>
            </w:pPr>
            <w:r>
              <w:rPr>
                <w:rFonts w:ascii="Arial" w:cs="Arial" w:eastAsia="Arial" w:hAnsi="Arial"/>
                <w:sz w:val="13"/>
                <w:szCs w:val="13"/>
                <w:color w:val="auto"/>
              </w:rPr>
              <w:t>Adjusted EBITDA</w:t>
            </w:r>
          </w:p>
        </w:tc>
        <w:tc>
          <w:tcPr>
            <w:tcW w:w="1540" w:type="dxa"/>
            <w:vAlign w:val="bottom"/>
            <w:shd w:val="clear" w:color="auto" w:fill="DBDBDB"/>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6,405</w:t>
            </w:r>
          </w:p>
        </w:tc>
        <w:tc>
          <w:tcPr>
            <w:tcW w:w="800" w:type="dxa"/>
            <w:vAlign w:val="bottom"/>
            <w:shd w:val="clear" w:color="auto" w:fill="DBDBDB"/>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6,853</w:t>
            </w:r>
          </w:p>
        </w:tc>
        <w:tc>
          <w:tcPr>
            <w:tcW w:w="800" w:type="dxa"/>
            <w:vAlign w:val="bottom"/>
            <w:shd w:val="clear" w:color="auto" w:fill="DBDBDB"/>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8,306</w:t>
            </w:r>
          </w:p>
        </w:tc>
        <w:tc>
          <w:tcPr>
            <w:tcW w:w="800" w:type="dxa"/>
            <w:vAlign w:val="bottom"/>
            <w:shd w:val="clear" w:color="auto" w:fill="DBDBDB"/>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9,516</w:t>
            </w:r>
          </w:p>
        </w:tc>
        <w:tc>
          <w:tcPr>
            <w:tcW w:w="3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31,080</w:t>
            </w:r>
          </w:p>
        </w:tc>
        <w:tc>
          <w:tcPr>
            <w:tcW w:w="0" w:type="dxa"/>
            <w:vAlign w:val="bottom"/>
          </w:tcPr>
          <w:p>
            <w:pPr>
              <w:spacing w:after="0"/>
              <w:rPr>
                <w:sz w:val="1"/>
                <w:szCs w:val="1"/>
                <w:color w:val="auto"/>
              </w:rPr>
            </w:pPr>
          </w:p>
        </w:tc>
      </w:tr>
      <w:tr>
        <w:trPr>
          <w:trHeight w:val="172"/>
        </w:trPr>
        <w:tc>
          <w:tcPr>
            <w:tcW w:w="3480" w:type="dxa"/>
            <w:vAlign w:val="bottom"/>
          </w:tcPr>
          <w:p>
            <w:pPr>
              <w:ind w:left="20"/>
              <w:spacing w:after="0"/>
              <w:rPr>
                <w:sz w:val="20"/>
                <w:szCs w:val="20"/>
                <w:color w:val="auto"/>
              </w:rPr>
            </w:pPr>
            <w:r>
              <w:rPr>
                <w:rFonts w:ascii="Arial" w:cs="Arial" w:eastAsia="Arial" w:hAnsi="Arial"/>
                <w:sz w:val="13"/>
                <w:szCs w:val="13"/>
                <w:color w:val="auto"/>
              </w:rPr>
              <w:t>Capex for rental equipment</w:t>
            </w:r>
          </w:p>
        </w:tc>
        <w:tc>
          <w:tcPr>
            <w:tcW w:w="1540" w:type="dxa"/>
            <w:vAlign w:val="bottom"/>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34"/>
              <w:spacing w:after="0"/>
              <w:rPr>
                <w:sz w:val="20"/>
                <w:szCs w:val="20"/>
                <w:color w:val="auto"/>
              </w:rPr>
            </w:pPr>
            <w:r>
              <w:rPr>
                <w:rFonts w:ascii="Arial" w:cs="Arial" w:eastAsia="Arial" w:hAnsi="Arial"/>
                <w:sz w:val="13"/>
                <w:szCs w:val="13"/>
                <w:color w:val="auto"/>
              </w:rPr>
              <w:t>337</w:t>
            </w:r>
          </w:p>
        </w:tc>
        <w:tc>
          <w:tcPr>
            <w:tcW w:w="800" w:type="dxa"/>
            <w:vAlign w:val="bottom"/>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34"/>
              <w:spacing w:after="0"/>
              <w:rPr>
                <w:sz w:val="20"/>
                <w:szCs w:val="20"/>
                <w:color w:val="auto"/>
              </w:rPr>
            </w:pPr>
            <w:r>
              <w:rPr>
                <w:rFonts w:ascii="Arial" w:cs="Arial" w:eastAsia="Arial" w:hAnsi="Arial"/>
                <w:sz w:val="13"/>
                <w:szCs w:val="13"/>
                <w:color w:val="auto"/>
              </w:rPr>
              <w:t>522</w:t>
            </w:r>
          </w:p>
        </w:tc>
        <w:tc>
          <w:tcPr>
            <w:tcW w:w="800" w:type="dxa"/>
            <w:vAlign w:val="bottom"/>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34"/>
              <w:spacing w:after="0"/>
              <w:rPr>
                <w:sz w:val="20"/>
                <w:szCs w:val="20"/>
                <w:color w:val="auto"/>
              </w:rPr>
            </w:pPr>
            <w:r>
              <w:rPr>
                <w:rFonts w:ascii="Arial" w:cs="Arial" w:eastAsia="Arial" w:hAnsi="Arial"/>
                <w:sz w:val="13"/>
                <w:szCs w:val="13"/>
                <w:color w:val="auto"/>
              </w:rPr>
              <w:t>677</w:t>
            </w:r>
          </w:p>
        </w:tc>
        <w:tc>
          <w:tcPr>
            <w:tcW w:w="800" w:type="dxa"/>
            <w:vAlign w:val="bottom"/>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34"/>
              <w:spacing w:after="0"/>
              <w:rPr>
                <w:sz w:val="20"/>
                <w:szCs w:val="20"/>
                <w:color w:val="auto"/>
              </w:rPr>
            </w:pPr>
            <w:r>
              <w:rPr>
                <w:rFonts w:ascii="Arial" w:cs="Arial" w:eastAsia="Arial" w:hAnsi="Arial"/>
                <w:sz w:val="13"/>
                <w:szCs w:val="13"/>
                <w:color w:val="auto"/>
              </w:rPr>
              <w:t>1,016</w:t>
            </w:r>
          </w:p>
        </w:tc>
        <w:tc>
          <w:tcPr>
            <w:tcW w:w="34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94"/>
              <w:spacing w:after="0"/>
              <w:rPr>
                <w:sz w:val="20"/>
                <w:szCs w:val="20"/>
                <w:color w:val="auto"/>
              </w:rPr>
            </w:pPr>
            <w:r>
              <w:rPr>
                <w:rFonts w:ascii="Arial" w:cs="Arial" w:eastAsia="Arial" w:hAnsi="Arial"/>
                <w:sz w:val="13"/>
                <w:szCs w:val="13"/>
                <w:color w:val="auto"/>
              </w:rPr>
              <w:t>2,552</w:t>
            </w:r>
          </w:p>
        </w:tc>
        <w:tc>
          <w:tcPr>
            <w:tcW w:w="0" w:type="dxa"/>
            <w:vAlign w:val="bottom"/>
          </w:tcPr>
          <w:p>
            <w:pPr>
              <w:spacing w:after="0"/>
              <w:rPr>
                <w:sz w:val="1"/>
                <w:szCs w:val="1"/>
                <w:color w:val="auto"/>
              </w:rPr>
            </w:pPr>
          </w:p>
        </w:tc>
      </w:tr>
      <w:tr>
        <w:trPr>
          <w:trHeight w:val="178"/>
        </w:trPr>
        <w:tc>
          <w:tcPr>
            <w:tcW w:w="3480" w:type="dxa"/>
            <w:vAlign w:val="bottom"/>
            <w:shd w:val="clear" w:color="auto" w:fill="DBDBDB"/>
          </w:tcPr>
          <w:p>
            <w:pPr>
              <w:ind w:left="20"/>
              <w:spacing w:after="0"/>
              <w:rPr>
                <w:sz w:val="20"/>
                <w:szCs w:val="20"/>
                <w:color w:val="auto"/>
              </w:rPr>
            </w:pPr>
            <w:r>
              <w:rPr>
                <w:rFonts w:ascii="Arial" w:cs="Arial" w:eastAsia="Arial" w:hAnsi="Arial"/>
                <w:sz w:val="13"/>
                <w:szCs w:val="13"/>
                <w:color w:val="auto"/>
              </w:rPr>
              <w:t>Average modular space units on rent</w:t>
            </w:r>
          </w:p>
        </w:tc>
        <w:tc>
          <w:tcPr>
            <w:tcW w:w="1540" w:type="dxa"/>
            <w:vAlign w:val="bottom"/>
            <w:shd w:val="clear" w:color="auto" w:fill="DBDBDB"/>
          </w:tcPr>
          <w:p>
            <w:pPr>
              <w:spacing w:after="0"/>
              <w:rPr>
                <w:sz w:val="15"/>
                <w:szCs w:val="15"/>
                <w:color w:val="auto"/>
              </w:rPr>
            </w:pPr>
          </w:p>
        </w:tc>
        <w:tc>
          <w:tcPr>
            <w:tcW w:w="62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7,850</w:t>
            </w:r>
          </w:p>
        </w:tc>
        <w:tc>
          <w:tcPr>
            <w:tcW w:w="800" w:type="dxa"/>
            <w:vAlign w:val="bottom"/>
            <w:shd w:val="clear" w:color="auto" w:fill="DBDBDB"/>
          </w:tcPr>
          <w:p>
            <w:pPr>
              <w:spacing w:after="0"/>
              <w:rPr>
                <w:sz w:val="15"/>
                <w:szCs w:val="15"/>
                <w:color w:val="auto"/>
              </w:rPr>
            </w:pPr>
          </w:p>
        </w:tc>
        <w:tc>
          <w:tcPr>
            <w:tcW w:w="62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7,912</w:t>
            </w:r>
          </w:p>
        </w:tc>
        <w:tc>
          <w:tcPr>
            <w:tcW w:w="800" w:type="dxa"/>
            <w:vAlign w:val="bottom"/>
            <w:shd w:val="clear" w:color="auto" w:fill="DBDBDB"/>
          </w:tcPr>
          <w:p>
            <w:pPr>
              <w:spacing w:after="0"/>
              <w:rPr>
                <w:sz w:val="15"/>
                <w:szCs w:val="15"/>
                <w:color w:val="auto"/>
              </w:rPr>
            </w:pPr>
          </w:p>
        </w:tc>
        <w:tc>
          <w:tcPr>
            <w:tcW w:w="62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8,444</w:t>
            </w:r>
          </w:p>
        </w:tc>
        <w:tc>
          <w:tcPr>
            <w:tcW w:w="800" w:type="dxa"/>
            <w:vAlign w:val="bottom"/>
            <w:shd w:val="clear" w:color="auto" w:fill="DBDBDB"/>
          </w:tcPr>
          <w:p>
            <w:pPr>
              <w:spacing w:after="0"/>
              <w:rPr>
                <w:sz w:val="15"/>
                <w:szCs w:val="15"/>
                <w:color w:val="auto"/>
              </w:rPr>
            </w:pPr>
          </w:p>
        </w:tc>
        <w:tc>
          <w:tcPr>
            <w:tcW w:w="62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8,834</w:t>
            </w:r>
          </w:p>
        </w:tc>
        <w:tc>
          <w:tcPr>
            <w:tcW w:w="340" w:type="dxa"/>
            <w:vAlign w:val="bottom"/>
            <w:shd w:val="clear" w:color="auto" w:fill="DBDBDB"/>
          </w:tcPr>
          <w:p>
            <w:pPr>
              <w:spacing w:after="0"/>
              <w:rPr>
                <w:sz w:val="15"/>
                <w:szCs w:val="15"/>
                <w:color w:val="auto"/>
              </w:rPr>
            </w:pPr>
          </w:p>
        </w:tc>
        <w:tc>
          <w:tcPr>
            <w:tcW w:w="10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8,262</w:t>
            </w:r>
          </w:p>
        </w:tc>
        <w:tc>
          <w:tcPr>
            <w:tcW w:w="0" w:type="dxa"/>
            <w:vAlign w:val="bottom"/>
          </w:tcPr>
          <w:p>
            <w:pPr>
              <w:spacing w:after="0"/>
              <w:rPr>
                <w:sz w:val="1"/>
                <w:szCs w:val="1"/>
                <w:color w:val="auto"/>
              </w:rPr>
            </w:pPr>
          </w:p>
        </w:tc>
      </w:tr>
      <w:tr>
        <w:trPr>
          <w:trHeight w:val="172"/>
        </w:trPr>
        <w:tc>
          <w:tcPr>
            <w:tcW w:w="3480" w:type="dxa"/>
            <w:vAlign w:val="bottom"/>
          </w:tcPr>
          <w:p>
            <w:pPr>
              <w:ind w:left="20"/>
              <w:spacing w:after="0"/>
              <w:rPr>
                <w:sz w:val="20"/>
                <w:szCs w:val="20"/>
                <w:color w:val="auto"/>
              </w:rPr>
            </w:pPr>
            <w:r>
              <w:rPr>
                <w:rFonts w:ascii="Arial" w:cs="Arial" w:eastAsia="Arial" w:hAnsi="Arial"/>
                <w:sz w:val="13"/>
                <w:szCs w:val="13"/>
                <w:color w:val="auto"/>
              </w:rPr>
              <w:t>Average modular space utilization rate</w:t>
            </w:r>
          </w:p>
        </w:tc>
        <w:tc>
          <w:tcPr>
            <w:tcW w:w="15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74.2 %</w:t>
            </w:r>
          </w:p>
        </w:tc>
        <w:tc>
          <w:tcPr>
            <w:tcW w:w="8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74.6 %</w:t>
            </w:r>
          </w:p>
        </w:tc>
        <w:tc>
          <w:tcPr>
            <w:tcW w:w="8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79.1 %</w:t>
            </w:r>
          </w:p>
        </w:tc>
        <w:tc>
          <w:tcPr>
            <w:tcW w:w="8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82.4 %</w:t>
            </w: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77.6 %</w:t>
            </w:r>
          </w:p>
        </w:tc>
        <w:tc>
          <w:tcPr>
            <w:tcW w:w="0" w:type="dxa"/>
            <w:vAlign w:val="bottom"/>
          </w:tcPr>
          <w:p>
            <w:pPr>
              <w:spacing w:after="0"/>
              <w:rPr>
                <w:sz w:val="1"/>
                <w:szCs w:val="1"/>
                <w:color w:val="auto"/>
              </w:rPr>
            </w:pPr>
          </w:p>
        </w:tc>
      </w:tr>
      <w:tr>
        <w:trPr>
          <w:trHeight w:val="178"/>
        </w:trPr>
        <w:tc>
          <w:tcPr>
            <w:tcW w:w="3480" w:type="dxa"/>
            <w:vAlign w:val="bottom"/>
            <w:shd w:val="clear" w:color="auto" w:fill="DBDBDB"/>
          </w:tcPr>
          <w:p>
            <w:pPr>
              <w:ind w:left="20"/>
              <w:spacing w:after="0"/>
              <w:rPr>
                <w:sz w:val="20"/>
                <w:szCs w:val="20"/>
                <w:color w:val="auto"/>
              </w:rPr>
            </w:pPr>
            <w:r>
              <w:rPr>
                <w:rFonts w:ascii="Arial" w:cs="Arial" w:eastAsia="Arial" w:hAnsi="Arial"/>
                <w:sz w:val="13"/>
                <w:szCs w:val="13"/>
                <w:color w:val="auto"/>
              </w:rPr>
              <w:t>Average modular space monthly rental rate</w:t>
            </w:r>
          </w:p>
        </w:tc>
        <w:tc>
          <w:tcPr>
            <w:tcW w:w="1540" w:type="dxa"/>
            <w:vAlign w:val="bottom"/>
            <w:shd w:val="clear" w:color="auto" w:fill="DBDBDB"/>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326</w:t>
            </w:r>
          </w:p>
        </w:tc>
        <w:tc>
          <w:tcPr>
            <w:tcW w:w="800" w:type="dxa"/>
            <w:vAlign w:val="bottom"/>
            <w:shd w:val="clear" w:color="auto" w:fill="DBDBDB"/>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313</w:t>
            </w:r>
          </w:p>
        </w:tc>
        <w:tc>
          <w:tcPr>
            <w:tcW w:w="800" w:type="dxa"/>
            <w:vAlign w:val="bottom"/>
            <w:shd w:val="clear" w:color="auto" w:fill="DBDBDB"/>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356</w:t>
            </w:r>
          </w:p>
        </w:tc>
        <w:tc>
          <w:tcPr>
            <w:tcW w:w="800" w:type="dxa"/>
            <w:vAlign w:val="bottom"/>
            <w:shd w:val="clear" w:color="auto" w:fill="DBDBDB"/>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377</w:t>
            </w:r>
          </w:p>
        </w:tc>
        <w:tc>
          <w:tcPr>
            <w:tcW w:w="3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344</w:t>
            </w:r>
          </w:p>
        </w:tc>
        <w:tc>
          <w:tcPr>
            <w:tcW w:w="0" w:type="dxa"/>
            <w:vAlign w:val="bottom"/>
          </w:tcPr>
          <w:p>
            <w:pPr>
              <w:spacing w:after="0"/>
              <w:rPr>
                <w:sz w:val="1"/>
                <w:szCs w:val="1"/>
                <w:color w:val="auto"/>
              </w:rPr>
            </w:pPr>
          </w:p>
        </w:tc>
      </w:tr>
      <w:tr>
        <w:trPr>
          <w:trHeight w:val="172"/>
        </w:trPr>
        <w:tc>
          <w:tcPr>
            <w:tcW w:w="3480" w:type="dxa"/>
            <w:vAlign w:val="bottom"/>
          </w:tcPr>
          <w:p>
            <w:pPr>
              <w:ind w:left="20"/>
              <w:spacing w:after="0"/>
              <w:rPr>
                <w:sz w:val="20"/>
                <w:szCs w:val="20"/>
                <w:color w:val="auto"/>
              </w:rPr>
            </w:pPr>
            <w:r>
              <w:rPr>
                <w:rFonts w:ascii="Arial" w:cs="Arial" w:eastAsia="Arial" w:hAnsi="Arial"/>
                <w:sz w:val="13"/>
                <w:szCs w:val="13"/>
                <w:color w:val="auto"/>
              </w:rPr>
              <w:t>Average portable storage units on rent</w:t>
            </w:r>
          </w:p>
        </w:tc>
        <w:tc>
          <w:tcPr>
            <w:tcW w:w="1540" w:type="dxa"/>
            <w:vAlign w:val="bottom"/>
          </w:tcPr>
          <w:p>
            <w:pPr>
              <w:spacing w:after="0"/>
              <w:rPr>
                <w:sz w:val="14"/>
                <w:szCs w:val="14"/>
                <w:color w:val="auto"/>
              </w:rPr>
            </w:pPr>
          </w:p>
        </w:tc>
        <w:tc>
          <w:tcPr>
            <w:tcW w:w="620" w:type="dxa"/>
            <w:vAlign w:val="bottom"/>
          </w:tcPr>
          <w:p>
            <w:pPr>
              <w:jc w:val="right"/>
              <w:ind w:right="134"/>
              <w:spacing w:after="0"/>
              <w:rPr>
                <w:sz w:val="20"/>
                <w:szCs w:val="20"/>
                <w:color w:val="auto"/>
              </w:rPr>
            </w:pPr>
            <w:r>
              <w:rPr>
                <w:rFonts w:ascii="Arial" w:cs="Arial" w:eastAsia="Arial" w:hAnsi="Arial"/>
                <w:sz w:val="13"/>
                <w:szCs w:val="13"/>
                <w:color w:val="auto"/>
              </w:rPr>
              <w:t>23,328</w:t>
            </w:r>
          </w:p>
        </w:tc>
        <w:tc>
          <w:tcPr>
            <w:tcW w:w="800" w:type="dxa"/>
            <w:vAlign w:val="bottom"/>
          </w:tcPr>
          <w:p>
            <w:pPr>
              <w:spacing w:after="0"/>
              <w:rPr>
                <w:sz w:val="14"/>
                <w:szCs w:val="14"/>
                <w:color w:val="auto"/>
              </w:rPr>
            </w:pPr>
          </w:p>
        </w:tc>
        <w:tc>
          <w:tcPr>
            <w:tcW w:w="620" w:type="dxa"/>
            <w:vAlign w:val="bottom"/>
          </w:tcPr>
          <w:p>
            <w:pPr>
              <w:jc w:val="right"/>
              <w:ind w:right="134"/>
              <w:spacing w:after="0"/>
              <w:rPr>
                <w:sz w:val="20"/>
                <w:szCs w:val="20"/>
                <w:color w:val="auto"/>
              </w:rPr>
            </w:pPr>
            <w:r>
              <w:rPr>
                <w:rFonts w:ascii="Arial" w:cs="Arial" w:eastAsia="Arial" w:hAnsi="Arial"/>
                <w:sz w:val="13"/>
                <w:szCs w:val="13"/>
                <w:color w:val="auto"/>
              </w:rPr>
              <w:t>22,870</w:t>
            </w:r>
          </w:p>
        </w:tc>
        <w:tc>
          <w:tcPr>
            <w:tcW w:w="800" w:type="dxa"/>
            <w:vAlign w:val="bottom"/>
          </w:tcPr>
          <w:p>
            <w:pPr>
              <w:spacing w:after="0"/>
              <w:rPr>
                <w:sz w:val="14"/>
                <w:szCs w:val="14"/>
                <w:color w:val="auto"/>
              </w:rPr>
            </w:pPr>
          </w:p>
        </w:tc>
        <w:tc>
          <w:tcPr>
            <w:tcW w:w="620" w:type="dxa"/>
            <w:vAlign w:val="bottom"/>
          </w:tcPr>
          <w:p>
            <w:pPr>
              <w:jc w:val="right"/>
              <w:ind w:right="134"/>
              <w:spacing w:after="0"/>
              <w:rPr>
                <w:sz w:val="20"/>
                <w:szCs w:val="20"/>
                <w:color w:val="auto"/>
              </w:rPr>
            </w:pPr>
            <w:r>
              <w:rPr>
                <w:rFonts w:ascii="Arial" w:cs="Arial" w:eastAsia="Arial" w:hAnsi="Arial"/>
                <w:sz w:val="13"/>
                <w:szCs w:val="13"/>
                <w:color w:val="auto"/>
              </w:rPr>
              <w:t>23,146</w:t>
            </w:r>
          </w:p>
        </w:tc>
        <w:tc>
          <w:tcPr>
            <w:tcW w:w="800" w:type="dxa"/>
            <w:vAlign w:val="bottom"/>
          </w:tcPr>
          <w:p>
            <w:pPr>
              <w:spacing w:after="0"/>
              <w:rPr>
                <w:sz w:val="14"/>
                <w:szCs w:val="14"/>
                <w:color w:val="auto"/>
              </w:rPr>
            </w:pPr>
          </w:p>
        </w:tc>
        <w:tc>
          <w:tcPr>
            <w:tcW w:w="620" w:type="dxa"/>
            <w:vAlign w:val="bottom"/>
          </w:tcPr>
          <w:p>
            <w:pPr>
              <w:jc w:val="right"/>
              <w:ind w:right="134"/>
              <w:spacing w:after="0"/>
              <w:rPr>
                <w:sz w:val="20"/>
                <w:szCs w:val="20"/>
                <w:color w:val="auto"/>
              </w:rPr>
            </w:pPr>
            <w:r>
              <w:rPr>
                <w:rFonts w:ascii="Arial" w:cs="Arial" w:eastAsia="Arial" w:hAnsi="Arial"/>
                <w:sz w:val="13"/>
                <w:szCs w:val="13"/>
                <w:color w:val="auto"/>
              </w:rPr>
              <w:t>24,496</w:t>
            </w:r>
          </w:p>
        </w:tc>
        <w:tc>
          <w:tcPr>
            <w:tcW w:w="340" w:type="dxa"/>
            <w:vAlign w:val="bottom"/>
          </w:tcPr>
          <w:p>
            <w:pPr>
              <w:spacing w:after="0"/>
              <w:rPr>
                <w:sz w:val="14"/>
                <w:szCs w:val="14"/>
                <w:color w:val="auto"/>
              </w:rPr>
            </w:pPr>
          </w:p>
        </w:tc>
        <w:tc>
          <w:tcPr>
            <w:tcW w:w="1040" w:type="dxa"/>
            <w:vAlign w:val="bottom"/>
          </w:tcPr>
          <w:p>
            <w:pPr>
              <w:jc w:val="right"/>
              <w:ind w:right="94"/>
              <w:spacing w:after="0"/>
              <w:rPr>
                <w:sz w:val="20"/>
                <w:szCs w:val="20"/>
                <w:color w:val="auto"/>
              </w:rPr>
            </w:pPr>
            <w:r>
              <w:rPr>
                <w:rFonts w:ascii="Arial" w:cs="Arial" w:eastAsia="Arial" w:hAnsi="Arial"/>
                <w:sz w:val="13"/>
                <w:szCs w:val="13"/>
                <w:color w:val="auto"/>
              </w:rPr>
              <w:t>23,462</w:t>
            </w:r>
          </w:p>
        </w:tc>
        <w:tc>
          <w:tcPr>
            <w:tcW w:w="0" w:type="dxa"/>
            <w:vAlign w:val="bottom"/>
          </w:tcPr>
          <w:p>
            <w:pPr>
              <w:spacing w:after="0"/>
              <w:rPr>
                <w:sz w:val="1"/>
                <w:szCs w:val="1"/>
                <w:color w:val="auto"/>
              </w:rPr>
            </w:pPr>
          </w:p>
        </w:tc>
      </w:tr>
      <w:tr>
        <w:trPr>
          <w:trHeight w:val="178"/>
        </w:trPr>
        <w:tc>
          <w:tcPr>
            <w:tcW w:w="3480" w:type="dxa"/>
            <w:vAlign w:val="bottom"/>
            <w:shd w:val="clear" w:color="auto" w:fill="DBDBDB"/>
          </w:tcPr>
          <w:p>
            <w:pPr>
              <w:ind w:left="20"/>
              <w:spacing w:after="0"/>
              <w:rPr>
                <w:sz w:val="20"/>
                <w:szCs w:val="20"/>
                <w:color w:val="auto"/>
              </w:rPr>
            </w:pPr>
            <w:r>
              <w:rPr>
                <w:rFonts w:ascii="Arial" w:cs="Arial" w:eastAsia="Arial" w:hAnsi="Arial"/>
                <w:sz w:val="13"/>
                <w:szCs w:val="13"/>
                <w:color w:val="auto"/>
              </w:rPr>
              <w:t>Average portable storage utilization rate</w:t>
            </w:r>
          </w:p>
        </w:tc>
        <w:tc>
          <w:tcPr>
            <w:tcW w:w="1540" w:type="dxa"/>
            <w:vAlign w:val="bottom"/>
            <w:shd w:val="clear" w:color="auto" w:fill="DBDBDB"/>
          </w:tcPr>
          <w:p>
            <w:pPr>
              <w:spacing w:after="0"/>
              <w:rPr>
                <w:sz w:val="15"/>
                <w:szCs w:val="15"/>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83.7 %</w:t>
            </w:r>
          </w:p>
        </w:tc>
        <w:tc>
          <w:tcPr>
            <w:tcW w:w="800" w:type="dxa"/>
            <w:vAlign w:val="bottom"/>
            <w:shd w:val="clear" w:color="auto" w:fill="DBDBDB"/>
          </w:tcPr>
          <w:p>
            <w:pPr>
              <w:spacing w:after="0"/>
              <w:rPr>
                <w:sz w:val="15"/>
                <w:szCs w:val="15"/>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82.2 %</w:t>
            </w:r>
          </w:p>
        </w:tc>
        <w:tc>
          <w:tcPr>
            <w:tcW w:w="800" w:type="dxa"/>
            <w:vAlign w:val="bottom"/>
            <w:shd w:val="clear" w:color="auto" w:fill="DBDBDB"/>
          </w:tcPr>
          <w:p>
            <w:pPr>
              <w:spacing w:after="0"/>
              <w:rPr>
                <w:sz w:val="15"/>
                <w:szCs w:val="15"/>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83.2 %</w:t>
            </w:r>
          </w:p>
        </w:tc>
        <w:tc>
          <w:tcPr>
            <w:tcW w:w="800" w:type="dxa"/>
            <w:vAlign w:val="bottom"/>
            <w:shd w:val="clear" w:color="auto" w:fill="DBDBDB"/>
          </w:tcPr>
          <w:p>
            <w:pPr>
              <w:spacing w:after="0"/>
              <w:rPr>
                <w:sz w:val="15"/>
                <w:szCs w:val="15"/>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88.6 %</w:t>
            </w:r>
          </w:p>
        </w:tc>
        <w:tc>
          <w:tcPr>
            <w:tcW w:w="34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84.4 %</w:t>
            </w:r>
          </w:p>
        </w:tc>
        <w:tc>
          <w:tcPr>
            <w:tcW w:w="0" w:type="dxa"/>
            <w:vAlign w:val="bottom"/>
          </w:tcPr>
          <w:p>
            <w:pPr>
              <w:spacing w:after="0"/>
              <w:rPr>
                <w:sz w:val="1"/>
                <w:szCs w:val="1"/>
                <w:color w:val="auto"/>
              </w:rPr>
            </w:pPr>
          </w:p>
        </w:tc>
      </w:tr>
      <w:tr>
        <w:trPr>
          <w:trHeight w:val="169"/>
        </w:trPr>
        <w:tc>
          <w:tcPr>
            <w:tcW w:w="3480" w:type="dxa"/>
            <w:vAlign w:val="bottom"/>
          </w:tcPr>
          <w:p>
            <w:pPr>
              <w:ind w:left="20"/>
              <w:spacing w:after="0"/>
              <w:rPr>
                <w:sz w:val="20"/>
                <w:szCs w:val="20"/>
                <w:color w:val="auto"/>
              </w:rPr>
            </w:pPr>
            <w:r>
              <w:rPr>
                <w:rFonts w:ascii="Arial" w:cs="Arial" w:eastAsia="Arial" w:hAnsi="Arial"/>
                <w:sz w:val="13"/>
                <w:szCs w:val="13"/>
                <w:color w:val="auto"/>
              </w:rPr>
              <w:t>Average portable storage monthly rental rate</w:t>
            </w:r>
          </w:p>
        </w:tc>
        <w:tc>
          <w:tcPr>
            <w:tcW w:w="1540" w:type="dxa"/>
            <w:vAlign w:val="bottom"/>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34"/>
              <w:spacing w:after="0"/>
              <w:rPr>
                <w:sz w:val="20"/>
                <w:szCs w:val="20"/>
                <w:color w:val="auto"/>
              </w:rPr>
            </w:pPr>
            <w:r>
              <w:rPr>
                <w:rFonts w:ascii="Arial" w:cs="Arial" w:eastAsia="Arial" w:hAnsi="Arial"/>
                <w:sz w:val="13"/>
                <w:szCs w:val="13"/>
                <w:color w:val="auto"/>
              </w:rPr>
              <w:t>73</w:t>
            </w:r>
          </w:p>
        </w:tc>
        <w:tc>
          <w:tcPr>
            <w:tcW w:w="800" w:type="dxa"/>
            <w:vAlign w:val="bottom"/>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34"/>
              <w:spacing w:after="0"/>
              <w:rPr>
                <w:sz w:val="20"/>
                <w:szCs w:val="20"/>
                <w:color w:val="auto"/>
              </w:rPr>
            </w:pPr>
            <w:r>
              <w:rPr>
                <w:rFonts w:ascii="Arial" w:cs="Arial" w:eastAsia="Arial" w:hAnsi="Arial"/>
                <w:sz w:val="13"/>
                <w:szCs w:val="13"/>
                <w:color w:val="auto"/>
              </w:rPr>
              <w:t>70</w:t>
            </w:r>
          </w:p>
        </w:tc>
        <w:tc>
          <w:tcPr>
            <w:tcW w:w="800" w:type="dxa"/>
            <w:vAlign w:val="bottom"/>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34"/>
              <w:spacing w:after="0"/>
              <w:rPr>
                <w:sz w:val="20"/>
                <w:szCs w:val="20"/>
                <w:color w:val="auto"/>
              </w:rPr>
            </w:pPr>
            <w:r>
              <w:rPr>
                <w:rFonts w:ascii="Arial" w:cs="Arial" w:eastAsia="Arial" w:hAnsi="Arial"/>
                <w:sz w:val="13"/>
                <w:szCs w:val="13"/>
                <w:color w:val="auto"/>
              </w:rPr>
              <w:t>75</w:t>
            </w:r>
          </w:p>
        </w:tc>
        <w:tc>
          <w:tcPr>
            <w:tcW w:w="800" w:type="dxa"/>
            <w:vAlign w:val="bottom"/>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34"/>
              <w:spacing w:after="0"/>
              <w:rPr>
                <w:sz w:val="20"/>
                <w:szCs w:val="20"/>
                <w:color w:val="auto"/>
              </w:rPr>
            </w:pPr>
            <w:r>
              <w:rPr>
                <w:rFonts w:ascii="Arial" w:cs="Arial" w:eastAsia="Arial" w:hAnsi="Arial"/>
                <w:sz w:val="13"/>
                <w:szCs w:val="13"/>
                <w:color w:val="auto"/>
              </w:rPr>
              <w:t>78</w:t>
            </w:r>
          </w:p>
        </w:tc>
        <w:tc>
          <w:tcPr>
            <w:tcW w:w="34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94"/>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 Forma Comparison of Years ended December 31, 2021 and 2020</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UK Storage</w:t>
      </w:r>
    </w:p>
    <w:p>
      <w:pPr>
        <w:spacing w:after="0" w:line="47" w:lineRule="exact"/>
        <w:rPr>
          <w:sz w:val="20"/>
          <w:szCs w:val="20"/>
          <w:color w:val="auto"/>
        </w:rPr>
      </w:pPr>
    </w:p>
    <w:p>
      <w:pPr>
        <w:jc w:val="both"/>
        <w:ind w:firstLine="524"/>
        <w:spacing w:after="0" w:line="254" w:lineRule="auto"/>
        <w:rPr>
          <w:sz w:val="20"/>
          <w:szCs w:val="20"/>
          <w:color w:val="auto"/>
        </w:rPr>
      </w:pPr>
      <w:r>
        <w:rPr>
          <w:rFonts w:ascii="Arial" w:cs="Arial" w:eastAsia="Arial" w:hAnsi="Arial"/>
          <w:sz w:val="13"/>
          <w:szCs w:val="13"/>
          <w:b w:val="1"/>
          <w:bCs w:val="1"/>
          <w:color w:val="auto"/>
        </w:rPr>
        <w:t xml:space="preserve">Revenue: </w:t>
      </w:r>
      <w:r>
        <w:rPr>
          <w:rFonts w:ascii="Arial" w:cs="Arial" w:eastAsia="Arial" w:hAnsi="Arial"/>
          <w:sz w:val="13"/>
          <w:szCs w:val="13"/>
          <w:color w:val="auto"/>
        </w:rPr>
        <w:t>Total revenue increased $27.3 million, or 32.6%, to $111.0 million for the year ended December 31, 2021 from $83.7 million for the year ended December 31, 2020. Total</w:t>
      </w:r>
      <w:r>
        <w:rPr>
          <w:rFonts w:ascii="Arial" w:cs="Arial" w:eastAsia="Arial" w:hAnsi="Arial"/>
          <w:sz w:val="13"/>
          <w:szCs w:val="13"/>
          <w:b w:val="1"/>
          <w:bCs w:val="1"/>
          <w:color w:val="auto"/>
        </w:rPr>
        <w:t xml:space="preserve"> </w:t>
      </w:r>
      <w:r>
        <w:rPr>
          <w:rFonts w:ascii="Arial" w:cs="Arial" w:eastAsia="Arial" w:hAnsi="Arial"/>
          <w:sz w:val="13"/>
          <w:szCs w:val="13"/>
          <w:color w:val="auto"/>
        </w:rPr>
        <w:t>Revenue in GBP increased $15.7 million, or 24.1% to $80.7 million for the year ended December 31, 2021 from $65.0 million for the year ended December 31, 2020. Leasing revenues increased 37.5% and delivery and installation revenues increased 44.6%, while sales revenue decreased 33.8%. Within leasing activity, average monthly rental rates for modular space units and portable storage units increased 26.2% and 18.9% year-over-year, respectively. These increases were supplemented by a 10.1% increase in modular space average units on rent and a 9.5% increase in average portable storage units on rent.</w:t>
      </w:r>
    </w:p>
    <w:p>
      <w:pPr>
        <w:spacing w:after="0" w:line="61" w:lineRule="exact"/>
        <w:rPr>
          <w:sz w:val="20"/>
          <w:szCs w:val="20"/>
          <w:color w:val="auto"/>
        </w:rPr>
      </w:pPr>
    </w:p>
    <w:p>
      <w:pPr>
        <w:jc w:val="both"/>
        <w:ind w:firstLine="524"/>
        <w:spacing w:after="0" w:line="282" w:lineRule="auto"/>
        <w:rPr>
          <w:sz w:val="20"/>
          <w:szCs w:val="20"/>
          <w:color w:val="auto"/>
        </w:rPr>
      </w:pPr>
      <w:r>
        <w:rPr>
          <w:rFonts w:ascii="Arial" w:cs="Arial" w:eastAsia="Arial" w:hAnsi="Arial"/>
          <w:sz w:val="13"/>
          <w:szCs w:val="13"/>
          <w:b w:val="1"/>
          <w:bCs w:val="1"/>
          <w:color w:val="auto"/>
        </w:rPr>
        <w:t xml:space="preserve">Gross Profit: </w:t>
      </w:r>
      <w:r>
        <w:rPr>
          <w:rFonts w:ascii="Arial" w:cs="Arial" w:eastAsia="Arial" w:hAnsi="Arial"/>
          <w:sz w:val="13"/>
          <w:szCs w:val="13"/>
          <w:color w:val="auto"/>
        </w:rPr>
        <w:t>Gross profit increased $21.2 million, or 42.4%, to $71.2 million for the year ended December 31, 2021 from $50 million for the year ended December 31, 2020. Gross profit</w:t>
      </w:r>
      <w:r>
        <w:rPr>
          <w:rFonts w:ascii="Arial" w:cs="Arial" w:eastAsia="Arial" w:hAnsi="Arial"/>
          <w:sz w:val="13"/>
          <w:szCs w:val="13"/>
          <w:b w:val="1"/>
          <w:bCs w:val="1"/>
          <w:color w:val="auto"/>
        </w:rPr>
        <w:t xml:space="preserve"> </w:t>
      </w:r>
      <w:r>
        <w:rPr>
          <w:rFonts w:ascii="Arial" w:cs="Arial" w:eastAsia="Arial" w:hAnsi="Arial"/>
          <w:sz w:val="13"/>
          <w:szCs w:val="13"/>
          <w:color w:val="auto"/>
        </w:rPr>
        <w:t>on leasing increased 39.4% year-over-year. Depreciation on rental equipment also increased by $3.5 million.</w:t>
      </w:r>
    </w:p>
    <w:p>
      <w:pPr>
        <w:spacing w:after="0" w:line="42" w:lineRule="exact"/>
        <w:rPr>
          <w:sz w:val="20"/>
          <w:szCs w:val="20"/>
          <w:color w:val="auto"/>
        </w:rPr>
      </w:pPr>
    </w:p>
    <w:p>
      <w:pPr>
        <w:jc w:val="both"/>
        <w:ind w:firstLine="524"/>
        <w:spacing w:after="0" w:line="282" w:lineRule="auto"/>
        <w:rPr>
          <w:sz w:val="20"/>
          <w:szCs w:val="20"/>
          <w:color w:val="auto"/>
        </w:rPr>
      </w:pPr>
      <w:r>
        <w:rPr>
          <w:rFonts w:ascii="Arial" w:cs="Arial" w:eastAsia="Arial" w:hAnsi="Arial"/>
          <w:sz w:val="13"/>
          <w:szCs w:val="13"/>
          <w:b w:val="1"/>
          <w:bCs w:val="1"/>
          <w:color w:val="auto"/>
        </w:rPr>
        <w:t xml:space="preserve">Adjusted EBITDA: </w:t>
      </w:r>
      <w:r>
        <w:rPr>
          <w:rFonts w:ascii="Arial" w:cs="Arial" w:eastAsia="Arial" w:hAnsi="Arial"/>
          <w:sz w:val="13"/>
          <w:szCs w:val="13"/>
          <w:color w:val="auto"/>
        </w:rPr>
        <w:t>Adjusted EBITDA increased $17.9 million, or 57.7%, to $49.0 million for the year ended December 31, 2021 from $31.1 million for the year ended December 31,</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2020. </w:t>
      </w:r>
      <w:r>
        <w:rPr>
          <w:rFonts w:ascii="Arial" w:cs="Arial" w:eastAsia="Arial" w:hAnsi="Arial"/>
          <w:sz w:val="13"/>
          <w:szCs w:val="13"/>
          <w:color w:val="auto"/>
          <w:strike w:val="1"/>
        </w:rPr>
        <w:t>a</w:t>
      </w:r>
      <w:r>
        <w:rPr>
          <w:rFonts w:ascii="Arial" w:cs="Arial" w:eastAsia="Arial" w:hAnsi="Arial"/>
          <w:sz w:val="13"/>
          <w:szCs w:val="13"/>
          <w:color w:val="auto"/>
        </w:rPr>
        <w:t>nd the margin increased to 44.2% from 37.1%. The increase resulted primarily from the favorable gross profit discussed above.</w:t>
      </w:r>
    </w:p>
    <w:p>
      <w:pPr>
        <w:spacing w:after="0" w:line="42" w:lineRule="exact"/>
        <w:rPr>
          <w:sz w:val="20"/>
          <w:szCs w:val="20"/>
          <w:color w:val="auto"/>
        </w:rPr>
      </w:pPr>
    </w:p>
    <w:p>
      <w:pPr>
        <w:jc w:val="both"/>
        <w:ind w:firstLine="524"/>
        <w:spacing w:after="0" w:line="282" w:lineRule="auto"/>
        <w:rPr>
          <w:sz w:val="20"/>
          <w:szCs w:val="20"/>
          <w:color w:val="auto"/>
        </w:rPr>
      </w:pPr>
      <w:r>
        <w:rPr>
          <w:rFonts w:ascii="Arial" w:cs="Arial" w:eastAsia="Arial" w:hAnsi="Arial"/>
          <w:sz w:val="13"/>
          <w:szCs w:val="13"/>
          <w:b w:val="1"/>
          <w:bCs w:val="1"/>
          <w:color w:val="auto"/>
        </w:rPr>
        <w:t xml:space="preserve">Capex for Rental Equipment: </w:t>
      </w:r>
      <w:r>
        <w:rPr>
          <w:rFonts w:ascii="Arial" w:cs="Arial" w:eastAsia="Arial" w:hAnsi="Arial"/>
          <w:sz w:val="13"/>
          <w:szCs w:val="13"/>
          <w:color w:val="auto"/>
        </w:rPr>
        <w:t>Purchases of rental equipment and refurbishments of $27.8 million for the year ended December 31, 2021 were $25.2 million higher than for the year</w:t>
      </w:r>
      <w:r>
        <w:rPr>
          <w:rFonts w:ascii="Arial" w:cs="Arial" w:eastAsia="Arial" w:hAnsi="Arial"/>
          <w:sz w:val="13"/>
          <w:szCs w:val="13"/>
          <w:b w:val="1"/>
          <w:bCs w:val="1"/>
          <w:color w:val="auto"/>
        </w:rPr>
        <w:t xml:space="preserve"> </w:t>
      </w:r>
      <w:r>
        <w:rPr>
          <w:rFonts w:ascii="Arial" w:cs="Arial" w:eastAsia="Arial" w:hAnsi="Arial"/>
          <w:sz w:val="13"/>
          <w:szCs w:val="13"/>
          <w:color w:val="auto"/>
        </w:rPr>
        <w:t>ended December 31, 2020. Rental fleet expenditures were reduced in 2020 in response to COVID-19.</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07" w:right="319" w:bottom="1440" w:gutter="0" w:footer="0" w:header="0"/>
        </w:sectPr>
      </w:pPr>
    </w:p>
    <w:bookmarkStart w:id="61" w:name="page62"/>
    <w:bookmarkEnd w:id="61"/>
    <w:p>
      <w:pPr>
        <w:spacing w:after="0"/>
        <w:rPr>
          <w:sz w:val="20"/>
          <w:szCs w:val="20"/>
          <w:color w:val="auto"/>
        </w:rPr>
      </w:pPr>
      <w:r>
        <w:rPr>
          <w:rFonts w:ascii="Arial" w:cs="Arial" w:eastAsia="Arial" w:hAnsi="Arial"/>
          <w:sz w:val="15"/>
          <w:szCs w:val="15"/>
          <w:b w:val="1"/>
          <w:bCs w:val="1"/>
          <w:color w:val="auto"/>
        </w:rPr>
        <w:t>Tank and Pump - Quarterly Results</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Pro Forma Quarterly Results for the year ended December 31, 2021:</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6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 except for units on rent and</w:t>
            </w:r>
          </w:p>
        </w:tc>
        <w:tc>
          <w:tcPr>
            <w:tcW w:w="760" w:type="dxa"/>
            <w:vAlign w:val="bottom"/>
            <w:vMerge w:val="restart"/>
            <w:shd w:val="clear" w:color="auto" w:fill="1D2758"/>
          </w:tcPr>
          <w:p>
            <w:pPr>
              <w:jc w:val="right"/>
              <w:spacing w:after="0"/>
              <w:rPr>
                <w:sz w:val="20"/>
                <w:szCs w:val="20"/>
                <w:color w:val="auto"/>
              </w:rPr>
            </w:pPr>
            <w:r>
              <w:rPr>
                <w:rFonts w:ascii="Arial" w:cs="Arial" w:eastAsia="Arial" w:hAnsi="Arial"/>
                <w:sz w:val="13"/>
                <w:szCs w:val="13"/>
                <w:b w:val="1"/>
                <w:bCs w:val="1"/>
                <w:color w:val="FFFFFF"/>
              </w:rPr>
              <w:t>Q1</w:t>
            </w:r>
          </w:p>
        </w:tc>
        <w:tc>
          <w:tcPr>
            <w:tcW w:w="620" w:type="dxa"/>
            <w:vAlign w:val="bottom"/>
            <w:shd w:val="clear" w:color="auto" w:fill="1D2758"/>
          </w:tcPr>
          <w:p>
            <w:pPr>
              <w:spacing w:after="0"/>
              <w:rPr>
                <w:sz w:val="13"/>
                <w:szCs w:val="13"/>
                <w:color w:val="auto"/>
              </w:rPr>
            </w:pPr>
          </w:p>
        </w:tc>
        <w:tc>
          <w:tcPr>
            <w:tcW w:w="800" w:type="dxa"/>
            <w:vAlign w:val="bottom"/>
            <w:vMerge w:val="restart"/>
            <w:shd w:val="clear" w:color="auto" w:fill="1D2758"/>
          </w:tcPr>
          <w:p>
            <w:pPr>
              <w:jc w:val="right"/>
              <w:spacing w:after="0"/>
              <w:rPr>
                <w:sz w:val="20"/>
                <w:szCs w:val="20"/>
                <w:color w:val="auto"/>
              </w:rPr>
            </w:pPr>
            <w:r>
              <w:rPr>
                <w:rFonts w:ascii="Arial" w:cs="Arial" w:eastAsia="Arial" w:hAnsi="Arial"/>
                <w:sz w:val="13"/>
                <w:szCs w:val="13"/>
                <w:b w:val="1"/>
                <w:bCs w:val="1"/>
                <w:color w:val="FFFFFF"/>
              </w:rPr>
              <w:t>Q2</w:t>
            </w:r>
          </w:p>
        </w:tc>
        <w:tc>
          <w:tcPr>
            <w:tcW w:w="620" w:type="dxa"/>
            <w:vAlign w:val="bottom"/>
            <w:shd w:val="clear" w:color="auto" w:fill="1D2758"/>
          </w:tcPr>
          <w:p>
            <w:pPr>
              <w:spacing w:after="0"/>
              <w:rPr>
                <w:sz w:val="13"/>
                <w:szCs w:val="13"/>
                <w:color w:val="auto"/>
              </w:rPr>
            </w:pPr>
          </w:p>
        </w:tc>
        <w:tc>
          <w:tcPr>
            <w:tcW w:w="380" w:type="dxa"/>
            <w:vAlign w:val="bottom"/>
            <w:shd w:val="clear" w:color="auto" w:fill="1D2758"/>
          </w:tcPr>
          <w:p>
            <w:pPr>
              <w:spacing w:after="0"/>
              <w:rPr>
                <w:sz w:val="13"/>
                <w:szCs w:val="13"/>
                <w:color w:val="auto"/>
              </w:rPr>
            </w:pPr>
          </w:p>
        </w:tc>
        <w:tc>
          <w:tcPr>
            <w:tcW w:w="1040" w:type="dxa"/>
            <w:vAlign w:val="bottom"/>
            <w:vMerge w:val="restart"/>
            <w:shd w:val="clear" w:color="auto" w:fill="1D2758"/>
          </w:tcPr>
          <w:p>
            <w:pPr>
              <w:jc w:val="right"/>
              <w:ind w:right="554"/>
              <w:spacing w:after="0"/>
              <w:rPr>
                <w:sz w:val="20"/>
                <w:szCs w:val="20"/>
                <w:color w:val="auto"/>
              </w:rPr>
            </w:pPr>
            <w:r>
              <w:rPr>
                <w:rFonts w:ascii="Arial" w:cs="Arial" w:eastAsia="Arial" w:hAnsi="Arial"/>
                <w:sz w:val="13"/>
                <w:szCs w:val="13"/>
                <w:b w:val="1"/>
                <w:bCs w:val="1"/>
                <w:color w:val="FFFFFF"/>
              </w:rPr>
              <w:t>Q3</w:t>
            </w:r>
          </w:p>
        </w:tc>
        <w:tc>
          <w:tcPr>
            <w:tcW w:w="380" w:type="dxa"/>
            <w:vAlign w:val="bottom"/>
            <w:shd w:val="clear" w:color="auto" w:fill="1D2758"/>
          </w:tcPr>
          <w:p>
            <w:pPr>
              <w:spacing w:after="0"/>
              <w:rPr>
                <w:sz w:val="13"/>
                <w:szCs w:val="13"/>
                <w:color w:val="auto"/>
              </w:rPr>
            </w:pPr>
          </w:p>
        </w:tc>
        <w:tc>
          <w:tcPr>
            <w:tcW w:w="1040" w:type="dxa"/>
            <w:vAlign w:val="bottom"/>
            <w:vMerge w:val="restart"/>
            <w:shd w:val="clear" w:color="auto" w:fill="1D2758"/>
          </w:tcPr>
          <w:p>
            <w:pPr>
              <w:jc w:val="right"/>
              <w:ind w:right="554"/>
              <w:spacing w:after="0"/>
              <w:rPr>
                <w:sz w:val="20"/>
                <w:szCs w:val="20"/>
                <w:color w:val="auto"/>
              </w:rPr>
            </w:pPr>
            <w:r>
              <w:rPr>
                <w:rFonts w:ascii="Arial" w:cs="Arial" w:eastAsia="Arial" w:hAnsi="Arial"/>
                <w:sz w:val="13"/>
                <w:szCs w:val="13"/>
                <w:b w:val="1"/>
                <w:bCs w:val="1"/>
                <w:color w:val="FFFFFF"/>
              </w:rPr>
              <w:t>Q4</w:t>
            </w:r>
          </w:p>
        </w:tc>
        <w:tc>
          <w:tcPr>
            <w:tcW w:w="340" w:type="dxa"/>
            <w:vAlign w:val="bottom"/>
            <w:shd w:val="clear" w:color="auto" w:fill="1D2758"/>
          </w:tcPr>
          <w:p>
            <w:pPr>
              <w:spacing w:after="0"/>
              <w:rPr>
                <w:sz w:val="13"/>
                <w:szCs w:val="13"/>
                <w:color w:val="auto"/>
              </w:rPr>
            </w:pPr>
          </w:p>
        </w:tc>
        <w:tc>
          <w:tcPr>
            <w:tcW w:w="1040" w:type="dxa"/>
            <w:vAlign w:val="bottom"/>
            <w:vMerge w:val="restart"/>
            <w:shd w:val="clear" w:color="auto" w:fill="1D2758"/>
          </w:tcPr>
          <w:p>
            <w:pPr>
              <w:jc w:val="right"/>
              <w:ind w:right="454"/>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75"/>
        </w:trPr>
        <w:tc>
          <w:tcPr>
            <w:tcW w:w="426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monthly rental rate)</w:t>
            </w:r>
          </w:p>
        </w:tc>
        <w:tc>
          <w:tcPr>
            <w:tcW w:w="760" w:type="dxa"/>
            <w:vAlign w:val="bottom"/>
            <w:vMerge w:val="continue"/>
            <w:shd w:val="clear" w:color="auto" w:fill="1D2758"/>
          </w:tcPr>
          <w:p>
            <w:pPr>
              <w:spacing w:after="0"/>
              <w:rPr>
                <w:sz w:val="15"/>
                <w:szCs w:val="15"/>
                <w:color w:val="auto"/>
              </w:rPr>
            </w:pPr>
          </w:p>
        </w:tc>
        <w:tc>
          <w:tcPr>
            <w:tcW w:w="620" w:type="dxa"/>
            <w:vAlign w:val="bottom"/>
            <w:shd w:val="clear" w:color="auto" w:fill="1D2758"/>
          </w:tcPr>
          <w:p>
            <w:pPr>
              <w:spacing w:after="0"/>
              <w:rPr>
                <w:sz w:val="15"/>
                <w:szCs w:val="15"/>
                <w:color w:val="auto"/>
              </w:rPr>
            </w:pPr>
          </w:p>
        </w:tc>
        <w:tc>
          <w:tcPr>
            <w:tcW w:w="800" w:type="dxa"/>
            <w:vAlign w:val="bottom"/>
            <w:vMerge w:val="continue"/>
            <w:shd w:val="clear" w:color="auto" w:fill="1D2758"/>
          </w:tcPr>
          <w:p>
            <w:pPr>
              <w:spacing w:after="0"/>
              <w:rPr>
                <w:sz w:val="15"/>
                <w:szCs w:val="15"/>
                <w:color w:val="auto"/>
              </w:rPr>
            </w:pPr>
          </w:p>
        </w:tc>
        <w:tc>
          <w:tcPr>
            <w:tcW w:w="620" w:type="dxa"/>
            <w:vAlign w:val="bottom"/>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34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60" w:type="dxa"/>
            <w:vAlign w:val="bottom"/>
            <w:shd w:val="clear" w:color="auto" w:fill="DBDBDB"/>
          </w:tcPr>
          <w:p>
            <w:pPr>
              <w:ind w:left="20"/>
              <w:spacing w:after="0"/>
              <w:rPr>
                <w:sz w:val="20"/>
                <w:szCs w:val="20"/>
                <w:color w:val="auto"/>
              </w:rPr>
            </w:pPr>
            <w:r>
              <w:rPr>
                <w:rFonts w:ascii="Arial" w:cs="Arial" w:eastAsia="Arial" w:hAnsi="Arial"/>
                <w:sz w:val="13"/>
                <w:szCs w:val="13"/>
                <w:color w:val="auto"/>
              </w:rPr>
              <w:t>Revenue</w:t>
            </w:r>
          </w:p>
        </w:tc>
        <w:tc>
          <w:tcPr>
            <w:tcW w:w="760" w:type="dxa"/>
            <w:vAlign w:val="bottom"/>
            <w:shd w:val="clear" w:color="auto" w:fill="DBDBDB"/>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24,344</w:t>
            </w:r>
          </w:p>
        </w:tc>
        <w:tc>
          <w:tcPr>
            <w:tcW w:w="800" w:type="dxa"/>
            <w:vAlign w:val="bottom"/>
            <w:shd w:val="clear" w:color="auto" w:fill="DBDBDB"/>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27,494</w:t>
            </w:r>
          </w:p>
        </w:tc>
        <w:tc>
          <w:tcPr>
            <w:tcW w:w="380" w:type="dxa"/>
            <w:vAlign w:val="bottom"/>
            <w:shd w:val="clear" w:color="auto" w:fill="DBDBDB"/>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29,505</w:t>
            </w:r>
          </w:p>
        </w:tc>
        <w:tc>
          <w:tcPr>
            <w:tcW w:w="380" w:type="dxa"/>
            <w:vAlign w:val="bottom"/>
            <w:shd w:val="clear" w:color="auto" w:fill="DBDBDB"/>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29,548</w:t>
            </w:r>
          </w:p>
        </w:tc>
        <w:tc>
          <w:tcPr>
            <w:tcW w:w="3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110,891</w:t>
            </w:r>
          </w:p>
        </w:tc>
        <w:tc>
          <w:tcPr>
            <w:tcW w:w="0" w:type="dxa"/>
            <w:vAlign w:val="bottom"/>
          </w:tcPr>
          <w:p>
            <w:pPr>
              <w:spacing w:after="0"/>
              <w:rPr>
                <w:sz w:val="1"/>
                <w:szCs w:val="1"/>
                <w:color w:val="auto"/>
              </w:rPr>
            </w:pPr>
          </w:p>
        </w:tc>
      </w:tr>
      <w:tr>
        <w:trPr>
          <w:trHeight w:val="172"/>
        </w:trPr>
        <w:tc>
          <w:tcPr>
            <w:tcW w:w="4260" w:type="dxa"/>
            <w:vAlign w:val="bottom"/>
          </w:tcPr>
          <w:p>
            <w:pPr>
              <w:ind w:left="20"/>
              <w:spacing w:after="0"/>
              <w:rPr>
                <w:sz w:val="20"/>
                <w:szCs w:val="20"/>
                <w:color w:val="auto"/>
              </w:rPr>
            </w:pPr>
            <w:r>
              <w:rPr>
                <w:rFonts w:ascii="Arial" w:cs="Arial" w:eastAsia="Arial" w:hAnsi="Arial"/>
                <w:sz w:val="13"/>
                <w:szCs w:val="13"/>
                <w:color w:val="auto"/>
              </w:rPr>
              <w:t>Gross profit</w:t>
            </w:r>
          </w:p>
        </w:tc>
        <w:tc>
          <w:tcPr>
            <w:tcW w:w="760" w:type="dxa"/>
            <w:vAlign w:val="bottom"/>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34"/>
              <w:spacing w:after="0"/>
              <w:rPr>
                <w:sz w:val="20"/>
                <w:szCs w:val="20"/>
                <w:color w:val="auto"/>
              </w:rPr>
            </w:pPr>
            <w:r>
              <w:rPr>
                <w:rFonts w:ascii="Arial" w:cs="Arial" w:eastAsia="Arial" w:hAnsi="Arial"/>
                <w:sz w:val="13"/>
                <w:szCs w:val="13"/>
                <w:color w:val="auto"/>
              </w:rPr>
              <w:t>11,266</w:t>
            </w:r>
          </w:p>
        </w:tc>
        <w:tc>
          <w:tcPr>
            <w:tcW w:w="800" w:type="dxa"/>
            <w:vAlign w:val="bottom"/>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34"/>
              <w:spacing w:after="0"/>
              <w:rPr>
                <w:sz w:val="20"/>
                <w:szCs w:val="20"/>
                <w:color w:val="auto"/>
              </w:rPr>
            </w:pPr>
            <w:r>
              <w:rPr>
                <w:rFonts w:ascii="Arial" w:cs="Arial" w:eastAsia="Arial" w:hAnsi="Arial"/>
                <w:sz w:val="13"/>
                <w:szCs w:val="13"/>
                <w:color w:val="auto"/>
              </w:rPr>
              <w:t>13,016</w:t>
            </w:r>
          </w:p>
        </w:tc>
        <w:tc>
          <w:tcPr>
            <w:tcW w:w="38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4"/>
              <w:spacing w:after="0"/>
              <w:rPr>
                <w:sz w:val="20"/>
                <w:szCs w:val="20"/>
                <w:color w:val="auto"/>
              </w:rPr>
            </w:pPr>
            <w:r>
              <w:rPr>
                <w:rFonts w:ascii="Arial" w:cs="Arial" w:eastAsia="Arial" w:hAnsi="Arial"/>
                <w:sz w:val="13"/>
                <w:szCs w:val="13"/>
                <w:color w:val="auto"/>
              </w:rPr>
              <w:t>14,323</w:t>
            </w:r>
          </w:p>
        </w:tc>
        <w:tc>
          <w:tcPr>
            <w:tcW w:w="38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4"/>
              <w:spacing w:after="0"/>
              <w:rPr>
                <w:sz w:val="20"/>
                <w:szCs w:val="20"/>
                <w:color w:val="auto"/>
              </w:rPr>
            </w:pPr>
            <w:r>
              <w:rPr>
                <w:rFonts w:ascii="Arial" w:cs="Arial" w:eastAsia="Arial" w:hAnsi="Arial"/>
                <w:sz w:val="13"/>
                <w:szCs w:val="13"/>
                <w:color w:val="auto"/>
              </w:rPr>
              <w:t>13,657</w:t>
            </w:r>
          </w:p>
        </w:tc>
        <w:tc>
          <w:tcPr>
            <w:tcW w:w="34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94"/>
              <w:spacing w:after="0"/>
              <w:rPr>
                <w:sz w:val="20"/>
                <w:szCs w:val="20"/>
                <w:color w:val="auto"/>
              </w:rPr>
            </w:pPr>
            <w:r>
              <w:rPr>
                <w:rFonts w:ascii="Arial" w:cs="Arial" w:eastAsia="Arial" w:hAnsi="Arial"/>
                <w:sz w:val="13"/>
                <w:szCs w:val="13"/>
                <w:color w:val="auto"/>
              </w:rPr>
              <w:t>52,262</w:t>
            </w:r>
          </w:p>
        </w:tc>
        <w:tc>
          <w:tcPr>
            <w:tcW w:w="0" w:type="dxa"/>
            <w:vAlign w:val="bottom"/>
          </w:tcPr>
          <w:p>
            <w:pPr>
              <w:spacing w:after="0"/>
              <w:rPr>
                <w:sz w:val="1"/>
                <w:szCs w:val="1"/>
                <w:color w:val="auto"/>
              </w:rPr>
            </w:pPr>
          </w:p>
        </w:tc>
      </w:tr>
      <w:tr>
        <w:trPr>
          <w:trHeight w:val="178"/>
        </w:trPr>
        <w:tc>
          <w:tcPr>
            <w:tcW w:w="4260" w:type="dxa"/>
            <w:vAlign w:val="bottom"/>
            <w:shd w:val="clear" w:color="auto" w:fill="DBDBDB"/>
          </w:tcPr>
          <w:p>
            <w:pPr>
              <w:ind w:left="20"/>
              <w:spacing w:after="0"/>
              <w:rPr>
                <w:sz w:val="20"/>
                <w:szCs w:val="20"/>
                <w:color w:val="auto"/>
              </w:rPr>
            </w:pPr>
            <w:r>
              <w:rPr>
                <w:rFonts w:ascii="Arial" w:cs="Arial" w:eastAsia="Arial" w:hAnsi="Arial"/>
                <w:sz w:val="13"/>
                <w:szCs w:val="13"/>
                <w:color w:val="auto"/>
              </w:rPr>
              <w:t>Adjusted EBITDA</w:t>
            </w:r>
          </w:p>
        </w:tc>
        <w:tc>
          <w:tcPr>
            <w:tcW w:w="760" w:type="dxa"/>
            <w:vAlign w:val="bottom"/>
            <w:shd w:val="clear" w:color="auto" w:fill="DBDBDB"/>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8,828</w:t>
            </w:r>
          </w:p>
        </w:tc>
        <w:tc>
          <w:tcPr>
            <w:tcW w:w="800" w:type="dxa"/>
            <w:vAlign w:val="bottom"/>
            <w:shd w:val="clear" w:color="auto" w:fill="DBDBDB"/>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10,096</w:t>
            </w:r>
          </w:p>
        </w:tc>
        <w:tc>
          <w:tcPr>
            <w:tcW w:w="380" w:type="dxa"/>
            <w:vAlign w:val="bottom"/>
            <w:shd w:val="clear" w:color="auto" w:fill="DBDBDB"/>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10,946</w:t>
            </w:r>
          </w:p>
        </w:tc>
        <w:tc>
          <w:tcPr>
            <w:tcW w:w="380" w:type="dxa"/>
            <w:vAlign w:val="bottom"/>
            <w:shd w:val="clear" w:color="auto" w:fill="DBDBDB"/>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11,880</w:t>
            </w:r>
          </w:p>
        </w:tc>
        <w:tc>
          <w:tcPr>
            <w:tcW w:w="3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41,750</w:t>
            </w:r>
          </w:p>
        </w:tc>
        <w:tc>
          <w:tcPr>
            <w:tcW w:w="0" w:type="dxa"/>
            <w:vAlign w:val="bottom"/>
          </w:tcPr>
          <w:p>
            <w:pPr>
              <w:spacing w:after="0"/>
              <w:rPr>
                <w:sz w:val="1"/>
                <w:szCs w:val="1"/>
                <w:color w:val="auto"/>
              </w:rPr>
            </w:pPr>
          </w:p>
        </w:tc>
      </w:tr>
      <w:tr>
        <w:trPr>
          <w:trHeight w:val="172"/>
        </w:trPr>
        <w:tc>
          <w:tcPr>
            <w:tcW w:w="4260" w:type="dxa"/>
            <w:vAlign w:val="bottom"/>
          </w:tcPr>
          <w:p>
            <w:pPr>
              <w:ind w:left="20"/>
              <w:spacing w:after="0"/>
              <w:rPr>
                <w:sz w:val="20"/>
                <w:szCs w:val="20"/>
                <w:color w:val="auto"/>
              </w:rPr>
            </w:pPr>
            <w:r>
              <w:rPr>
                <w:rFonts w:ascii="Arial" w:cs="Arial" w:eastAsia="Arial" w:hAnsi="Arial"/>
                <w:sz w:val="13"/>
                <w:szCs w:val="13"/>
                <w:color w:val="auto"/>
              </w:rPr>
              <w:t>Capex for rental equipment</w:t>
            </w:r>
          </w:p>
        </w:tc>
        <w:tc>
          <w:tcPr>
            <w:tcW w:w="760" w:type="dxa"/>
            <w:vAlign w:val="bottom"/>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34"/>
              <w:spacing w:after="0"/>
              <w:rPr>
                <w:sz w:val="20"/>
                <w:szCs w:val="20"/>
                <w:color w:val="auto"/>
              </w:rPr>
            </w:pPr>
            <w:r>
              <w:rPr>
                <w:rFonts w:ascii="Arial" w:cs="Arial" w:eastAsia="Arial" w:hAnsi="Arial"/>
                <w:sz w:val="13"/>
                <w:szCs w:val="13"/>
                <w:color w:val="auto"/>
              </w:rPr>
              <w:t>3,158</w:t>
            </w:r>
          </w:p>
        </w:tc>
        <w:tc>
          <w:tcPr>
            <w:tcW w:w="800" w:type="dxa"/>
            <w:vAlign w:val="bottom"/>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34"/>
              <w:spacing w:after="0"/>
              <w:rPr>
                <w:sz w:val="20"/>
                <w:szCs w:val="20"/>
                <w:color w:val="auto"/>
              </w:rPr>
            </w:pPr>
            <w:r>
              <w:rPr>
                <w:rFonts w:ascii="Arial" w:cs="Arial" w:eastAsia="Arial" w:hAnsi="Arial"/>
                <w:sz w:val="13"/>
                <w:szCs w:val="13"/>
                <w:color w:val="auto"/>
              </w:rPr>
              <w:t>2,919</w:t>
            </w:r>
          </w:p>
        </w:tc>
        <w:tc>
          <w:tcPr>
            <w:tcW w:w="38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4"/>
              <w:spacing w:after="0"/>
              <w:rPr>
                <w:sz w:val="20"/>
                <w:szCs w:val="20"/>
                <w:color w:val="auto"/>
              </w:rPr>
            </w:pPr>
            <w:r>
              <w:rPr>
                <w:rFonts w:ascii="Arial" w:cs="Arial" w:eastAsia="Arial" w:hAnsi="Arial"/>
                <w:sz w:val="13"/>
                <w:szCs w:val="13"/>
                <w:color w:val="auto"/>
              </w:rPr>
              <w:t>5,016</w:t>
            </w:r>
          </w:p>
        </w:tc>
        <w:tc>
          <w:tcPr>
            <w:tcW w:w="38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4"/>
              <w:spacing w:after="0"/>
              <w:rPr>
                <w:sz w:val="20"/>
                <w:szCs w:val="20"/>
                <w:color w:val="auto"/>
              </w:rPr>
            </w:pPr>
            <w:r>
              <w:rPr>
                <w:rFonts w:ascii="Arial" w:cs="Arial" w:eastAsia="Arial" w:hAnsi="Arial"/>
                <w:sz w:val="13"/>
                <w:szCs w:val="13"/>
                <w:color w:val="auto"/>
              </w:rPr>
              <w:t>6,654</w:t>
            </w:r>
          </w:p>
        </w:tc>
        <w:tc>
          <w:tcPr>
            <w:tcW w:w="34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94"/>
              <w:spacing w:after="0"/>
              <w:rPr>
                <w:sz w:val="20"/>
                <w:szCs w:val="20"/>
                <w:color w:val="auto"/>
              </w:rPr>
            </w:pPr>
            <w:r>
              <w:rPr>
                <w:rFonts w:ascii="Arial" w:cs="Arial" w:eastAsia="Arial" w:hAnsi="Arial"/>
                <w:sz w:val="13"/>
                <w:szCs w:val="13"/>
                <w:color w:val="auto"/>
              </w:rPr>
              <w:t>17,747</w:t>
            </w:r>
          </w:p>
        </w:tc>
        <w:tc>
          <w:tcPr>
            <w:tcW w:w="0" w:type="dxa"/>
            <w:vAlign w:val="bottom"/>
          </w:tcPr>
          <w:p>
            <w:pPr>
              <w:spacing w:after="0"/>
              <w:rPr>
                <w:sz w:val="1"/>
                <w:szCs w:val="1"/>
                <w:color w:val="auto"/>
              </w:rPr>
            </w:pPr>
          </w:p>
        </w:tc>
      </w:tr>
      <w:tr>
        <w:trPr>
          <w:trHeight w:val="146"/>
        </w:trPr>
        <w:tc>
          <w:tcPr>
            <w:tcW w:w="4260" w:type="dxa"/>
            <w:vAlign w:val="bottom"/>
            <w:shd w:val="clear" w:color="auto" w:fill="DBDBDB"/>
          </w:tcPr>
          <w:p>
            <w:pPr>
              <w:ind w:left="20"/>
              <w:spacing w:after="0" w:line="147" w:lineRule="exact"/>
              <w:rPr>
                <w:sz w:val="20"/>
                <w:szCs w:val="20"/>
                <w:color w:val="auto"/>
              </w:rPr>
            </w:pPr>
            <w:r>
              <w:rPr>
                <w:rFonts w:ascii="Arial" w:cs="Arial" w:eastAsia="Arial" w:hAnsi="Arial"/>
                <w:sz w:val="13"/>
                <w:szCs w:val="13"/>
                <w:color w:val="auto"/>
              </w:rPr>
              <w:t>Average tank and pump solutions rental fleet utilization based on original</w:t>
            </w:r>
          </w:p>
        </w:tc>
        <w:tc>
          <w:tcPr>
            <w:tcW w:w="760" w:type="dxa"/>
            <w:vAlign w:val="bottom"/>
            <w:shd w:val="clear" w:color="auto" w:fill="DBDBDB"/>
          </w:tcPr>
          <w:p>
            <w:pPr>
              <w:spacing w:after="0"/>
              <w:rPr>
                <w:sz w:val="12"/>
                <w:szCs w:val="12"/>
                <w:color w:val="auto"/>
              </w:rPr>
            </w:pPr>
          </w:p>
        </w:tc>
        <w:tc>
          <w:tcPr>
            <w:tcW w:w="620" w:type="dxa"/>
            <w:vAlign w:val="bottom"/>
            <w:shd w:val="clear" w:color="auto" w:fill="DBDBDB"/>
          </w:tcPr>
          <w:p>
            <w:pPr>
              <w:spacing w:after="0"/>
              <w:rPr>
                <w:sz w:val="12"/>
                <w:szCs w:val="12"/>
                <w:color w:val="auto"/>
              </w:rPr>
            </w:pPr>
          </w:p>
        </w:tc>
        <w:tc>
          <w:tcPr>
            <w:tcW w:w="800" w:type="dxa"/>
            <w:vAlign w:val="bottom"/>
            <w:shd w:val="clear" w:color="auto" w:fill="DBDBDB"/>
          </w:tcPr>
          <w:p>
            <w:pPr>
              <w:spacing w:after="0"/>
              <w:rPr>
                <w:sz w:val="12"/>
                <w:szCs w:val="12"/>
                <w:color w:val="auto"/>
              </w:rPr>
            </w:pPr>
          </w:p>
        </w:tc>
        <w:tc>
          <w:tcPr>
            <w:tcW w:w="620" w:type="dxa"/>
            <w:vAlign w:val="bottom"/>
            <w:shd w:val="clear" w:color="auto" w:fill="DBDBDB"/>
          </w:tcPr>
          <w:p>
            <w:pPr>
              <w:spacing w:after="0"/>
              <w:rPr>
                <w:sz w:val="12"/>
                <w:szCs w:val="12"/>
                <w:color w:val="auto"/>
              </w:rPr>
            </w:pPr>
          </w:p>
        </w:tc>
        <w:tc>
          <w:tcPr>
            <w:tcW w:w="380" w:type="dxa"/>
            <w:vAlign w:val="bottom"/>
            <w:shd w:val="clear" w:color="auto" w:fill="DBDBDB"/>
          </w:tcPr>
          <w:p>
            <w:pPr>
              <w:spacing w:after="0"/>
              <w:rPr>
                <w:sz w:val="12"/>
                <w:szCs w:val="12"/>
                <w:color w:val="auto"/>
              </w:rPr>
            </w:pPr>
          </w:p>
        </w:tc>
        <w:tc>
          <w:tcPr>
            <w:tcW w:w="1040" w:type="dxa"/>
            <w:vAlign w:val="bottom"/>
            <w:shd w:val="clear" w:color="auto" w:fill="DBDBDB"/>
          </w:tcPr>
          <w:p>
            <w:pPr>
              <w:spacing w:after="0"/>
              <w:rPr>
                <w:sz w:val="12"/>
                <w:szCs w:val="12"/>
                <w:color w:val="auto"/>
              </w:rPr>
            </w:pPr>
          </w:p>
        </w:tc>
        <w:tc>
          <w:tcPr>
            <w:tcW w:w="380" w:type="dxa"/>
            <w:vAlign w:val="bottom"/>
            <w:shd w:val="clear" w:color="auto" w:fill="DBDBDB"/>
          </w:tcPr>
          <w:p>
            <w:pPr>
              <w:spacing w:after="0"/>
              <w:rPr>
                <w:sz w:val="12"/>
                <w:szCs w:val="12"/>
                <w:color w:val="auto"/>
              </w:rPr>
            </w:pPr>
          </w:p>
        </w:tc>
        <w:tc>
          <w:tcPr>
            <w:tcW w:w="1040" w:type="dxa"/>
            <w:vAlign w:val="bottom"/>
            <w:shd w:val="clear" w:color="auto" w:fill="DBDBDB"/>
          </w:tcPr>
          <w:p>
            <w:pPr>
              <w:spacing w:after="0"/>
              <w:rPr>
                <w:sz w:val="12"/>
                <w:szCs w:val="12"/>
                <w:color w:val="auto"/>
              </w:rPr>
            </w:pPr>
          </w:p>
        </w:tc>
        <w:tc>
          <w:tcPr>
            <w:tcW w:w="340" w:type="dxa"/>
            <w:vAlign w:val="bottom"/>
            <w:shd w:val="clear" w:color="auto" w:fill="DBDBDB"/>
          </w:tcPr>
          <w:p>
            <w:pPr>
              <w:spacing w:after="0"/>
              <w:rPr>
                <w:sz w:val="12"/>
                <w:szCs w:val="12"/>
                <w:color w:val="auto"/>
              </w:rPr>
            </w:pPr>
          </w:p>
        </w:tc>
        <w:tc>
          <w:tcPr>
            <w:tcW w:w="104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DBDBDB"/>
          </w:tcPr>
          <w:p>
            <w:pPr>
              <w:ind w:left="20"/>
              <w:spacing w:after="0"/>
              <w:rPr>
                <w:sz w:val="20"/>
                <w:szCs w:val="20"/>
                <w:color w:val="auto"/>
              </w:rPr>
            </w:pPr>
            <w:r>
              <w:rPr>
                <w:rFonts w:ascii="Arial" w:cs="Arial" w:eastAsia="Arial" w:hAnsi="Arial"/>
                <w:sz w:val="13"/>
                <w:szCs w:val="13"/>
                <w:color w:val="auto"/>
              </w:rPr>
              <w:t>equipment cost</w:t>
            </w:r>
          </w:p>
        </w:tc>
        <w:tc>
          <w:tcPr>
            <w:tcW w:w="760" w:type="dxa"/>
            <w:vAlign w:val="bottom"/>
            <w:shd w:val="clear" w:color="auto" w:fill="DBDBDB"/>
          </w:tcPr>
          <w:p>
            <w:pPr>
              <w:spacing w:after="0"/>
              <w:rPr>
                <w:sz w:val="14"/>
                <w:szCs w:val="14"/>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67.4 %</w:t>
            </w:r>
          </w:p>
        </w:tc>
        <w:tc>
          <w:tcPr>
            <w:tcW w:w="800" w:type="dxa"/>
            <w:vAlign w:val="bottom"/>
            <w:shd w:val="clear" w:color="auto" w:fill="DBDBDB"/>
          </w:tcPr>
          <w:p>
            <w:pPr>
              <w:spacing w:after="0"/>
              <w:rPr>
                <w:sz w:val="14"/>
                <w:szCs w:val="14"/>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71.2 %</w:t>
            </w:r>
          </w:p>
        </w:tc>
        <w:tc>
          <w:tcPr>
            <w:tcW w:w="380" w:type="dxa"/>
            <w:vAlign w:val="bottom"/>
            <w:shd w:val="clear" w:color="auto" w:fill="DBDBDB"/>
          </w:tcPr>
          <w:p>
            <w:pPr>
              <w:spacing w:after="0"/>
              <w:rPr>
                <w:sz w:val="14"/>
                <w:szCs w:val="14"/>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74.8 %</w:t>
            </w:r>
          </w:p>
        </w:tc>
        <w:tc>
          <w:tcPr>
            <w:tcW w:w="380" w:type="dxa"/>
            <w:vAlign w:val="bottom"/>
            <w:shd w:val="clear" w:color="auto" w:fill="DBDBDB"/>
          </w:tcPr>
          <w:p>
            <w:pPr>
              <w:spacing w:after="0"/>
              <w:rPr>
                <w:sz w:val="14"/>
                <w:szCs w:val="14"/>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75.5 %</w:t>
            </w:r>
          </w:p>
        </w:tc>
        <w:tc>
          <w:tcPr>
            <w:tcW w:w="340" w:type="dxa"/>
            <w:vAlign w:val="bottom"/>
            <w:shd w:val="clear" w:color="auto" w:fill="DBDBDB"/>
          </w:tcPr>
          <w:p>
            <w:pPr>
              <w:spacing w:after="0"/>
              <w:rPr>
                <w:sz w:val="14"/>
                <w:szCs w:val="14"/>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72.3 %</w:t>
            </w:r>
          </w:p>
        </w:tc>
        <w:tc>
          <w:tcPr>
            <w:tcW w:w="0" w:type="dxa"/>
            <w:vAlign w:val="bottom"/>
          </w:tcPr>
          <w:p>
            <w:pPr>
              <w:spacing w:after="0"/>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Pro Forma Quarterly Results for the year ended December 31, 2020:</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6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 except for units on rent and</w:t>
            </w:r>
          </w:p>
        </w:tc>
        <w:tc>
          <w:tcPr>
            <w:tcW w:w="760" w:type="dxa"/>
            <w:vAlign w:val="bottom"/>
            <w:vMerge w:val="restart"/>
            <w:shd w:val="clear" w:color="auto" w:fill="1D2758"/>
          </w:tcPr>
          <w:p>
            <w:pPr>
              <w:jc w:val="right"/>
              <w:spacing w:after="0"/>
              <w:rPr>
                <w:sz w:val="20"/>
                <w:szCs w:val="20"/>
                <w:color w:val="auto"/>
              </w:rPr>
            </w:pPr>
            <w:r>
              <w:rPr>
                <w:rFonts w:ascii="Arial" w:cs="Arial" w:eastAsia="Arial" w:hAnsi="Arial"/>
                <w:sz w:val="13"/>
                <w:szCs w:val="13"/>
                <w:b w:val="1"/>
                <w:bCs w:val="1"/>
                <w:color w:val="FFFFFF"/>
              </w:rPr>
              <w:t>Q1</w:t>
            </w:r>
          </w:p>
        </w:tc>
        <w:tc>
          <w:tcPr>
            <w:tcW w:w="620" w:type="dxa"/>
            <w:vAlign w:val="bottom"/>
            <w:shd w:val="clear" w:color="auto" w:fill="1D2758"/>
          </w:tcPr>
          <w:p>
            <w:pPr>
              <w:spacing w:after="0"/>
              <w:rPr>
                <w:sz w:val="13"/>
                <w:szCs w:val="13"/>
                <w:color w:val="auto"/>
              </w:rPr>
            </w:pPr>
          </w:p>
        </w:tc>
        <w:tc>
          <w:tcPr>
            <w:tcW w:w="800" w:type="dxa"/>
            <w:vAlign w:val="bottom"/>
            <w:vMerge w:val="restart"/>
            <w:shd w:val="clear" w:color="auto" w:fill="1D2758"/>
          </w:tcPr>
          <w:p>
            <w:pPr>
              <w:jc w:val="right"/>
              <w:spacing w:after="0"/>
              <w:rPr>
                <w:sz w:val="20"/>
                <w:szCs w:val="20"/>
                <w:color w:val="auto"/>
              </w:rPr>
            </w:pPr>
            <w:r>
              <w:rPr>
                <w:rFonts w:ascii="Arial" w:cs="Arial" w:eastAsia="Arial" w:hAnsi="Arial"/>
                <w:sz w:val="13"/>
                <w:szCs w:val="13"/>
                <w:b w:val="1"/>
                <w:bCs w:val="1"/>
                <w:color w:val="FFFFFF"/>
              </w:rPr>
              <w:t>Q2</w:t>
            </w:r>
          </w:p>
        </w:tc>
        <w:tc>
          <w:tcPr>
            <w:tcW w:w="620" w:type="dxa"/>
            <w:vAlign w:val="bottom"/>
            <w:shd w:val="clear" w:color="auto" w:fill="1D2758"/>
          </w:tcPr>
          <w:p>
            <w:pPr>
              <w:spacing w:after="0"/>
              <w:rPr>
                <w:sz w:val="13"/>
                <w:szCs w:val="13"/>
                <w:color w:val="auto"/>
              </w:rPr>
            </w:pPr>
          </w:p>
        </w:tc>
        <w:tc>
          <w:tcPr>
            <w:tcW w:w="800" w:type="dxa"/>
            <w:vAlign w:val="bottom"/>
            <w:vMerge w:val="restart"/>
            <w:shd w:val="clear" w:color="auto" w:fill="1D2758"/>
          </w:tcPr>
          <w:p>
            <w:pPr>
              <w:jc w:val="right"/>
              <w:spacing w:after="0"/>
              <w:rPr>
                <w:sz w:val="20"/>
                <w:szCs w:val="20"/>
                <w:color w:val="auto"/>
              </w:rPr>
            </w:pPr>
            <w:r>
              <w:rPr>
                <w:rFonts w:ascii="Arial" w:cs="Arial" w:eastAsia="Arial" w:hAnsi="Arial"/>
                <w:sz w:val="13"/>
                <w:szCs w:val="13"/>
                <w:b w:val="1"/>
                <w:bCs w:val="1"/>
                <w:color w:val="FFFFFF"/>
              </w:rPr>
              <w:t>Q3</w:t>
            </w:r>
          </w:p>
        </w:tc>
        <w:tc>
          <w:tcPr>
            <w:tcW w:w="620" w:type="dxa"/>
            <w:vAlign w:val="bottom"/>
            <w:shd w:val="clear" w:color="auto" w:fill="1D2758"/>
          </w:tcPr>
          <w:p>
            <w:pPr>
              <w:spacing w:after="0"/>
              <w:rPr>
                <w:sz w:val="13"/>
                <w:szCs w:val="13"/>
                <w:color w:val="auto"/>
              </w:rPr>
            </w:pPr>
          </w:p>
        </w:tc>
        <w:tc>
          <w:tcPr>
            <w:tcW w:w="800" w:type="dxa"/>
            <w:vAlign w:val="bottom"/>
            <w:vMerge w:val="restart"/>
            <w:shd w:val="clear" w:color="auto" w:fill="1D2758"/>
          </w:tcPr>
          <w:p>
            <w:pPr>
              <w:jc w:val="right"/>
              <w:spacing w:after="0"/>
              <w:rPr>
                <w:sz w:val="20"/>
                <w:szCs w:val="20"/>
                <w:color w:val="auto"/>
              </w:rPr>
            </w:pPr>
            <w:r>
              <w:rPr>
                <w:rFonts w:ascii="Arial" w:cs="Arial" w:eastAsia="Arial" w:hAnsi="Arial"/>
                <w:sz w:val="13"/>
                <w:szCs w:val="13"/>
                <w:b w:val="1"/>
                <w:bCs w:val="1"/>
                <w:color w:val="FFFFFF"/>
              </w:rPr>
              <w:t>Q4</w:t>
            </w:r>
          </w:p>
        </w:tc>
        <w:tc>
          <w:tcPr>
            <w:tcW w:w="620" w:type="dxa"/>
            <w:vAlign w:val="bottom"/>
            <w:shd w:val="clear" w:color="auto" w:fill="1D2758"/>
          </w:tcPr>
          <w:p>
            <w:pPr>
              <w:spacing w:after="0"/>
              <w:rPr>
                <w:sz w:val="13"/>
                <w:szCs w:val="13"/>
                <w:color w:val="auto"/>
              </w:rPr>
            </w:pPr>
          </w:p>
        </w:tc>
        <w:tc>
          <w:tcPr>
            <w:tcW w:w="340" w:type="dxa"/>
            <w:vAlign w:val="bottom"/>
            <w:shd w:val="clear" w:color="auto" w:fill="1D2758"/>
          </w:tcPr>
          <w:p>
            <w:pPr>
              <w:spacing w:after="0"/>
              <w:rPr>
                <w:sz w:val="13"/>
                <w:szCs w:val="13"/>
                <w:color w:val="auto"/>
              </w:rPr>
            </w:pPr>
          </w:p>
        </w:tc>
        <w:tc>
          <w:tcPr>
            <w:tcW w:w="1040" w:type="dxa"/>
            <w:vAlign w:val="bottom"/>
            <w:vMerge w:val="restart"/>
            <w:shd w:val="clear" w:color="auto" w:fill="1D2758"/>
          </w:tcPr>
          <w:p>
            <w:pPr>
              <w:jc w:val="right"/>
              <w:ind w:right="454"/>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75"/>
        </w:trPr>
        <w:tc>
          <w:tcPr>
            <w:tcW w:w="426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monthly rental rate)</w:t>
            </w:r>
          </w:p>
        </w:tc>
        <w:tc>
          <w:tcPr>
            <w:tcW w:w="760" w:type="dxa"/>
            <w:vAlign w:val="bottom"/>
            <w:vMerge w:val="continue"/>
            <w:shd w:val="clear" w:color="auto" w:fill="1D2758"/>
          </w:tcPr>
          <w:p>
            <w:pPr>
              <w:spacing w:after="0"/>
              <w:rPr>
                <w:sz w:val="15"/>
                <w:szCs w:val="15"/>
                <w:color w:val="auto"/>
              </w:rPr>
            </w:pPr>
          </w:p>
        </w:tc>
        <w:tc>
          <w:tcPr>
            <w:tcW w:w="620" w:type="dxa"/>
            <w:vAlign w:val="bottom"/>
            <w:shd w:val="clear" w:color="auto" w:fill="1D2758"/>
          </w:tcPr>
          <w:p>
            <w:pPr>
              <w:spacing w:after="0"/>
              <w:rPr>
                <w:sz w:val="15"/>
                <w:szCs w:val="15"/>
                <w:color w:val="auto"/>
              </w:rPr>
            </w:pPr>
          </w:p>
        </w:tc>
        <w:tc>
          <w:tcPr>
            <w:tcW w:w="800" w:type="dxa"/>
            <w:vAlign w:val="bottom"/>
            <w:vMerge w:val="continue"/>
            <w:shd w:val="clear" w:color="auto" w:fill="1D2758"/>
          </w:tcPr>
          <w:p>
            <w:pPr>
              <w:spacing w:after="0"/>
              <w:rPr>
                <w:sz w:val="15"/>
                <w:szCs w:val="15"/>
                <w:color w:val="auto"/>
              </w:rPr>
            </w:pPr>
          </w:p>
        </w:tc>
        <w:tc>
          <w:tcPr>
            <w:tcW w:w="620" w:type="dxa"/>
            <w:vAlign w:val="bottom"/>
            <w:shd w:val="clear" w:color="auto" w:fill="1D2758"/>
          </w:tcPr>
          <w:p>
            <w:pPr>
              <w:spacing w:after="0"/>
              <w:rPr>
                <w:sz w:val="15"/>
                <w:szCs w:val="15"/>
                <w:color w:val="auto"/>
              </w:rPr>
            </w:pPr>
          </w:p>
        </w:tc>
        <w:tc>
          <w:tcPr>
            <w:tcW w:w="800" w:type="dxa"/>
            <w:vAlign w:val="bottom"/>
            <w:vMerge w:val="continue"/>
            <w:shd w:val="clear" w:color="auto" w:fill="1D2758"/>
          </w:tcPr>
          <w:p>
            <w:pPr>
              <w:spacing w:after="0"/>
              <w:rPr>
                <w:sz w:val="15"/>
                <w:szCs w:val="15"/>
                <w:color w:val="auto"/>
              </w:rPr>
            </w:pPr>
          </w:p>
        </w:tc>
        <w:tc>
          <w:tcPr>
            <w:tcW w:w="620" w:type="dxa"/>
            <w:vAlign w:val="bottom"/>
            <w:shd w:val="clear" w:color="auto" w:fill="1D2758"/>
          </w:tcPr>
          <w:p>
            <w:pPr>
              <w:spacing w:after="0"/>
              <w:rPr>
                <w:sz w:val="15"/>
                <w:szCs w:val="15"/>
                <w:color w:val="auto"/>
              </w:rPr>
            </w:pPr>
          </w:p>
        </w:tc>
        <w:tc>
          <w:tcPr>
            <w:tcW w:w="800" w:type="dxa"/>
            <w:vAlign w:val="bottom"/>
            <w:vMerge w:val="continue"/>
            <w:shd w:val="clear" w:color="auto" w:fill="1D2758"/>
          </w:tcPr>
          <w:p>
            <w:pPr>
              <w:spacing w:after="0"/>
              <w:rPr>
                <w:sz w:val="15"/>
                <w:szCs w:val="15"/>
                <w:color w:val="auto"/>
              </w:rPr>
            </w:pPr>
          </w:p>
        </w:tc>
        <w:tc>
          <w:tcPr>
            <w:tcW w:w="620" w:type="dxa"/>
            <w:vAlign w:val="bottom"/>
            <w:shd w:val="clear" w:color="auto" w:fill="1D2758"/>
          </w:tcPr>
          <w:p>
            <w:pPr>
              <w:spacing w:after="0"/>
              <w:rPr>
                <w:sz w:val="15"/>
                <w:szCs w:val="15"/>
                <w:color w:val="auto"/>
              </w:rPr>
            </w:pPr>
          </w:p>
        </w:tc>
        <w:tc>
          <w:tcPr>
            <w:tcW w:w="340" w:type="dxa"/>
            <w:vAlign w:val="bottom"/>
            <w:shd w:val="clear" w:color="auto" w:fill="1D2758"/>
          </w:tcPr>
          <w:p>
            <w:pPr>
              <w:spacing w:after="0"/>
              <w:rPr>
                <w:sz w:val="15"/>
                <w:szCs w:val="15"/>
                <w:color w:val="auto"/>
              </w:rPr>
            </w:pPr>
          </w:p>
        </w:tc>
        <w:tc>
          <w:tcPr>
            <w:tcW w:w="1040" w:type="dxa"/>
            <w:vAlign w:val="bottom"/>
            <w:vMerge w:val="continue"/>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60" w:type="dxa"/>
            <w:vAlign w:val="bottom"/>
            <w:shd w:val="clear" w:color="auto" w:fill="DBDBDB"/>
          </w:tcPr>
          <w:p>
            <w:pPr>
              <w:ind w:left="20"/>
              <w:spacing w:after="0"/>
              <w:rPr>
                <w:sz w:val="20"/>
                <w:szCs w:val="20"/>
                <w:color w:val="auto"/>
              </w:rPr>
            </w:pPr>
            <w:r>
              <w:rPr>
                <w:rFonts w:ascii="Arial" w:cs="Arial" w:eastAsia="Arial" w:hAnsi="Arial"/>
                <w:sz w:val="13"/>
                <w:szCs w:val="13"/>
                <w:color w:val="auto"/>
              </w:rPr>
              <w:t>Revenue</w:t>
            </w:r>
          </w:p>
        </w:tc>
        <w:tc>
          <w:tcPr>
            <w:tcW w:w="760" w:type="dxa"/>
            <w:vAlign w:val="bottom"/>
            <w:shd w:val="clear" w:color="auto" w:fill="DBDBDB"/>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26,884</w:t>
            </w:r>
          </w:p>
        </w:tc>
        <w:tc>
          <w:tcPr>
            <w:tcW w:w="800" w:type="dxa"/>
            <w:vAlign w:val="bottom"/>
            <w:shd w:val="clear" w:color="auto" w:fill="DBDBDB"/>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23,684</w:t>
            </w:r>
          </w:p>
        </w:tc>
        <w:tc>
          <w:tcPr>
            <w:tcW w:w="800" w:type="dxa"/>
            <w:vAlign w:val="bottom"/>
            <w:shd w:val="clear" w:color="auto" w:fill="DBDBDB"/>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23,302</w:t>
            </w:r>
          </w:p>
        </w:tc>
        <w:tc>
          <w:tcPr>
            <w:tcW w:w="800" w:type="dxa"/>
            <w:vAlign w:val="bottom"/>
            <w:shd w:val="clear" w:color="auto" w:fill="DBDBDB"/>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24,991</w:t>
            </w:r>
          </w:p>
        </w:tc>
        <w:tc>
          <w:tcPr>
            <w:tcW w:w="3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98,861</w:t>
            </w:r>
          </w:p>
        </w:tc>
        <w:tc>
          <w:tcPr>
            <w:tcW w:w="0" w:type="dxa"/>
            <w:vAlign w:val="bottom"/>
          </w:tcPr>
          <w:p>
            <w:pPr>
              <w:spacing w:after="0"/>
              <w:rPr>
                <w:sz w:val="1"/>
                <w:szCs w:val="1"/>
                <w:color w:val="auto"/>
              </w:rPr>
            </w:pPr>
          </w:p>
        </w:tc>
      </w:tr>
      <w:tr>
        <w:trPr>
          <w:trHeight w:val="172"/>
        </w:trPr>
        <w:tc>
          <w:tcPr>
            <w:tcW w:w="4260" w:type="dxa"/>
            <w:vAlign w:val="bottom"/>
          </w:tcPr>
          <w:p>
            <w:pPr>
              <w:ind w:left="20"/>
              <w:spacing w:after="0"/>
              <w:rPr>
                <w:sz w:val="20"/>
                <w:szCs w:val="20"/>
                <w:color w:val="auto"/>
              </w:rPr>
            </w:pPr>
            <w:r>
              <w:rPr>
                <w:rFonts w:ascii="Arial" w:cs="Arial" w:eastAsia="Arial" w:hAnsi="Arial"/>
                <w:sz w:val="13"/>
                <w:szCs w:val="13"/>
                <w:color w:val="auto"/>
              </w:rPr>
              <w:t>Gross profit</w:t>
            </w:r>
          </w:p>
        </w:tc>
        <w:tc>
          <w:tcPr>
            <w:tcW w:w="760" w:type="dxa"/>
            <w:vAlign w:val="bottom"/>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34"/>
              <w:spacing w:after="0"/>
              <w:rPr>
                <w:sz w:val="20"/>
                <w:szCs w:val="20"/>
                <w:color w:val="auto"/>
              </w:rPr>
            </w:pPr>
            <w:r>
              <w:rPr>
                <w:rFonts w:ascii="Arial" w:cs="Arial" w:eastAsia="Arial" w:hAnsi="Arial"/>
                <w:sz w:val="13"/>
                <w:szCs w:val="13"/>
                <w:color w:val="auto"/>
              </w:rPr>
              <w:t>13,279</w:t>
            </w:r>
          </w:p>
        </w:tc>
        <w:tc>
          <w:tcPr>
            <w:tcW w:w="800" w:type="dxa"/>
            <w:vAlign w:val="bottom"/>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34"/>
              <w:spacing w:after="0"/>
              <w:rPr>
                <w:sz w:val="20"/>
                <w:szCs w:val="20"/>
                <w:color w:val="auto"/>
              </w:rPr>
            </w:pPr>
            <w:r>
              <w:rPr>
                <w:rFonts w:ascii="Arial" w:cs="Arial" w:eastAsia="Arial" w:hAnsi="Arial"/>
                <w:sz w:val="13"/>
                <w:szCs w:val="13"/>
                <w:color w:val="auto"/>
              </w:rPr>
              <w:t>11,723</w:t>
            </w:r>
          </w:p>
        </w:tc>
        <w:tc>
          <w:tcPr>
            <w:tcW w:w="800" w:type="dxa"/>
            <w:vAlign w:val="bottom"/>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34"/>
              <w:spacing w:after="0"/>
              <w:rPr>
                <w:sz w:val="20"/>
                <w:szCs w:val="20"/>
                <w:color w:val="auto"/>
              </w:rPr>
            </w:pPr>
            <w:r>
              <w:rPr>
                <w:rFonts w:ascii="Arial" w:cs="Arial" w:eastAsia="Arial" w:hAnsi="Arial"/>
                <w:sz w:val="13"/>
                <w:szCs w:val="13"/>
                <w:color w:val="auto"/>
              </w:rPr>
              <w:t>11,430</w:t>
            </w:r>
          </w:p>
        </w:tc>
        <w:tc>
          <w:tcPr>
            <w:tcW w:w="800" w:type="dxa"/>
            <w:vAlign w:val="bottom"/>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34"/>
              <w:spacing w:after="0"/>
              <w:rPr>
                <w:sz w:val="20"/>
                <w:szCs w:val="20"/>
                <w:color w:val="auto"/>
              </w:rPr>
            </w:pPr>
            <w:r>
              <w:rPr>
                <w:rFonts w:ascii="Arial" w:cs="Arial" w:eastAsia="Arial" w:hAnsi="Arial"/>
                <w:sz w:val="13"/>
                <w:szCs w:val="13"/>
                <w:color w:val="auto"/>
              </w:rPr>
              <w:t>12,474</w:t>
            </w:r>
          </w:p>
        </w:tc>
        <w:tc>
          <w:tcPr>
            <w:tcW w:w="34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94"/>
              <w:spacing w:after="0"/>
              <w:rPr>
                <w:sz w:val="20"/>
                <w:szCs w:val="20"/>
                <w:color w:val="auto"/>
              </w:rPr>
            </w:pPr>
            <w:r>
              <w:rPr>
                <w:rFonts w:ascii="Arial" w:cs="Arial" w:eastAsia="Arial" w:hAnsi="Arial"/>
                <w:sz w:val="13"/>
                <w:szCs w:val="13"/>
                <w:color w:val="auto"/>
              </w:rPr>
              <w:t>48,906</w:t>
            </w:r>
          </w:p>
        </w:tc>
        <w:tc>
          <w:tcPr>
            <w:tcW w:w="0" w:type="dxa"/>
            <w:vAlign w:val="bottom"/>
          </w:tcPr>
          <w:p>
            <w:pPr>
              <w:spacing w:after="0"/>
              <w:rPr>
                <w:sz w:val="1"/>
                <w:szCs w:val="1"/>
                <w:color w:val="auto"/>
              </w:rPr>
            </w:pPr>
          </w:p>
        </w:tc>
      </w:tr>
      <w:tr>
        <w:trPr>
          <w:trHeight w:val="178"/>
        </w:trPr>
        <w:tc>
          <w:tcPr>
            <w:tcW w:w="4260" w:type="dxa"/>
            <w:vAlign w:val="bottom"/>
            <w:shd w:val="clear" w:color="auto" w:fill="DBDBDB"/>
          </w:tcPr>
          <w:p>
            <w:pPr>
              <w:ind w:left="20"/>
              <w:spacing w:after="0"/>
              <w:rPr>
                <w:sz w:val="20"/>
                <w:szCs w:val="20"/>
                <w:color w:val="auto"/>
              </w:rPr>
            </w:pPr>
            <w:r>
              <w:rPr>
                <w:rFonts w:ascii="Arial" w:cs="Arial" w:eastAsia="Arial" w:hAnsi="Arial"/>
                <w:sz w:val="13"/>
                <w:szCs w:val="13"/>
                <w:color w:val="auto"/>
              </w:rPr>
              <w:t>Adjusted EBITDA</w:t>
            </w:r>
          </w:p>
        </w:tc>
        <w:tc>
          <w:tcPr>
            <w:tcW w:w="760" w:type="dxa"/>
            <w:vAlign w:val="bottom"/>
            <w:shd w:val="clear" w:color="auto" w:fill="DBDBDB"/>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9,477</w:t>
            </w:r>
          </w:p>
        </w:tc>
        <w:tc>
          <w:tcPr>
            <w:tcW w:w="800" w:type="dxa"/>
            <w:vAlign w:val="bottom"/>
            <w:shd w:val="clear" w:color="auto" w:fill="DBDBDB"/>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8,659</w:t>
            </w:r>
          </w:p>
        </w:tc>
        <w:tc>
          <w:tcPr>
            <w:tcW w:w="800" w:type="dxa"/>
            <w:vAlign w:val="bottom"/>
            <w:shd w:val="clear" w:color="auto" w:fill="DBDBDB"/>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8,507</w:t>
            </w:r>
          </w:p>
        </w:tc>
        <w:tc>
          <w:tcPr>
            <w:tcW w:w="800" w:type="dxa"/>
            <w:vAlign w:val="bottom"/>
            <w:shd w:val="clear" w:color="auto" w:fill="DBDBDB"/>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9,336</w:t>
            </w:r>
          </w:p>
        </w:tc>
        <w:tc>
          <w:tcPr>
            <w:tcW w:w="3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35,979</w:t>
            </w:r>
          </w:p>
        </w:tc>
        <w:tc>
          <w:tcPr>
            <w:tcW w:w="0" w:type="dxa"/>
            <w:vAlign w:val="bottom"/>
          </w:tcPr>
          <w:p>
            <w:pPr>
              <w:spacing w:after="0"/>
              <w:rPr>
                <w:sz w:val="1"/>
                <w:szCs w:val="1"/>
                <w:color w:val="auto"/>
              </w:rPr>
            </w:pPr>
          </w:p>
        </w:tc>
      </w:tr>
      <w:tr>
        <w:trPr>
          <w:trHeight w:val="172"/>
        </w:trPr>
        <w:tc>
          <w:tcPr>
            <w:tcW w:w="4260" w:type="dxa"/>
            <w:vAlign w:val="bottom"/>
          </w:tcPr>
          <w:p>
            <w:pPr>
              <w:ind w:left="20"/>
              <w:spacing w:after="0"/>
              <w:rPr>
                <w:sz w:val="20"/>
                <w:szCs w:val="20"/>
                <w:color w:val="auto"/>
              </w:rPr>
            </w:pPr>
            <w:r>
              <w:rPr>
                <w:rFonts w:ascii="Arial" w:cs="Arial" w:eastAsia="Arial" w:hAnsi="Arial"/>
                <w:sz w:val="13"/>
                <w:szCs w:val="13"/>
                <w:color w:val="auto"/>
              </w:rPr>
              <w:t>Capex for rental equipment</w:t>
            </w:r>
          </w:p>
        </w:tc>
        <w:tc>
          <w:tcPr>
            <w:tcW w:w="760" w:type="dxa"/>
            <w:vAlign w:val="bottom"/>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34"/>
              <w:spacing w:after="0"/>
              <w:rPr>
                <w:sz w:val="20"/>
                <w:szCs w:val="20"/>
                <w:color w:val="auto"/>
              </w:rPr>
            </w:pPr>
            <w:r>
              <w:rPr>
                <w:rFonts w:ascii="Arial" w:cs="Arial" w:eastAsia="Arial" w:hAnsi="Arial"/>
                <w:sz w:val="13"/>
                <w:szCs w:val="13"/>
                <w:color w:val="auto"/>
              </w:rPr>
              <w:t>4,514</w:t>
            </w:r>
          </w:p>
        </w:tc>
        <w:tc>
          <w:tcPr>
            <w:tcW w:w="800" w:type="dxa"/>
            <w:vAlign w:val="bottom"/>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34"/>
              <w:spacing w:after="0"/>
              <w:rPr>
                <w:sz w:val="20"/>
                <w:szCs w:val="20"/>
                <w:color w:val="auto"/>
              </w:rPr>
            </w:pPr>
            <w:r>
              <w:rPr>
                <w:rFonts w:ascii="Arial" w:cs="Arial" w:eastAsia="Arial" w:hAnsi="Arial"/>
                <w:sz w:val="13"/>
                <w:szCs w:val="13"/>
                <w:color w:val="auto"/>
              </w:rPr>
              <w:t>941</w:t>
            </w:r>
          </w:p>
        </w:tc>
        <w:tc>
          <w:tcPr>
            <w:tcW w:w="800" w:type="dxa"/>
            <w:vAlign w:val="bottom"/>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34"/>
              <w:spacing w:after="0"/>
              <w:rPr>
                <w:sz w:val="20"/>
                <w:szCs w:val="20"/>
                <w:color w:val="auto"/>
              </w:rPr>
            </w:pPr>
            <w:r>
              <w:rPr>
                <w:rFonts w:ascii="Arial" w:cs="Arial" w:eastAsia="Arial" w:hAnsi="Arial"/>
                <w:sz w:val="13"/>
                <w:szCs w:val="13"/>
                <w:color w:val="auto"/>
              </w:rPr>
              <w:t>431</w:t>
            </w:r>
          </w:p>
        </w:tc>
        <w:tc>
          <w:tcPr>
            <w:tcW w:w="800" w:type="dxa"/>
            <w:vAlign w:val="bottom"/>
          </w:tcPr>
          <w:p>
            <w:pPr>
              <w:jc w:val="right"/>
              <w:ind w:right="594"/>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34"/>
              <w:spacing w:after="0"/>
              <w:rPr>
                <w:sz w:val="20"/>
                <w:szCs w:val="20"/>
                <w:color w:val="auto"/>
              </w:rPr>
            </w:pPr>
            <w:r>
              <w:rPr>
                <w:rFonts w:ascii="Arial" w:cs="Arial" w:eastAsia="Arial" w:hAnsi="Arial"/>
                <w:sz w:val="13"/>
                <w:szCs w:val="13"/>
                <w:color w:val="auto"/>
              </w:rPr>
              <w:t>1,963</w:t>
            </w:r>
          </w:p>
        </w:tc>
        <w:tc>
          <w:tcPr>
            <w:tcW w:w="34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94"/>
              <w:spacing w:after="0"/>
              <w:rPr>
                <w:sz w:val="20"/>
                <w:szCs w:val="20"/>
                <w:color w:val="auto"/>
              </w:rPr>
            </w:pPr>
            <w:r>
              <w:rPr>
                <w:rFonts w:ascii="Arial" w:cs="Arial" w:eastAsia="Arial" w:hAnsi="Arial"/>
                <w:sz w:val="13"/>
                <w:szCs w:val="13"/>
                <w:color w:val="auto"/>
              </w:rPr>
              <w:t>7,849</w:t>
            </w:r>
          </w:p>
        </w:tc>
        <w:tc>
          <w:tcPr>
            <w:tcW w:w="0" w:type="dxa"/>
            <w:vAlign w:val="bottom"/>
          </w:tcPr>
          <w:p>
            <w:pPr>
              <w:spacing w:after="0"/>
              <w:rPr>
                <w:sz w:val="1"/>
                <w:szCs w:val="1"/>
                <w:color w:val="auto"/>
              </w:rPr>
            </w:pPr>
          </w:p>
        </w:tc>
      </w:tr>
      <w:tr>
        <w:trPr>
          <w:trHeight w:val="146"/>
        </w:trPr>
        <w:tc>
          <w:tcPr>
            <w:tcW w:w="4260" w:type="dxa"/>
            <w:vAlign w:val="bottom"/>
            <w:shd w:val="clear" w:color="auto" w:fill="DBDBDB"/>
          </w:tcPr>
          <w:p>
            <w:pPr>
              <w:ind w:left="20"/>
              <w:spacing w:after="0" w:line="147" w:lineRule="exact"/>
              <w:rPr>
                <w:sz w:val="20"/>
                <w:szCs w:val="20"/>
                <w:color w:val="auto"/>
              </w:rPr>
            </w:pPr>
            <w:r>
              <w:rPr>
                <w:rFonts w:ascii="Arial" w:cs="Arial" w:eastAsia="Arial" w:hAnsi="Arial"/>
                <w:sz w:val="13"/>
                <w:szCs w:val="13"/>
                <w:color w:val="auto"/>
              </w:rPr>
              <w:t>Average tank and pump solutions rental fleet utilization based on original</w:t>
            </w:r>
          </w:p>
        </w:tc>
        <w:tc>
          <w:tcPr>
            <w:tcW w:w="760" w:type="dxa"/>
            <w:vAlign w:val="bottom"/>
            <w:shd w:val="clear" w:color="auto" w:fill="DBDBDB"/>
          </w:tcPr>
          <w:p>
            <w:pPr>
              <w:spacing w:after="0"/>
              <w:rPr>
                <w:sz w:val="12"/>
                <w:szCs w:val="12"/>
                <w:color w:val="auto"/>
              </w:rPr>
            </w:pPr>
          </w:p>
        </w:tc>
        <w:tc>
          <w:tcPr>
            <w:tcW w:w="620" w:type="dxa"/>
            <w:vAlign w:val="bottom"/>
            <w:shd w:val="clear" w:color="auto" w:fill="DBDBDB"/>
          </w:tcPr>
          <w:p>
            <w:pPr>
              <w:spacing w:after="0"/>
              <w:rPr>
                <w:sz w:val="12"/>
                <w:szCs w:val="12"/>
                <w:color w:val="auto"/>
              </w:rPr>
            </w:pPr>
          </w:p>
        </w:tc>
        <w:tc>
          <w:tcPr>
            <w:tcW w:w="800" w:type="dxa"/>
            <w:vAlign w:val="bottom"/>
            <w:shd w:val="clear" w:color="auto" w:fill="DBDBDB"/>
          </w:tcPr>
          <w:p>
            <w:pPr>
              <w:spacing w:after="0"/>
              <w:rPr>
                <w:sz w:val="12"/>
                <w:szCs w:val="12"/>
                <w:color w:val="auto"/>
              </w:rPr>
            </w:pPr>
          </w:p>
        </w:tc>
        <w:tc>
          <w:tcPr>
            <w:tcW w:w="620" w:type="dxa"/>
            <w:vAlign w:val="bottom"/>
            <w:shd w:val="clear" w:color="auto" w:fill="DBDBDB"/>
          </w:tcPr>
          <w:p>
            <w:pPr>
              <w:spacing w:after="0"/>
              <w:rPr>
                <w:sz w:val="12"/>
                <w:szCs w:val="12"/>
                <w:color w:val="auto"/>
              </w:rPr>
            </w:pPr>
          </w:p>
        </w:tc>
        <w:tc>
          <w:tcPr>
            <w:tcW w:w="800" w:type="dxa"/>
            <w:vAlign w:val="bottom"/>
            <w:shd w:val="clear" w:color="auto" w:fill="DBDBDB"/>
          </w:tcPr>
          <w:p>
            <w:pPr>
              <w:spacing w:after="0"/>
              <w:rPr>
                <w:sz w:val="12"/>
                <w:szCs w:val="12"/>
                <w:color w:val="auto"/>
              </w:rPr>
            </w:pPr>
          </w:p>
        </w:tc>
        <w:tc>
          <w:tcPr>
            <w:tcW w:w="620" w:type="dxa"/>
            <w:vAlign w:val="bottom"/>
            <w:shd w:val="clear" w:color="auto" w:fill="DBDBDB"/>
          </w:tcPr>
          <w:p>
            <w:pPr>
              <w:spacing w:after="0"/>
              <w:rPr>
                <w:sz w:val="12"/>
                <w:szCs w:val="12"/>
                <w:color w:val="auto"/>
              </w:rPr>
            </w:pPr>
          </w:p>
        </w:tc>
        <w:tc>
          <w:tcPr>
            <w:tcW w:w="800" w:type="dxa"/>
            <w:vAlign w:val="bottom"/>
            <w:shd w:val="clear" w:color="auto" w:fill="DBDBDB"/>
          </w:tcPr>
          <w:p>
            <w:pPr>
              <w:spacing w:after="0"/>
              <w:rPr>
                <w:sz w:val="12"/>
                <w:szCs w:val="12"/>
                <w:color w:val="auto"/>
              </w:rPr>
            </w:pPr>
          </w:p>
        </w:tc>
        <w:tc>
          <w:tcPr>
            <w:tcW w:w="620" w:type="dxa"/>
            <w:vAlign w:val="bottom"/>
            <w:shd w:val="clear" w:color="auto" w:fill="DBDBDB"/>
          </w:tcPr>
          <w:p>
            <w:pPr>
              <w:spacing w:after="0"/>
              <w:rPr>
                <w:sz w:val="12"/>
                <w:szCs w:val="12"/>
                <w:color w:val="auto"/>
              </w:rPr>
            </w:pPr>
          </w:p>
        </w:tc>
        <w:tc>
          <w:tcPr>
            <w:tcW w:w="340" w:type="dxa"/>
            <w:vAlign w:val="bottom"/>
            <w:shd w:val="clear" w:color="auto" w:fill="DBDBDB"/>
          </w:tcPr>
          <w:p>
            <w:pPr>
              <w:spacing w:after="0"/>
              <w:rPr>
                <w:sz w:val="12"/>
                <w:szCs w:val="12"/>
                <w:color w:val="auto"/>
              </w:rPr>
            </w:pPr>
          </w:p>
        </w:tc>
        <w:tc>
          <w:tcPr>
            <w:tcW w:w="104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DBDBDB"/>
          </w:tcPr>
          <w:p>
            <w:pPr>
              <w:ind w:left="20"/>
              <w:spacing w:after="0"/>
              <w:rPr>
                <w:sz w:val="20"/>
                <w:szCs w:val="20"/>
                <w:color w:val="auto"/>
              </w:rPr>
            </w:pPr>
            <w:r>
              <w:rPr>
                <w:rFonts w:ascii="Arial" w:cs="Arial" w:eastAsia="Arial" w:hAnsi="Arial"/>
                <w:sz w:val="13"/>
                <w:szCs w:val="13"/>
                <w:color w:val="auto"/>
              </w:rPr>
              <w:t>equipment cost</w:t>
            </w:r>
          </w:p>
        </w:tc>
        <w:tc>
          <w:tcPr>
            <w:tcW w:w="760" w:type="dxa"/>
            <w:vAlign w:val="bottom"/>
            <w:shd w:val="clear" w:color="auto" w:fill="DBDBDB"/>
          </w:tcPr>
          <w:p>
            <w:pPr>
              <w:spacing w:after="0"/>
              <w:rPr>
                <w:sz w:val="14"/>
                <w:szCs w:val="14"/>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66.4 %</w:t>
            </w:r>
          </w:p>
        </w:tc>
        <w:tc>
          <w:tcPr>
            <w:tcW w:w="800" w:type="dxa"/>
            <w:vAlign w:val="bottom"/>
            <w:shd w:val="clear" w:color="auto" w:fill="DBDBDB"/>
          </w:tcPr>
          <w:p>
            <w:pPr>
              <w:spacing w:after="0"/>
              <w:rPr>
                <w:sz w:val="14"/>
                <w:szCs w:val="14"/>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60.5 %</w:t>
            </w:r>
          </w:p>
        </w:tc>
        <w:tc>
          <w:tcPr>
            <w:tcW w:w="800" w:type="dxa"/>
            <w:vAlign w:val="bottom"/>
            <w:shd w:val="clear" w:color="auto" w:fill="DBDBDB"/>
          </w:tcPr>
          <w:p>
            <w:pPr>
              <w:spacing w:after="0"/>
              <w:rPr>
                <w:sz w:val="14"/>
                <w:szCs w:val="14"/>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58.2 %</w:t>
            </w:r>
          </w:p>
        </w:tc>
        <w:tc>
          <w:tcPr>
            <w:tcW w:w="800" w:type="dxa"/>
            <w:vAlign w:val="bottom"/>
            <w:shd w:val="clear" w:color="auto" w:fill="DBDBDB"/>
          </w:tcPr>
          <w:p>
            <w:pPr>
              <w:spacing w:after="0"/>
              <w:rPr>
                <w:sz w:val="14"/>
                <w:szCs w:val="14"/>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65.2 %</w:t>
            </w:r>
          </w:p>
        </w:tc>
        <w:tc>
          <w:tcPr>
            <w:tcW w:w="340" w:type="dxa"/>
            <w:vAlign w:val="bottom"/>
            <w:shd w:val="clear" w:color="auto" w:fill="DBDBDB"/>
          </w:tcPr>
          <w:p>
            <w:pPr>
              <w:spacing w:after="0"/>
              <w:rPr>
                <w:sz w:val="14"/>
                <w:szCs w:val="14"/>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62.6 %</w:t>
            </w: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 Forma Comparison of Years ended December 31, 2021 and 2020:</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Tank and Pump</w:t>
      </w:r>
    </w:p>
    <w:p>
      <w:pPr>
        <w:spacing w:after="0" w:line="47" w:lineRule="exact"/>
        <w:rPr>
          <w:sz w:val="20"/>
          <w:szCs w:val="20"/>
          <w:color w:val="auto"/>
        </w:rPr>
      </w:pPr>
    </w:p>
    <w:p>
      <w:pPr>
        <w:ind w:left="540"/>
        <w:spacing w:after="0"/>
        <w:rPr>
          <w:sz w:val="20"/>
          <w:szCs w:val="20"/>
          <w:color w:val="auto"/>
        </w:rPr>
      </w:pPr>
      <w:r>
        <w:rPr>
          <w:rFonts w:ascii="Arial" w:cs="Arial" w:eastAsia="Arial" w:hAnsi="Arial"/>
          <w:sz w:val="13"/>
          <w:szCs w:val="13"/>
          <w:b w:val="1"/>
          <w:bCs w:val="1"/>
          <w:color w:val="auto"/>
        </w:rPr>
        <w:t xml:space="preserve">Revenue: </w:t>
      </w:r>
      <w:r>
        <w:rPr>
          <w:rFonts w:ascii="Arial" w:cs="Arial" w:eastAsia="Arial" w:hAnsi="Arial"/>
          <w:sz w:val="13"/>
          <w:szCs w:val="13"/>
          <w:color w:val="auto"/>
        </w:rPr>
        <w:t>Total revenue increased $12.0 million, or 12.2%, to $110.9 million for the year ended December 31, 2021 from $98.9 million for the year ended December 31, 2020.</w:t>
      </w:r>
    </w:p>
    <w:p>
      <w:pPr>
        <w:spacing w:after="0" w:line="107" w:lineRule="exact"/>
        <w:rPr>
          <w:sz w:val="20"/>
          <w:szCs w:val="20"/>
          <w:color w:val="auto"/>
        </w:rPr>
      </w:pPr>
    </w:p>
    <w:p>
      <w:pPr>
        <w:jc w:val="both"/>
        <w:ind w:firstLine="524"/>
        <w:spacing w:after="0" w:line="250" w:lineRule="auto"/>
        <w:rPr>
          <w:sz w:val="20"/>
          <w:szCs w:val="20"/>
          <w:color w:val="auto"/>
        </w:rPr>
      </w:pPr>
      <w:r>
        <w:rPr>
          <w:rFonts w:ascii="Arial" w:cs="Arial" w:eastAsia="Arial" w:hAnsi="Arial"/>
          <w:sz w:val="13"/>
          <w:szCs w:val="13"/>
          <w:color w:val="auto"/>
        </w:rPr>
        <w:t>Utilization based on OEC increased from 62.6% for the year ended December 31, 2020 to 72.3% for year ended December 31, 2021 and experienced an increase in average rental rates compared to the prior-year period. In addition, utilization levels grew sequentially in each quarter, finishing the fourth quarter of 2021 at an average OEC utilization rate of 75.5%. Year-over-year leasing revenue increased $11.7 million, or 17.9%, while delivery and installation revenue increased $1.0 million, or 3.5%. Sales revenues decreased $0.7 million compared to the prior-year period.</w:t>
      </w:r>
    </w:p>
    <w:p>
      <w:pPr>
        <w:spacing w:after="0" w:line="216" w:lineRule="exact"/>
        <w:rPr>
          <w:sz w:val="20"/>
          <w:szCs w:val="20"/>
          <w:color w:val="auto"/>
        </w:rPr>
      </w:pPr>
    </w:p>
    <w:p>
      <w:pPr>
        <w:jc w:val="both"/>
        <w:ind w:firstLine="524"/>
        <w:spacing w:after="0" w:line="257" w:lineRule="auto"/>
        <w:rPr>
          <w:sz w:val="20"/>
          <w:szCs w:val="20"/>
          <w:color w:val="auto"/>
        </w:rPr>
      </w:pPr>
      <w:r>
        <w:rPr>
          <w:rFonts w:ascii="Arial" w:cs="Arial" w:eastAsia="Arial" w:hAnsi="Arial"/>
          <w:sz w:val="13"/>
          <w:szCs w:val="13"/>
          <w:b w:val="1"/>
          <w:bCs w:val="1"/>
          <w:color w:val="auto"/>
        </w:rPr>
        <w:t xml:space="preserve">Gross Profit: </w:t>
      </w:r>
      <w:r>
        <w:rPr>
          <w:rFonts w:ascii="Arial" w:cs="Arial" w:eastAsia="Arial" w:hAnsi="Arial"/>
          <w:sz w:val="13"/>
          <w:szCs w:val="13"/>
          <w:color w:val="auto"/>
        </w:rPr>
        <w:t>Gross profit increased $3.4 million, or 6.9%, for the year ended December 31, 2021 to $52.3 million from $48.9 million for the year ended December 31, 2020. Gross profit</w:t>
      </w:r>
      <w:r>
        <w:rPr>
          <w:rFonts w:ascii="Arial" w:cs="Arial" w:eastAsia="Arial" w:hAnsi="Arial"/>
          <w:sz w:val="13"/>
          <w:szCs w:val="13"/>
          <w:b w:val="1"/>
          <w:bCs w:val="1"/>
          <w:color w:val="auto"/>
        </w:rPr>
        <w:t xml:space="preserve"> </w:t>
      </w:r>
      <w:r>
        <w:rPr>
          <w:rFonts w:ascii="Arial" w:cs="Arial" w:eastAsia="Arial" w:hAnsi="Arial"/>
          <w:sz w:val="13"/>
          <w:szCs w:val="13"/>
          <w:color w:val="auto"/>
        </w:rPr>
        <w:t>for leasing activity increased $6.4 million driven by the increased revenue as discussed above offset by increased costs of $5.3 million, including increased repairs and maintenance of $8.1 million. Gross profit for delivery and installation activity decreased $1.7 million reflecting higher revenues offset by a $2.8 million increase in expense, including $0.7 million higher expense for fuel. Depreciation of rental equipment decreased $1.2 million.</w:t>
      </w:r>
    </w:p>
    <w:p>
      <w:pPr>
        <w:spacing w:after="0" w:line="59" w:lineRule="exact"/>
        <w:rPr>
          <w:sz w:val="20"/>
          <w:szCs w:val="20"/>
          <w:color w:val="auto"/>
        </w:rPr>
      </w:pPr>
    </w:p>
    <w:p>
      <w:pPr>
        <w:jc w:val="both"/>
        <w:ind w:firstLine="524"/>
        <w:spacing w:after="0" w:line="264" w:lineRule="auto"/>
        <w:rPr>
          <w:sz w:val="20"/>
          <w:szCs w:val="20"/>
          <w:color w:val="auto"/>
        </w:rPr>
      </w:pPr>
      <w:r>
        <w:rPr>
          <w:rFonts w:ascii="Arial" w:cs="Arial" w:eastAsia="Arial" w:hAnsi="Arial"/>
          <w:sz w:val="13"/>
          <w:szCs w:val="13"/>
          <w:b w:val="1"/>
          <w:bCs w:val="1"/>
          <w:color w:val="auto"/>
        </w:rPr>
        <w:t xml:space="preserve">Adjusted EBITDA: </w:t>
      </w:r>
      <w:r>
        <w:rPr>
          <w:rFonts w:ascii="Arial" w:cs="Arial" w:eastAsia="Arial" w:hAnsi="Arial"/>
          <w:sz w:val="13"/>
          <w:szCs w:val="13"/>
          <w:color w:val="auto"/>
        </w:rPr>
        <w:t>Adjusted EBITDA increased $5.8 million, or 16.0%, to $41.8 million for the year ended December 31, 2021 from $36.0 million for the year ended December 31, 2020</w:t>
      </w:r>
      <w:r>
        <w:rPr>
          <w:rFonts w:ascii="Arial" w:cs="Arial" w:eastAsia="Arial" w:hAnsi="Arial"/>
          <w:sz w:val="13"/>
          <w:szCs w:val="13"/>
          <w:b w:val="1"/>
          <w:bCs w:val="1"/>
          <w:color w:val="auto"/>
        </w:rPr>
        <w:t xml:space="preserve"> </w:t>
      </w:r>
      <w:r>
        <w:rPr>
          <w:rFonts w:ascii="Arial" w:cs="Arial" w:eastAsia="Arial" w:hAnsi="Arial"/>
          <w:sz w:val="13"/>
          <w:szCs w:val="13"/>
          <w:color w:val="auto"/>
        </w:rPr>
        <w:t>and the margin expanded to 37.6% from 36.4%. The increase in Adjusted EBITDA was driven by the higher gross profit discussed above, offset by a $1.6 million reduction SG&amp;A expense including $1.7 million in decreased employee costs.</w:t>
      </w:r>
    </w:p>
    <w:p>
      <w:pPr>
        <w:spacing w:after="0" w:line="53" w:lineRule="exact"/>
        <w:rPr>
          <w:sz w:val="20"/>
          <w:szCs w:val="20"/>
          <w:color w:val="auto"/>
        </w:rPr>
      </w:pPr>
    </w:p>
    <w:p>
      <w:pPr>
        <w:jc w:val="both"/>
        <w:ind w:firstLine="524"/>
        <w:spacing w:after="0" w:line="282" w:lineRule="auto"/>
        <w:rPr>
          <w:sz w:val="20"/>
          <w:szCs w:val="20"/>
          <w:color w:val="auto"/>
        </w:rPr>
      </w:pPr>
      <w:r>
        <w:rPr>
          <w:rFonts w:ascii="Arial" w:cs="Arial" w:eastAsia="Arial" w:hAnsi="Arial"/>
          <w:sz w:val="13"/>
          <w:szCs w:val="13"/>
          <w:b w:val="1"/>
          <w:bCs w:val="1"/>
          <w:color w:val="auto"/>
        </w:rPr>
        <w:t xml:space="preserve">Capex for rental equipment: </w:t>
      </w:r>
      <w:r>
        <w:rPr>
          <w:rFonts w:ascii="Arial" w:cs="Arial" w:eastAsia="Arial" w:hAnsi="Arial"/>
          <w:sz w:val="13"/>
          <w:szCs w:val="13"/>
          <w:color w:val="auto"/>
        </w:rPr>
        <w:t>Purchases of rental equipment and refurbishments were reduced significantly during 2020 due to the unfavorable environment for this segment. For the</w:t>
      </w:r>
      <w:r>
        <w:rPr>
          <w:rFonts w:ascii="Arial" w:cs="Arial" w:eastAsia="Arial" w:hAnsi="Arial"/>
          <w:sz w:val="13"/>
          <w:szCs w:val="13"/>
          <w:b w:val="1"/>
          <w:bCs w:val="1"/>
          <w:color w:val="auto"/>
        </w:rPr>
        <w:t xml:space="preserve"> </w:t>
      </w:r>
      <w:r>
        <w:rPr>
          <w:rFonts w:ascii="Arial" w:cs="Arial" w:eastAsia="Arial" w:hAnsi="Arial"/>
          <w:sz w:val="13"/>
          <w:szCs w:val="13"/>
          <w:color w:val="auto"/>
        </w:rPr>
        <w:t>year ended December 31, 2021, expenditures of $17.7 million were $9.9 million higher than for the year ended December 31, 2020.</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color w:val="1D2758"/>
        </w:rPr>
        <w:t>Liquidity and Capital Resources</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110"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WillScot Mobile Mini is a holding company that derives its operating cash flow from its operating subsidiaries. Our principal sources of liquidity include cash generated by operating activities from our subsidiaries, borrowings under the 2020 ABL Facility, and sales of equity and debt securities. We believe that our liquidity sources and operating cash flows are sufficient to address our operating, debt service and capital requirements over the next twelve months.</w:t>
      </w:r>
    </w:p>
    <w:p>
      <w:pPr>
        <w:spacing w:after="0" w:line="33"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We have consistently accessed the debt and equity capital markets both opportunistically and as necessary to support the growth of our business, desired leverage levels, and other capital allocation priorities. Subsequent to the Merger,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07" w:right="319" w:bottom="1440" w:gutter="0" w:footer="0" w:header="0"/>
        </w:sectPr>
      </w:pPr>
    </w:p>
    <w:bookmarkStart w:id="62" w:name="page63"/>
    <w:bookmarkEnd w:id="62"/>
    <w:p>
      <w:pPr>
        <w:jc w:val="both"/>
        <w:spacing w:after="0" w:line="256" w:lineRule="auto"/>
        <w:rPr>
          <w:sz w:val="20"/>
          <w:szCs w:val="20"/>
          <w:color w:val="auto"/>
        </w:rPr>
      </w:pPr>
      <w:r>
        <w:rPr>
          <w:rFonts w:ascii="Arial" w:cs="Arial" w:eastAsia="Arial" w:hAnsi="Arial"/>
          <w:sz w:val="13"/>
          <w:szCs w:val="13"/>
          <w:color w:val="auto"/>
        </w:rPr>
        <w:t>we believe we have ample liquidity in the 2020 ABL Facility and are generating substantial free cash flow, which together support both organic operations and other capital allocation priorities as they arise.</w:t>
      </w:r>
    </w:p>
    <w:p>
      <w:pPr>
        <w:spacing w:after="0" w:line="31"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We continue to review available acquisition opportunities with the awareness that any such acquisition may require us to incur additional debt to finance the acquisition and/or to issue shares of our Common Stock or other equity securities as acquisition consideration or as part of an overall financing plan. In addition, we will continue to evaluate alternatives to optimize our capital structure, which could include the issuance or repurchase of additional unsecured and secured debt, equity securities and/or equity-linked securities. There can be no assurance as to the timing of any such issuance. If we obtain additional capital by issuing equity, the interests of our existing stockholders will be diluted. If we incur additional indebtedness, that indebtedness may contain significant financial and other covenants that may significantly restrict our operations. Availability of financing and the associated terms are inherently dependent on the debt and equity capital markets and subject to change. From time to time, we may also seek to streamline our capital structure and improve our financial position through refinancing or restructuring our existing debt or retiring certain of our securities for cash or other consideration.</w:t>
      </w:r>
    </w:p>
    <w:p>
      <w:pPr>
        <w:spacing w:after="0" w:line="37" w:lineRule="exact"/>
        <w:rPr>
          <w:sz w:val="20"/>
          <w:szCs w:val="20"/>
          <w:color w:val="auto"/>
        </w:rPr>
      </w:pPr>
    </w:p>
    <w:p>
      <w:pPr>
        <w:jc w:val="both"/>
        <w:ind w:firstLine="524"/>
        <w:spacing w:after="0" w:line="248" w:lineRule="auto"/>
        <w:rPr>
          <w:sz w:val="20"/>
          <w:szCs w:val="20"/>
          <w:color w:val="auto"/>
        </w:rPr>
      </w:pPr>
      <w:r>
        <w:rPr>
          <w:rFonts w:ascii="Arial" w:cs="Arial" w:eastAsia="Arial" w:hAnsi="Arial"/>
          <w:sz w:val="13"/>
          <w:szCs w:val="13"/>
          <w:color w:val="auto"/>
        </w:rPr>
        <w:t>In anticipation of the Merger, on June 15, 2020, we completed a private offering of $650.0 million in aggregate principal amount of the 2025 Secured Notes. The proceeds from the 2025 Secured Notes of $650.0 million were used to consummate the Merger and the related financing transactions, which included repayment of the 2022 Secured Notes, repayment of the Mobile Mini senior notes, and payment of certain fees and expenses related to the Merger and the related financing transactions. The 2025 Secured Notes mature on June 15, 2025 and bear interest at a rate of 6.125% per annum. Interest is payable semi-annually on June 15 and December 15 of each year, beginning December 15, 2020. During 2021, we redeemed $123.5 million of the 2025 Secured Notes. This repayment was funded by internally generated cash flow and lower cost borrowings under the 2020 ABL facility.</w:t>
      </w:r>
    </w:p>
    <w:p>
      <w:pPr>
        <w:spacing w:after="0" w:line="36"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On July 1, 2020, in connection with the completion of the Merger, we entered into the 2020 ABL Facility, which provides for revolving credit facilities in the aggregate principal amount of up to $2.4 billion, consisting of: (i) a senior secured asset-based US dollar revolving credit facility in the aggregate principal amount of $2.0 billion (the “US Facility”) and (ii) a $400 million senior secured asset-based multicurrency revolving credit facility (the "Multicurrency Facility," and together with the US Facility, the “2020 ABL Facility”). Borrowing availability under the 2020 ABL Facility is equal to the lesser of $2.4 billion and the applicable borrowing bases. The borrowing bases are a function of, among other things, the value of the assets in the relevant collateral pool of which our rental equipment represents the largest component. On July 1, 2020, in connection with the completion of the Merger, approximately $1.47 billion of proceeds from the 2020 ABL Facility were used to repay the 2017 ABL Facility, repay Mobile Mini's asset-backed lending facility, and pay fees and expenses related to the Merger and the related financing transactions. On August 11, 2020, we redeemed $49.0 million of our 2023 Secured Notes at a redemption price of 103.0% plus accrued and unpaid interest using proceeds from the 2020 ABL Facility. At December 31, 2021, we had $0.7 billion of available borrowing capacity under the 2020 ABL Facility.</w:t>
      </w:r>
    </w:p>
    <w:p>
      <w:pPr>
        <w:spacing w:after="0" w:line="36"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On August 25, 2020, we completed a private offering of $500.0 million in aggregate principal amount of the 2028 Secured Notes. Proceeds from the 2028 Secured notes were used to repay the $441.0 million remaining outstanding principal of the 2023 Secured Notes at a redemption price of 103.438% plus accrued and unpaid interest. The 2028 Secured Notes mature on August 15, 2028 and bear interest at a rate of 4.625% per annum. Interest is payable semi-annually on August 15 and February 15 of each year, beginning February 25, 2021.</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Cash Flows</w:t>
      </w:r>
    </w:p>
    <w:p>
      <w:pPr>
        <w:spacing w:after="0" w:line="66"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Significant factors driving our liquidity include cash flows generated from operating activities and capital expenditures. Our ability to fund our capital needs will be affected by our ongoing ability to generate cash from operations and access to capital markets.</w:t>
      </w:r>
    </w:p>
    <w:p>
      <w:pPr>
        <w:spacing w:after="0" w:line="31"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following summarizes our change in cash and cash equivalents for the periods presented: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40" w:type="dxa"/>
            <w:vAlign w:val="bottom"/>
            <w:shd w:val="clear" w:color="auto" w:fill="1D2758"/>
          </w:tcPr>
          <w:p>
            <w:pPr>
              <w:spacing w:after="0"/>
              <w:rPr>
                <w:sz w:val="15"/>
                <w:szCs w:val="15"/>
                <w:color w:val="auto"/>
              </w:rPr>
            </w:pPr>
          </w:p>
        </w:tc>
        <w:tc>
          <w:tcPr>
            <w:tcW w:w="300" w:type="dxa"/>
            <w:vAlign w:val="bottom"/>
            <w:shd w:val="clear" w:color="auto" w:fill="1D2758"/>
          </w:tcPr>
          <w:p>
            <w:pPr>
              <w:spacing w:after="0"/>
              <w:rPr>
                <w:sz w:val="15"/>
                <w:szCs w:val="15"/>
                <w:color w:val="auto"/>
              </w:rPr>
            </w:pPr>
          </w:p>
        </w:tc>
        <w:tc>
          <w:tcPr>
            <w:tcW w:w="1020" w:type="dxa"/>
            <w:vAlign w:val="bottom"/>
            <w:shd w:val="clear" w:color="auto" w:fill="1D2758"/>
          </w:tcPr>
          <w:p>
            <w:pPr>
              <w:spacing w:after="0"/>
              <w:rPr>
                <w:sz w:val="15"/>
                <w:szCs w:val="15"/>
                <w:color w:val="auto"/>
              </w:rPr>
            </w:pPr>
          </w:p>
        </w:tc>
        <w:tc>
          <w:tcPr>
            <w:tcW w:w="1860" w:type="dxa"/>
            <w:vAlign w:val="bottom"/>
            <w:gridSpan w:val="6"/>
            <w:shd w:val="clear" w:color="auto" w:fill="1D2758"/>
          </w:tcPr>
          <w:p>
            <w:pPr>
              <w:jc w:val="right"/>
              <w:ind w:right="194"/>
              <w:spacing w:after="0"/>
              <w:rPr>
                <w:sz w:val="20"/>
                <w:szCs w:val="20"/>
                <w:color w:val="auto"/>
              </w:rPr>
            </w:pPr>
            <w:r>
              <w:rPr>
                <w:rFonts w:ascii="Arial" w:cs="Arial" w:eastAsia="Arial" w:hAnsi="Arial"/>
                <w:sz w:val="13"/>
                <w:szCs w:val="13"/>
                <w:b w:val="1"/>
                <w:bCs w:val="1"/>
                <w:color w:val="FFFFFF"/>
                <w:w w:val="98"/>
              </w:rPr>
              <w:t>Year Ended December 31,</w:t>
            </w:r>
          </w:p>
        </w:tc>
        <w:tc>
          <w:tcPr>
            <w:tcW w:w="1060" w:type="dxa"/>
            <w:vAlign w:val="bottom"/>
            <w:shd w:val="clear" w:color="auto" w:fill="1D2758"/>
          </w:tcPr>
          <w:p>
            <w:pPr>
              <w:spacing w:after="0"/>
              <w:rPr>
                <w:sz w:val="15"/>
                <w:szCs w:val="15"/>
                <w:color w:val="auto"/>
              </w:rPr>
            </w:pPr>
          </w:p>
        </w:tc>
      </w:tr>
      <w:tr>
        <w:trPr>
          <w:trHeight w:val="175"/>
        </w:trPr>
        <w:tc>
          <w:tcPr>
            <w:tcW w:w="704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300" w:type="dxa"/>
            <w:vAlign w:val="bottom"/>
            <w:shd w:val="clear" w:color="auto" w:fill="1D2758"/>
          </w:tcPr>
          <w:p>
            <w:pPr>
              <w:spacing w:after="0"/>
              <w:rPr>
                <w:sz w:val="15"/>
                <w:szCs w:val="15"/>
                <w:color w:val="auto"/>
              </w:rPr>
            </w:pPr>
          </w:p>
        </w:tc>
        <w:tc>
          <w:tcPr>
            <w:tcW w:w="1020" w:type="dxa"/>
            <w:vAlign w:val="bottom"/>
            <w:shd w:val="clear" w:color="auto" w:fill="1D2758"/>
          </w:tcPr>
          <w:p>
            <w:pPr>
              <w:jc w:val="right"/>
              <w:ind w:right="454"/>
              <w:spacing w:after="0"/>
              <w:rPr>
                <w:sz w:val="20"/>
                <w:szCs w:val="20"/>
                <w:color w:val="auto"/>
              </w:rPr>
            </w:pPr>
            <w:r>
              <w:rPr>
                <w:rFonts w:ascii="Arial" w:cs="Arial" w:eastAsia="Arial" w:hAnsi="Arial"/>
                <w:sz w:val="13"/>
                <w:szCs w:val="13"/>
                <w:b w:val="1"/>
                <w:bCs w:val="1"/>
                <w:color w:val="FFFFFF"/>
              </w:rPr>
              <w:t>2021</w:t>
            </w:r>
          </w:p>
        </w:tc>
        <w:tc>
          <w:tcPr>
            <w:tcW w:w="2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320" w:type="dxa"/>
            <w:vAlign w:val="bottom"/>
            <w:shd w:val="clear" w:color="auto" w:fill="1D2758"/>
          </w:tcPr>
          <w:p>
            <w:pPr>
              <w:spacing w:after="0"/>
              <w:rPr>
                <w:sz w:val="15"/>
                <w:szCs w:val="15"/>
                <w:color w:val="auto"/>
              </w:rPr>
            </w:pPr>
          </w:p>
        </w:tc>
        <w:tc>
          <w:tcPr>
            <w:tcW w:w="1040" w:type="dxa"/>
            <w:vAlign w:val="bottom"/>
            <w:shd w:val="clear" w:color="auto" w:fill="1D2758"/>
          </w:tcPr>
          <w:p>
            <w:pPr>
              <w:jc w:val="right"/>
              <w:ind w:right="454"/>
              <w:spacing w:after="0"/>
              <w:rPr>
                <w:sz w:val="20"/>
                <w:szCs w:val="20"/>
                <w:color w:val="auto"/>
              </w:rPr>
            </w:pPr>
            <w:r>
              <w:rPr>
                <w:rFonts w:ascii="Arial" w:cs="Arial" w:eastAsia="Arial" w:hAnsi="Arial"/>
                <w:sz w:val="13"/>
                <w:szCs w:val="13"/>
                <w:b w:val="1"/>
                <w:bCs w:val="1"/>
                <w:color w:val="FFFFFF"/>
              </w:rPr>
              <w:t>2020</w:t>
            </w:r>
          </w:p>
        </w:tc>
        <w:tc>
          <w:tcPr>
            <w:tcW w:w="100" w:type="dxa"/>
            <w:vAlign w:val="bottom"/>
            <w:shd w:val="clear" w:color="auto" w:fill="1D2758"/>
          </w:tcPr>
          <w:p>
            <w:pPr>
              <w:spacing w:after="0"/>
              <w:rPr>
                <w:sz w:val="15"/>
                <w:szCs w:val="15"/>
                <w:color w:val="auto"/>
              </w:rPr>
            </w:pPr>
          </w:p>
        </w:tc>
        <w:tc>
          <w:tcPr>
            <w:tcW w:w="300" w:type="dxa"/>
            <w:vAlign w:val="bottom"/>
            <w:shd w:val="clear" w:color="auto" w:fill="1D2758"/>
          </w:tcPr>
          <w:p>
            <w:pPr>
              <w:spacing w:after="0"/>
              <w:rPr>
                <w:sz w:val="15"/>
                <w:szCs w:val="15"/>
                <w:color w:val="auto"/>
              </w:rPr>
            </w:pPr>
          </w:p>
        </w:tc>
        <w:tc>
          <w:tcPr>
            <w:tcW w:w="1060" w:type="dxa"/>
            <w:vAlign w:val="bottom"/>
            <w:shd w:val="clear" w:color="auto" w:fill="1D2758"/>
          </w:tcPr>
          <w:p>
            <w:pPr>
              <w:jc w:val="right"/>
              <w:ind w:right="474"/>
              <w:spacing w:after="0"/>
              <w:rPr>
                <w:sz w:val="20"/>
                <w:szCs w:val="20"/>
                <w:color w:val="auto"/>
              </w:rPr>
            </w:pPr>
            <w:r>
              <w:rPr>
                <w:rFonts w:ascii="Arial" w:cs="Arial" w:eastAsia="Arial" w:hAnsi="Arial"/>
                <w:sz w:val="13"/>
                <w:szCs w:val="13"/>
                <w:b w:val="1"/>
                <w:bCs w:val="1"/>
                <w:color w:val="FFFFFF"/>
              </w:rPr>
              <w:t>2019</w:t>
            </w:r>
          </w:p>
        </w:tc>
      </w:tr>
      <w:tr>
        <w:trPr>
          <w:trHeight w:val="175"/>
        </w:trPr>
        <w:tc>
          <w:tcPr>
            <w:tcW w:w="7040" w:type="dxa"/>
            <w:vAlign w:val="bottom"/>
            <w:shd w:val="clear" w:color="auto" w:fill="DBDBDB"/>
          </w:tcPr>
          <w:p>
            <w:pPr>
              <w:ind w:left="20"/>
              <w:spacing w:after="0"/>
              <w:rPr>
                <w:sz w:val="20"/>
                <w:szCs w:val="20"/>
                <w:color w:val="auto"/>
              </w:rPr>
            </w:pPr>
            <w:r>
              <w:rPr>
                <w:rFonts w:ascii="Arial" w:cs="Arial" w:eastAsia="Arial" w:hAnsi="Arial"/>
                <w:sz w:val="13"/>
                <w:szCs w:val="13"/>
                <w:color w:val="auto"/>
              </w:rPr>
              <w:t>Net cash from operating activities</w:t>
            </w:r>
          </w:p>
        </w:tc>
        <w:tc>
          <w:tcPr>
            <w:tcW w:w="30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539,902</w:t>
            </w:r>
          </w:p>
        </w:tc>
        <w:tc>
          <w:tcPr>
            <w:tcW w:w="420" w:type="dxa"/>
            <w:vAlign w:val="bottom"/>
            <w:gridSpan w:val="3"/>
            <w:shd w:val="clear" w:color="auto" w:fill="DBDBDB"/>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304,812</w:t>
            </w:r>
          </w:p>
        </w:tc>
        <w:tc>
          <w:tcPr>
            <w:tcW w:w="100" w:type="dxa"/>
            <w:vAlign w:val="bottom"/>
            <w:shd w:val="clear" w:color="auto" w:fill="DBDBDB"/>
          </w:tcPr>
          <w:p>
            <w:pPr>
              <w:spacing w:after="0"/>
              <w:rPr>
                <w:sz w:val="15"/>
                <w:szCs w:val="15"/>
                <w:color w:val="auto"/>
              </w:rPr>
            </w:pPr>
          </w:p>
        </w:tc>
        <w:tc>
          <w:tcPr>
            <w:tcW w:w="30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172,566</w:t>
            </w:r>
          </w:p>
        </w:tc>
      </w:tr>
      <w:tr>
        <w:trPr>
          <w:trHeight w:val="172"/>
        </w:trPr>
        <w:tc>
          <w:tcPr>
            <w:tcW w:w="7040" w:type="dxa"/>
            <w:vAlign w:val="bottom"/>
          </w:tcPr>
          <w:p>
            <w:pPr>
              <w:ind w:left="20"/>
              <w:spacing w:after="0"/>
              <w:rPr>
                <w:sz w:val="20"/>
                <w:szCs w:val="20"/>
                <w:color w:val="auto"/>
              </w:rPr>
            </w:pPr>
            <w:r>
              <w:rPr>
                <w:rFonts w:ascii="Arial" w:cs="Arial" w:eastAsia="Arial" w:hAnsi="Arial"/>
                <w:sz w:val="13"/>
                <w:szCs w:val="13"/>
                <w:color w:val="auto"/>
              </w:rPr>
              <w:t>Net cash from investing activities</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(384,047)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(125,360)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(152,582)</w:t>
            </w:r>
          </w:p>
        </w:tc>
      </w:tr>
      <w:tr>
        <w:trPr>
          <w:trHeight w:val="178"/>
        </w:trPr>
        <w:tc>
          <w:tcPr>
            <w:tcW w:w="7040" w:type="dxa"/>
            <w:vAlign w:val="bottom"/>
            <w:shd w:val="clear" w:color="auto" w:fill="DBDBDB"/>
          </w:tcPr>
          <w:p>
            <w:pPr>
              <w:ind w:left="20"/>
              <w:spacing w:after="0"/>
              <w:rPr>
                <w:sz w:val="20"/>
                <w:szCs w:val="20"/>
                <w:color w:val="auto"/>
              </w:rPr>
            </w:pPr>
            <w:r>
              <w:rPr>
                <w:rFonts w:ascii="Arial" w:cs="Arial" w:eastAsia="Arial" w:hAnsi="Arial"/>
                <w:sz w:val="13"/>
                <w:szCs w:val="13"/>
                <w:color w:val="auto"/>
              </w:rPr>
              <w:t>Net cash from financing activities</w:t>
            </w:r>
          </w:p>
        </w:tc>
        <w:tc>
          <w:tcPr>
            <w:tcW w:w="300" w:type="dxa"/>
            <w:vAlign w:val="bottom"/>
            <w:shd w:val="clear" w:color="auto" w:fill="DBDBDB"/>
          </w:tcPr>
          <w:p>
            <w:pPr>
              <w:spacing w:after="0"/>
              <w:rPr>
                <w:sz w:val="15"/>
                <w:szCs w:val="15"/>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(167,887)</w:t>
            </w:r>
          </w:p>
        </w:tc>
        <w:tc>
          <w:tcPr>
            <w:tcW w:w="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(158,958)</w:t>
            </w:r>
          </w:p>
        </w:tc>
        <w:tc>
          <w:tcPr>
            <w:tcW w:w="10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(26,063)</w:t>
            </w:r>
          </w:p>
        </w:tc>
      </w:tr>
      <w:tr>
        <w:trPr>
          <w:trHeight w:val="172"/>
        </w:trPr>
        <w:tc>
          <w:tcPr>
            <w:tcW w:w="704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Effect of exchange rate changes on cash and cash equivalents</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(206)</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DBDBDB"/>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1,398</w:t>
            </w:r>
          </w:p>
        </w:tc>
        <w:tc>
          <w:tcPr>
            <w:tcW w:w="100" w:type="dxa"/>
            <w:vAlign w:val="bottom"/>
            <w:tcBorders>
              <w:bottom w:val="single" w:sz="8" w:color="DBDBDB"/>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166</w:t>
            </w:r>
          </w:p>
        </w:tc>
      </w:tr>
      <w:tr>
        <w:trPr>
          <w:trHeight w:val="186"/>
        </w:trPr>
        <w:tc>
          <w:tcPr>
            <w:tcW w:w="70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Net change in cash and cash equivalents</w:t>
            </w:r>
          </w:p>
        </w:tc>
        <w:tc>
          <w:tcPr>
            <w:tcW w:w="30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(12,238)</w:t>
            </w:r>
          </w:p>
        </w:tc>
        <w:tc>
          <w:tcPr>
            <w:tcW w:w="420" w:type="dxa"/>
            <w:vAlign w:val="bottom"/>
            <w:gridSpan w:val="3"/>
            <w:shd w:val="clear" w:color="auto" w:fill="DBDBDB"/>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21,892</w:t>
            </w:r>
          </w:p>
        </w:tc>
        <w:tc>
          <w:tcPr>
            <w:tcW w:w="100" w:type="dxa"/>
            <w:vAlign w:val="bottom"/>
            <w:shd w:val="clear" w:color="auto" w:fill="DBDBDB"/>
          </w:tcPr>
          <w:p>
            <w:pPr>
              <w:spacing w:after="0"/>
              <w:rPr>
                <w:sz w:val="16"/>
                <w:szCs w:val="16"/>
                <w:color w:val="auto"/>
              </w:rPr>
            </w:pPr>
          </w:p>
        </w:tc>
        <w:tc>
          <w:tcPr>
            <w:tcW w:w="300" w:type="dxa"/>
            <w:vAlign w:val="bottom"/>
            <w:shd w:val="clear" w:color="auto" w:fill="DBDBDB"/>
          </w:tcPr>
          <w:p>
            <w:pPr>
              <w:jc w:val="right"/>
              <w:ind w:right="154"/>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(5,913)</w:t>
            </w:r>
          </w:p>
        </w:tc>
      </w:tr>
      <w:tr>
        <w:trPr>
          <w:trHeight w:val="20"/>
        </w:trPr>
        <w:tc>
          <w:tcPr>
            <w:tcW w:w="704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28" w:right="319" w:bottom="1440" w:gutter="0" w:footer="0" w:header="0"/>
        </w:sectPr>
      </w:pPr>
    </w:p>
    <w:bookmarkStart w:id="63" w:name="page64"/>
    <w:bookmarkEnd w:id="63"/>
    <w:p>
      <w:pPr>
        <w:spacing w:after="0"/>
        <w:rPr>
          <w:sz w:val="20"/>
          <w:szCs w:val="20"/>
          <w:color w:val="auto"/>
        </w:rPr>
      </w:pPr>
      <w:r>
        <w:rPr>
          <w:rFonts w:ascii="Arial" w:cs="Arial" w:eastAsia="Arial" w:hAnsi="Arial"/>
          <w:sz w:val="15"/>
          <w:szCs w:val="15"/>
          <w:b w:val="1"/>
          <w:bCs w:val="1"/>
          <w:color w:val="auto"/>
        </w:rPr>
        <w:t>Comparison of the Years Ended December 31, 2021 and 2020 and December 31, 2020 and 2019</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Cash Flows from operating activities</w:t>
      </w:r>
    </w:p>
    <w:p>
      <w:pPr>
        <w:spacing w:after="0" w:line="63" w:lineRule="exact"/>
        <w:rPr>
          <w:sz w:val="20"/>
          <w:szCs w:val="20"/>
          <w:color w:val="auto"/>
        </w:rPr>
      </w:pPr>
    </w:p>
    <w:p>
      <w:pPr>
        <w:jc w:val="both"/>
        <w:ind w:firstLine="524"/>
        <w:spacing w:after="0" w:line="248" w:lineRule="auto"/>
        <w:rPr>
          <w:sz w:val="20"/>
          <w:szCs w:val="20"/>
          <w:color w:val="auto"/>
        </w:rPr>
      </w:pPr>
      <w:r>
        <w:rPr>
          <w:rFonts w:ascii="Arial" w:cs="Arial" w:eastAsia="Arial" w:hAnsi="Arial"/>
          <w:sz w:val="13"/>
          <w:szCs w:val="13"/>
          <w:color w:val="auto"/>
        </w:rPr>
        <w:t>Cash provided by operating activities for the year ended December 31, 2021 was $539.9 million as compared to $304.8 million for the year ended December 31, 2020, an increase of $235.1 million. The increase in cash provided by operating activities was driven by an increase of $252.1 million of net income, adjusted for non-cash items. This was partially offset by a decrease of $17.2 million in the net movements of the operating assets and liabilities, which was primarily attributable to an increase in cash used from accounts receivable of $78.4 million compared to the same period in 2020, an increase in accounts payable and other accrued liabilities of $43.3 million, an increase in accrued interest of $12.1 million, and an increase of $10.2 million in deferred revenue compared to the same period in 2020.</w:t>
      </w:r>
    </w:p>
    <w:p>
      <w:pPr>
        <w:spacing w:after="0" w:line="36" w:lineRule="exact"/>
        <w:rPr>
          <w:sz w:val="20"/>
          <w:szCs w:val="20"/>
          <w:color w:val="auto"/>
        </w:rPr>
      </w:pPr>
    </w:p>
    <w:p>
      <w:pPr>
        <w:jc w:val="both"/>
        <w:ind w:firstLine="524"/>
        <w:spacing w:after="0" w:line="248" w:lineRule="auto"/>
        <w:rPr>
          <w:sz w:val="20"/>
          <w:szCs w:val="20"/>
          <w:color w:val="auto"/>
        </w:rPr>
      </w:pPr>
      <w:r>
        <w:rPr>
          <w:rFonts w:ascii="Arial" w:cs="Arial" w:eastAsia="Arial" w:hAnsi="Arial"/>
          <w:sz w:val="13"/>
          <w:szCs w:val="13"/>
          <w:color w:val="auto"/>
        </w:rPr>
        <w:t>Cash provided by operating activities for the year ended December 31, 2020 was $304.8 million as compared to $172.6 million for the year ended December 31, 2019, an increase of $132.2 million. The increase in cash provided by operating activities was driven by an increase of $136.7 million of net income, adjusted for non-cash items, primarily due to the impact of the Merger on revenues and gross profit. This was partially offset by a decrease of $4.4 million in the net movements of the operating assets and liabilities which was primarily attributable to a decrease in accounts payable and other accrued liabilities of $20.9 million, an increase in prepaid and other assets of $12.7 million, and a decrease in accrued interest of $7.7 million, compared to the same period in 2019. This was partially offset by a decrease in cash used from accounts receivable of $36.9 million compared to the same period in 2019.</w:t>
      </w:r>
    </w:p>
    <w:p>
      <w:pPr>
        <w:spacing w:after="0" w:line="6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Cash flows from investing activities</w:t>
      </w:r>
    </w:p>
    <w:p>
      <w:pPr>
        <w:spacing w:after="0" w:line="63"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Cash used in investing activities for the year ended December 31, 2021 was $384.0 million as compared to $125.4 million for the year ended December 31, 2020, an increase of $258.6 million. The increase in cash used in investing activities was driven by a $164.3 million increase in cash used in acquisitions, net of cash acquired. During 2021, the Company acquired certain assets and liabilities of several smaller entities for $147.2 million in cash. During 2020, $17.2 million of cash was acquired as part of the Merger. The increase in cash used in investing activities was also driven by a $106.1 million increase in cash used for the purchase of rental equipment and refurbishments to support growing demand for new project deliveries across all segments, and a $14.0 million increase in cash used for the purchase of property, plant, and equipment. These increases were partially offset by a $9.5 million increase in proceeds from sale of property, plant and equipment and a $16.3 million increase in proceeds from the sale of rental equipment. Proceeds from sale of rental equipment increased compared to the prior year due to higher sales demand.</w:t>
      </w:r>
    </w:p>
    <w:p>
      <w:pPr>
        <w:spacing w:after="0" w:line="191"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Cash used in investing activities for the year ended December 31, 2020 was $125.4 million as compared to $152.6 million for the year ended December 31, 2019, a decrease of $27.2 million. The decrease in cash used in investing activities was driven by a $32.7 million decrease in cash used for purchase of rental equipment and refurbishments. Cash used for purchase of rental equipment and refurbishments decreased compared to 2019 as fleet was less constrained due to reduced utilization and reduced demand for new project deliveries as a result of the COVID-19 pandemic and the current period impact of prior year spend. Additionally, $17.2 million of cash was acquired as part of the Merger. This increase was partially offset by an $11.4 million decrease in proceeds from sale of property, plant and equipment, an increase of $8.2 million on purchases of property, plant and equipment and a $3.2 million decrease in proceeds from the sale of rental equipment. Proceeds from sale of rental equipment decreased compared to the prior year due to lower sales demand.</w:t>
      </w:r>
    </w:p>
    <w:p>
      <w:pPr>
        <w:spacing w:after="0" w:line="6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Cash flows from financing activities</w:t>
      </w:r>
    </w:p>
    <w:p>
      <w:pPr>
        <w:spacing w:after="0" w:line="63"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Cash used in financing activities for the year ended December 31, 2021 was $167.9 million as compared to $159.0 million for the year ended December 31, 2020, an increase of $8.9 million cash used. The increase in cash used in financing activities was driven by an increase of $341.8 million in repurchases of common stock and warrants as well as a $2,058.1 million decrease in receipts from borrowings. This was partially offset by a decrease of $2,296.2 million in repayment of borrowings, a decrease of $65.5 million in payment of financing costs, and a decrease of $30.9 million in payment of debt extinguishment premium costs.</w:t>
      </w:r>
    </w:p>
    <w:p>
      <w:pPr>
        <w:spacing w:after="0" w:line="35"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Cash used in financing activities for the year ended December 31, 2020 was $159.0 million as compared to $26.1 million cash provided by financing activities for the year ended December 31, 2019, an increase of $132.9 million cash used. The increase in cash used in financing activities was driven by an increase of $62.9 million for payment of financing costs, an increase of $27.4 million for payment of debt extinguishment costs, payment of $21.8 million for the repurchase and cancellation of warrants, payment of $4.2 million for Common Stock issuance costs, an increase of $12.8 million of taxes paid on employee stock awards, and an increase of $8.4 million of principal payments on finance lease obligations. Additionally, there was a net increase of $5.1 million of payments on borrowings, comprised of an increase in repayments of borrowings of $2,239.7 million that was partially offset by an increase receipts from borrowings of $2,234.6 million. The cash used in financing activities was partially offset by an increase in receipts from the issuance of Common Stock from the exercise of options and warrants of $9.7 million.</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07" w:right="319" w:bottom="1440" w:gutter="0" w:footer="0" w:header="0"/>
        </w:sectPr>
      </w:pPr>
    </w:p>
    <w:bookmarkStart w:id="64" w:name="page65"/>
    <w:bookmarkEnd w:id="64"/>
    <w:p>
      <w:pPr>
        <w:spacing w:after="0"/>
        <w:rPr>
          <w:sz w:val="20"/>
          <w:szCs w:val="20"/>
          <w:color w:val="auto"/>
        </w:rPr>
      </w:pPr>
      <w:r>
        <w:rPr>
          <w:rFonts w:ascii="Arial" w:cs="Arial" w:eastAsia="Arial" w:hAnsi="Arial"/>
          <w:sz w:val="13"/>
          <w:szCs w:val="13"/>
          <w:b w:val="1"/>
          <w:bCs w:val="1"/>
          <w:i w:val="1"/>
          <w:iCs w:val="1"/>
          <w:color w:val="auto"/>
        </w:rPr>
        <w:t>Material cash requirements</w:t>
      </w:r>
    </w:p>
    <w:p>
      <w:pPr>
        <w:spacing w:after="0" w:line="107"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Company’s material cash requirements include the following contractual and other obligations:</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Debt</w:t>
      </w:r>
    </w:p>
    <w:p>
      <w:pPr>
        <w:spacing w:after="0" w:line="63"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The Company has outstanding debt related to its 2020 ABL Facility, 2025 Secured Notes, 2028 Secured Notes, and finance leases, including interest, totaling $3.2 billion as of December 31, 2021, $21.8 million of which is obligated to be repaid within the next twelve months. Refer to Note 9 for further information regarding outstanding debt.</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Operating leases</w:t>
      </w:r>
    </w:p>
    <w:p>
      <w:pPr>
        <w:spacing w:after="0" w:line="63"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The Company has commitments for future minimum rental payments relating to operating leases, which are primarily for equipment and office space. As of December 31, 2021, the Company had lease obligations of $290.3 million, with $63.7 million payable within the next twelve months.</w:t>
      </w:r>
    </w:p>
    <w:p>
      <w:pPr>
        <w:spacing w:after="0" w:line="74"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In addition to the aforementioned cash requirements, the Company has a Share Repurchase program authorized by the Board of Directors in October 2021 which allows the Company to repurchase up to $1.0 billion of outstanding shares of Common Stock and equivalents. This program does not obligate the Company to repurchase any specific amount of shares.</w:t>
      </w:r>
    </w:p>
    <w:p>
      <w:pPr>
        <w:spacing w:after="0" w:line="31"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The company believes its cash, cash flows generated from ongoing operations, and continued access to its revolving credit facility as well access to debt markets are sufficient to satisfy its currently anticipated cash requirements for the foreseeable future.</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color w:val="1D2758"/>
        </w:rPr>
        <w:t>Critical Accounting Policies and Estimates</w:t>
      </w:r>
    </w:p>
    <w:p>
      <w:pPr>
        <w:spacing w:after="0" w:line="42" w:lineRule="exact"/>
        <w:rPr>
          <w:sz w:val="20"/>
          <w:szCs w:val="20"/>
          <w:color w:val="auto"/>
        </w:rPr>
      </w:pPr>
    </w:p>
    <w:p>
      <w:pPr>
        <w:jc w:val="both"/>
        <w:ind w:firstLine="524"/>
        <w:spacing w:after="0" w:line="248" w:lineRule="auto"/>
        <w:rPr>
          <w:sz w:val="20"/>
          <w:szCs w:val="20"/>
          <w:color w:val="auto"/>
        </w:rPr>
      </w:pPr>
      <w:r>
        <w:rPr>
          <w:rFonts w:ascii="Arial" w:cs="Arial" w:eastAsia="Arial" w:hAnsi="Arial"/>
          <w:sz w:val="13"/>
          <w:szCs w:val="13"/>
          <w:color w:val="auto"/>
        </w:rPr>
        <w:t>Our discussion and analysis of our financial condition, results of operations, liquidity and capital resources is based on our consolidated financial statements, which have been prepared in accordance with GAAP. GAAP requires that we make estimates and judgments that affect the reported amount of assets, liabilities, revenue, expenses and the related disclosure of contingent assets and liabilities. We base these estimates on historical experience and on various other assumptions that we consider reasonable under the circumstances and reevaluate our estimates and judgments as appropriate. The actual results experienced by us may differ materially and adversely from our estimates. We believe that the following critical accounting policies involve a higher degree of judgment or complexity in the preparation of financial statements: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Revenue Recognition</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Leasing and Services Revenue</w:t>
      </w:r>
    </w:p>
    <w:p>
      <w:pPr>
        <w:spacing w:after="0" w:line="49" w:lineRule="exact"/>
        <w:rPr>
          <w:sz w:val="20"/>
          <w:szCs w:val="20"/>
          <w:color w:val="auto"/>
        </w:rPr>
      </w:pPr>
    </w:p>
    <w:p>
      <w:pPr>
        <w:jc w:val="both"/>
        <w:ind w:firstLine="524"/>
        <w:spacing w:after="0" w:line="262" w:lineRule="auto"/>
        <w:rPr>
          <w:sz w:val="20"/>
          <w:szCs w:val="20"/>
          <w:color w:val="auto"/>
        </w:rPr>
      </w:pPr>
      <w:r>
        <w:rPr>
          <w:rFonts w:ascii="Arial" w:cs="Arial" w:eastAsia="Arial" w:hAnsi="Arial"/>
          <w:sz w:val="13"/>
          <w:szCs w:val="13"/>
          <w:color w:val="auto"/>
        </w:rPr>
        <w:t xml:space="preserve">The majority of revenue is generated by rental income subject to the guidance of Accounting Standard Update ("ASU") 2016-2, </w:t>
      </w:r>
      <w:r>
        <w:rPr>
          <w:rFonts w:ascii="Arial" w:cs="Arial" w:eastAsia="Arial" w:hAnsi="Arial"/>
          <w:sz w:val="13"/>
          <w:szCs w:val="13"/>
          <w:i w:val="1"/>
          <w:iCs w:val="1"/>
          <w:color w:val="auto"/>
        </w:rPr>
        <w:t>Leases (Topic 842)</w:t>
      </w:r>
      <w:r>
        <w:rPr>
          <w:rFonts w:ascii="Arial" w:cs="Arial" w:eastAsia="Arial" w:hAnsi="Arial"/>
          <w:sz w:val="13"/>
          <w:szCs w:val="13"/>
          <w:color w:val="auto"/>
        </w:rPr>
        <w:t xml:space="preserve"> ("ASC 842"). The remaining revenue is generated by performance obligations in contracts with customers for services or sale of units subject to the guidance in ASU 2014-09, </w:t>
      </w:r>
      <w:r>
        <w:rPr>
          <w:rFonts w:ascii="Arial" w:cs="Arial" w:eastAsia="Arial" w:hAnsi="Arial"/>
          <w:sz w:val="13"/>
          <w:szCs w:val="13"/>
          <w:i w:val="1"/>
          <w:iCs w:val="1"/>
          <w:color w:val="auto"/>
        </w:rPr>
        <w:t>Revenue from Contracts with Customers (Topic 606)</w:t>
      </w:r>
      <w:r>
        <w:rPr>
          <w:rFonts w:ascii="Arial" w:cs="Arial" w:eastAsia="Arial" w:hAnsi="Arial"/>
          <w:sz w:val="13"/>
          <w:szCs w:val="13"/>
          <w:color w:val="auto"/>
        </w:rPr>
        <w:t xml:space="preserve"> ("ASC 606").</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Leasing Revenue</w:t>
      </w:r>
    </w:p>
    <w:p>
      <w:pPr>
        <w:spacing w:after="0" w:line="63" w:lineRule="exact"/>
        <w:rPr>
          <w:sz w:val="20"/>
          <w:szCs w:val="20"/>
          <w:color w:val="auto"/>
        </w:rPr>
      </w:pPr>
    </w:p>
    <w:p>
      <w:pPr>
        <w:jc w:val="both"/>
        <w:ind w:firstLine="524"/>
        <w:spacing w:after="0" w:line="248" w:lineRule="auto"/>
        <w:rPr>
          <w:sz w:val="20"/>
          <w:szCs w:val="20"/>
          <w:color w:val="auto"/>
        </w:rPr>
      </w:pPr>
      <w:r>
        <w:rPr>
          <w:rFonts w:ascii="Arial" w:cs="Arial" w:eastAsia="Arial" w:hAnsi="Arial"/>
          <w:sz w:val="13"/>
          <w:szCs w:val="13"/>
          <w:color w:val="auto"/>
        </w:rPr>
        <w:t>Income from operating leases is recognized on a straight-line basis over the lease term. The Company's lease arrangements can include multiple lease and non-lease components. Examples of lease components include, but are not limited to, the lease of modular space, portable storage units and VAPS. Examples of non-lease components include, but are not limited to, the delivery, installation, maintenance, and removal services commonly provided in a bundled transaction with the lease components. Arrangement consideration is allocated between lease deliverables and non-lease components based on the relative estimated selling (leasing) price of each deliverable. Estimated selling (leasing) price of the lease deliverables is based upon the estimated stand-alone selling price of the related performance obligations using an adjusted market approach.</w:t>
      </w:r>
    </w:p>
    <w:p>
      <w:pPr>
        <w:spacing w:after="0" w:line="36"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When leases and services are billed in advance, recognition of revenue is deferred until services are rendered. If equipment is returned prior to the contractually obligated period, the excess, if any, between the amount the customer is contractually required to pay over the cumulative amount of revenue recognized to date is recognized as incremental revenue upon return.</w:t>
      </w:r>
    </w:p>
    <w:p>
      <w:pPr>
        <w:spacing w:after="0" w:line="31"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Rental equipment is leased primarily under operating leases. Operating lease minimum contractual terms within the NA Modular segment generally range from 1 month to 60 months and averaged approximately 10 months across this segment's rental fleet for the year ended December 31, 2021.Rental contracts with customers within the NA Storage, UK Storage, and Tank &amp; Pump segments are generally based on a 28-day rate and billing cycle. The rental continues until cancelled by the Company or the customer. The Company records changes in estimated collectability directly against leasing revenue.</w:t>
      </w:r>
    </w:p>
    <w:p>
      <w:pPr>
        <w:spacing w:after="0" w:line="35" w:lineRule="exact"/>
        <w:rPr>
          <w:sz w:val="20"/>
          <w:szCs w:val="20"/>
          <w:color w:val="auto"/>
        </w:rPr>
      </w:pPr>
    </w:p>
    <w:p>
      <w:pPr>
        <w:jc w:val="both"/>
        <w:ind w:firstLine="524"/>
        <w:spacing w:after="0" w:line="248" w:lineRule="auto"/>
        <w:rPr>
          <w:sz w:val="20"/>
          <w:szCs w:val="20"/>
          <w:color w:val="auto"/>
        </w:rPr>
      </w:pPr>
      <w:r>
        <w:rPr>
          <w:rFonts w:ascii="Arial" w:cs="Arial" w:eastAsia="Arial" w:hAnsi="Arial"/>
          <w:sz w:val="13"/>
          <w:szCs w:val="13"/>
          <w:color w:val="auto"/>
        </w:rPr>
        <w:t>The Company may use third parties to satisfy its performance obligations, including both the provision of VAPS and other services. To determine whether it is the principal or agent in the arrangement, the Company reviews each third-party relationship on a contract-by-contract basis. The Company is considered an agent when its role is to arrange for another entity to provide the VAPS and other services to the customer. In these instances, the Company does not control the rental unit or service before it is provided and the risk of performance is held by the third party. The Company is considered the principal when it controls the VAPS or other services prior to transferring control to the customer and retains the risk of performance. WillScot Mobile Mini may be a principal in the fulfillment of some leasing contracts and services elements and an agent for</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12" w:right="319" w:bottom="1440" w:gutter="0" w:footer="0" w:header="0"/>
        </w:sectPr>
      </w:pPr>
    </w:p>
    <w:bookmarkStart w:id="65" w:name="page66"/>
    <w:bookmarkEnd w:id="65"/>
    <w:p>
      <w:pPr>
        <w:spacing w:after="0"/>
        <w:rPr>
          <w:sz w:val="20"/>
          <w:szCs w:val="20"/>
          <w:color w:val="auto"/>
        </w:rPr>
      </w:pPr>
      <w:r>
        <w:rPr>
          <w:rFonts w:ascii="Arial" w:cs="Arial" w:eastAsia="Arial" w:hAnsi="Arial"/>
          <w:sz w:val="13"/>
          <w:szCs w:val="13"/>
          <w:color w:val="auto"/>
        </w:rPr>
        <w:t>other elements within the same contract. Revenue is recognized on a gross basis when the Company is the principal in the arrangement and on a net basis when it is the agent.</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Services Revenue</w:t>
      </w:r>
    </w:p>
    <w:p>
      <w:pPr>
        <w:spacing w:after="0" w:line="6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Company generally has three non-lease service-related performance obligations in its contracts with customers:</w:t>
      </w:r>
    </w:p>
    <w:p>
      <w:pPr>
        <w:spacing w:after="0" w:line="47" w:lineRule="exact"/>
        <w:rPr>
          <w:sz w:val="20"/>
          <w:szCs w:val="20"/>
          <w:color w:val="auto"/>
        </w:rPr>
      </w:pPr>
    </w:p>
    <w:p>
      <w:pPr>
        <w:ind w:left="1040" w:hanging="246"/>
        <w:spacing w:after="0"/>
        <w:tabs>
          <w:tab w:leader="none" w:pos="10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Delivery and installation of the modular or portable storage unit;</w:t>
      </w:r>
    </w:p>
    <w:p>
      <w:pPr>
        <w:spacing w:after="0" w:line="47" w:lineRule="exact"/>
        <w:rPr>
          <w:rFonts w:ascii="Arial" w:cs="Arial" w:eastAsia="Arial" w:hAnsi="Arial"/>
          <w:sz w:val="13"/>
          <w:szCs w:val="13"/>
          <w:color w:val="auto"/>
        </w:rPr>
      </w:pPr>
    </w:p>
    <w:p>
      <w:pPr>
        <w:ind w:left="1040" w:hanging="246"/>
        <w:spacing w:after="0"/>
        <w:tabs>
          <w:tab w:leader="none" w:pos="10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Maintenance and other ad hoc services performed during the lease term; and</w:t>
      </w:r>
    </w:p>
    <w:p>
      <w:pPr>
        <w:spacing w:after="0" w:line="47" w:lineRule="exact"/>
        <w:rPr>
          <w:rFonts w:ascii="Arial" w:cs="Arial" w:eastAsia="Arial" w:hAnsi="Arial"/>
          <w:sz w:val="13"/>
          <w:szCs w:val="13"/>
          <w:color w:val="auto"/>
        </w:rPr>
      </w:pPr>
    </w:p>
    <w:p>
      <w:pPr>
        <w:ind w:left="1040" w:hanging="246"/>
        <w:spacing w:after="0"/>
        <w:tabs>
          <w:tab w:leader="none" w:pos="10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Removal services that occur at the end of the lease term.</w:t>
      </w:r>
    </w:p>
    <w:p>
      <w:pPr>
        <w:spacing w:after="0" w:line="47"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Consideration is allocated to each of these performance obligations within the contract based upon their estimated relative standalone selling prices using the estimated cost plus a margin approach. Revenue from these activities is recognized as the services are performed.</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Sales Revenue</w:t>
      </w:r>
    </w:p>
    <w:p>
      <w:pPr>
        <w:spacing w:after="0" w:line="63"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Sales revenue is generated by the sale of new and rental units. Revenue from the sale of new and rental units is generally recognized at a point in time upon the transfer of control to the customer, which occurs when the unit is delivered and installed in accordance with the contract. Sales transactions constitute a single performance obligation.</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Other Matters</w:t>
      </w:r>
    </w:p>
    <w:p>
      <w:pPr>
        <w:spacing w:after="0" w:line="63"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The Company's non-lease revenues do not include material amounts of variable consideration, other than the variability noted for services arrangements expected to be performed beyond a twelve-month period.</w:t>
      </w:r>
    </w:p>
    <w:p>
      <w:pPr>
        <w:spacing w:after="0" w:line="31"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The Company's payment terms vary by the type and location of its customer and the product or services offered. The time between invoicing and when payment is due is not significant. While the Company may bill certain customers in advance, its contracts do not contain a significant financing component based on the short length of time between upfront billings and the performance of contracted services. For certain products, services, or customer types, the Company requires payment before the products or services are delivered to the customer.</w:t>
      </w:r>
    </w:p>
    <w:p>
      <w:pPr>
        <w:spacing w:after="0" w:line="3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Revenue is recognized net of sales tax billed to customers, which is subsequently remitted to governmental authorities.</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Goodwill and Annual Goodwill Impairment Test</w:t>
      </w:r>
    </w:p>
    <w:p>
      <w:pPr>
        <w:spacing w:after="0" w:line="66"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For acquired businesses, the Company records assets acquired and liabilities assumed at their estimated fair values on the respective acquisition dates. Based on these values, the excess purchase price over the fair value of the net assets acquired is recorded as goodwill. Generally, reporting units are at the operating segment level or one level below the operating segment (the component level), if discrete financial information is prepared and regularly reviewed by segment management. Goodwill acquired in a business combination is assigned to each of the Company’s reporting units that are expected to benefit from the combination.</w:t>
      </w:r>
    </w:p>
    <w:p>
      <w:pPr>
        <w:spacing w:after="0" w:line="35"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 xml:space="preserve">The Company performs its annual impairment test of goodwill as of October 1 at the reporting unit level, as well as during any reporting period in which events or changes in circumstances occur that, in management’s judgment, may constitute triggering events under ASC 350-20, </w:t>
      </w:r>
      <w:r>
        <w:rPr>
          <w:rFonts w:ascii="Arial" w:cs="Arial" w:eastAsia="Arial" w:hAnsi="Arial"/>
          <w:sz w:val="13"/>
          <w:szCs w:val="13"/>
          <w:i w:val="1"/>
          <w:iCs w:val="1"/>
          <w:color w:val="auto"/>
        </w:rPr>
        <w:t>Intangibles – Goodwill and Other, Testing Goodwill for Impairment</w:t>
      </w:r>
      <w:r>
        <w:rPr>
          <w:rFonts w:ascii="Arial" w:cs="Arial" w:eastAsia="Arial" w:hAnsi="Arial"/>
          <w:sz w:val="13"/>
          <w:szCs w:val="13"/>
          <w:color w:val="auto"/>
        </w:rPr>
        <w:t>. The Company performs its assessment of goodwill utilizing either a qualitative or quantitative impairment test. The qualitative impairment test assesses company-specific, industry, market and general economic factors to determine whether it is more likely than not that the fair value of the reporting unit is less than its carrying amount. If the Company concludes that it is more likely than not that the fair value of the reporting unit is less than its carrying amount, or elects not to use the qualitative impairment test, a quantitative impairment test is performed. The quantitative impairment test involves a comparison of the estimated fair value of a reporting unit to its carrying amount. The Company uses an independent valuation specialist for its quantitative impairment tests to assist in the valuation.</w:t>
      </w:r>
    </w:p>
    <w:p>
      <w:pPr>
        <w:spacing w:after="0" w:line="26" w:lineRule="exact"/>
        <w:rPr>
          <w:sz w:val="20"/>
          <w:szCs w:val="20"/>
          <w:color w:val="auto"/>
        </w:rPr>
      </w:pPr>
    </w:p>
    <w:p>
      <w:pPr>
        <w:jc w:val="both"/>
        <w:ind w:firstLine="524"/>
        <w:spacing w:after="0" w:line="232" w:lineRule="auto"/>
        <w:rPr>
          <w:sz w:val="20"/>
          <w:szCs w:val="20"/>
          <w:color w:val="auto"/>
        </w:rPr>
      </w:pPr>
      <w:r>
        <w:rPr>
          <w:rFonts w:ascii="Arial" w:cs="Arial" w:eastAsia="Arial" w:hAnsi="Arial"/>
          <w:sz w:val="13"/>
          <w:szCs w:val="13"/>
          <w:color w:val="auto"/>
        </w:rPr>
        <w:t>Determining the fair value of a reporting unit is judgmental in nature and involves the use of significant estimates and assumptions. These estimates and assumptions include revenue growth rates and operating margins used to calculate projected future cash flows, risk-adjusted discount rates, value of net operating losses, future economic and market conditions and determination of appropriate market comparables. Management bases fair value estimates on assumptions it believes to be reasonable but that are unpredictable and inherently uncertain. Actual future results may differ from these estimates and the estimate is inherently sensitive to any material changes to the inputs noted above; these changes could potentially impact the fair value of reporting units.</w:t>
      </w:r>
    </w:p>
    <w:p>
      <w:pPr>
        <w:spacing w:after="0" w:line="42"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If the carrying amount of the reporting unit exceeds the calculated fair value of the reporting unit, an impairment charge would be recognized for the excess, not to exceed the amount of goodwill allocated to that reporting unit.</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Intangible Assets Other than Goodwill</w:t>
      </w:r>
    </w:p>
    <w:p>
      <w:pPr>
        <w:spacing w:after="0" w:line="110"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Intangible assets that are acquired by the Company and determined to have an indefinite useful life are not amortized but are tested for impairment at least annually. The Company’s indefinite-lived intangible assets consist of the Williams Scotsman and Mobile Mini trade names. The Company performs its assessment of indefinite-lived intangible assets utilizing either a qualitative or quantitative impairment test. When utilizing a quantitative impairment test, the Company calculates fair value using a relief-from-royalty method. This method is used to estimate the cost savings that accrue to the owner of an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28" w:right="319" w:bottom="1440" w:gutter="0" w:footer="0" w:header="0"/>
        </w:sectPr>
      </w:pPr>
    </w:p>
    <w:bookmarkStart w:id="66" w:name="page67"/>
    <w:bookmarkEnd w:id="66"/>
    <w:p>
      <w:pPr>
        <w:jc w:val="both"/>
        <w:spacing w:after="0" w:line="249" w:lineRule="auto"/>
        <w:rPr>
          <w:sz w:val="20"/>
          <w:szCs w:val="20"/>
          <w:color w:val="auto"/>
        </w:rPr>
      </w:pPr>
      <w:r>
        <w:rPr>
          <w:rFonts w:ascii="Arial" w:cs="Arial" w:eastAsia="Arial" w:hAnsi="Arial"/>
          <w:sz w:val="13"/>
          <w:szCs w:val="13"/>
          <w:color w:val="auto"/>
        </w:rPr>
        <w:t>intangible asset who would otherwise have to pay royalties or license fees on revenues earned through the use of the asset. If the carrying amount of the indefinite-lived intangible asset exceeds its fair value, an impairment charge would be recorded to the extent the recorded indefinite-lived intangible asset exceeds the fair value. The relief-from-royalty method requires the Company to make assumptions regarding future revenue and the appropriate selection of royalty and discount rates. Any material deviation in actual results could affect the calculated fair value of the intangible asset.</w:t>
      </w:r>
    </w:p>
    <w:p>
      <w:pPr>
        <w:spacing w:after="0" w:line="68" w:lineRule="exact"/>
        <w:rPr>
          <w:sz w:val="20"/>
          <w:szCs w:val="20"/>
          <w:color w:val="auto"/>
        </w:rPr>
      </w:pPr>
    </w:p>
    <w:p>
      <w:pPr>
        <w:jc w:val="both"/>
        <w:ind w:firstLine="524"/>
        <w:spacing w:after="0" w:line="239" w:lineRule="auto"/>
        <w:rPr>
          <w:sz w:val="20"/>
          <w:szCs w:val="20"/>
          <w:color w:val="auto"/>
        </w:rPr>
      </w:pPr>
      <w:r>
        <w:rPr>
          <w:rFonts w:ascii="Arial" w:cs="Arial" w:eastAsia="Arial" w:hAnsi="Arial"/>
          <w:sz w:val="13"/>
          <w:szCs w:val="13"/>
          <w:color w:val="auto"/>
        </w:rPr>
        <w:t>Other intangible assets that have finite useful lives are measured at cost less accumulated amortization and impairment losses, if any. Amortization is recognized in profit or loss over the estimated useful lives of the intangible asset.</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Rental Equipment</w:t>
      </w:r>
    </w:p>
    <w:p>
      <w:pPr>
        <w:spacing w:after="0" w:line="55" w:lineRule="exact"/>
        <w:rPr>
          <w:sz w:val="20"/>
          <w:szCs w:val="20"/>
          <w:color w:val="auto"/>
        </w:rPr>
      </w:pPr>
    </w:p>
    <w:p>
      <w:pPr>
        <w:jc w:val="both"/>
        <w:ind w:firstLine="524"/>
        <w:spacing w:after="0" w:line="248" w:lineRule="auto"/>
        <w:rPr>
          <w:sz w:val="20"/>
          <w:szCs w:val="20"/>
          <w:color w:val="auto"/>
        </w:rPr>
      </w:pPr>
      <w:r>
        <w:rPr>
          <w:rFonts w:ascii="Arial" w:cs="Arial" w:eastAsia="Arial" w:hAnsi="Arial"/>
          <w:sz w:val="13"/>
          <w:szCs w:val="13"/>
          <w:color w:val="auto"/>
        </w:rPr>
        <w:t>Rental equipment is comprised of modular space and portable storage units held for rent or on rent to customers, tank and pump solutions products, which consist primarily of liquid and solid containment units, pumps and filtration equipment, and value-added products and services (“VAPS”) which are in use or available to be used by customers. Rental equipment is measured at cost less accumulated depreciation and impairment losses. Cost includes expenditures that are directly attributable to the acquisition of the asset. Costs of improvements and conversions of rental equipment are capitalized when such costs extend the useful life of the equipment or increase the rental value of the unit. Costs incurred for equipment to meet a particular customer specification are capitalized and depreciated over the lease term taking in consideration the residual value of the asset. Maintenance and repair costs are expensed as incurred.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320" w:type="dxa"/>
            <w:vAlign w:val="bottom"/>
          </w:tcPr>
          <w:p>
            <w:pPr>
              <w:ind w:left="540"/>
              <w:spacing w:after="0"/>
              <w:rPr>
                <w:sz w:val="20"/>
                <w:szCs w:val="20"/>
                <w:color w:val="auto"/>
              </w:rPr>
            </w:pPr>
            <w:r>
              <w:rPr>
                <w:rFonts w:ascii="Arial" w:cs="Arial" w:eastAsia="Arial" w:hAnsi="Arial"/>
                <w:sz w:val="13"/>
                <w:szCs w:val="13"/>
                <w:color w:val="auto"/>
              </w:rPr>
              <w:t>Depreciation is generally computed using the straight-line method over estimated useful lives, as follows:</w:t>
            </w:r>
          </w:p>
        </w:tc>
        <w:tc>
          <w:tcPr>
            <w:tcW w:w="23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83"/>
        </w:trPr>
        <w:tc>
          <w:tcPr>
            <w:tcW w:w="7320" w:type="dxa"/>
            <w:vAlign w:val="bottom"/>
            <w:shd w:val="clear" w:color="auto" w:fill="1D2758"/>
          </w:tcPr>
          <w:p>
            <w:pPr>
              <w:spacing w:after="0"/>
              <w:rPr>
                <w:sz w:val="15"/>
                <w:szCs w:val="15"/>
                <w:color w:val="auto"/>
              </w:rPr>
            </w:pPr>
          </w:p>
        </w:tc>
        <w:tc>
          <w:tcPr>
            <w:tcW w:w="2320" w:type="dxa"/>
            <w:vAlign w:val="bottom"/>
            <w:shd w:val="clear" w:color="auto" w:fill="1D2758"/>
          </w:tcPr>
          <w:p>
            <w:pPr>
              <w:jc w:val="center"/>
              <w:ind w:left="294"/>
              <w:spacing w:after="0"/>
              <w:rPr>
                <w:sz w:val="20"/>
                <w:szCs w:val="20"/>
                <w:color w:val="auto"/>
              </w:rPr>
            </w:pPr>
            <w:r>
              <w:rPr>
                <w:rFonts w:ascii="Arial" w:cs="Arial" w:eastAsia="Arial" w:hAnsi="Arial"/>
                <w:sz w:val="13"/>
                <w:szCs w:val="13"/>
                <w:color w:val="FFFFFF"/>
              </w:rPr>
              <w:t>Estimated Useful Life</w:t>
            </w:r>
          </w:p>
        </w:tc>
        <w:tc>
          <w:tcPr>
            <w:tcW w:w="1640" w:type="dxa"/>
            <w:vAlign w:val="bottom"/>
            <w:shd w:val="clear" w:color="auto" w:fill="1D2758"/>
          </w:tcPr>
          <w:p>
            <w:pPr>
              <w:ind w:left="360"/>
              <w:spacing w:after="0"/>
              <w:rPr>
                <w:sz w:val="20"/>
                <w:szCs w:val="20"/>
                <w:color w:val="auto"/>
              </w:rPr>
            </w:pPr>
            <w:r>
              <w:rPr>
                <w:rFonts w:ascii="Arial" w:cs="Arial" w:eastAsia="Arial" w:hAnsi="Arial"/>
                <w:sz w:val="13"/>
                <w:szCs w:val="13"/>
                <w:color w:val="FFFFFF"/>
              </w:rPr>
              <w:t>Residual Value</w:t>
            </w:r>
          </w:p>
        </w:tc>
      </w:tr>
      <w:tr>
        <w:trPr>
          <w:trHeight w:val="175"/>
        </w:trPr>
        <w:tc>
          <w:tcPr>
            <w:tcW w:w="7320" w:type="dxa"/>
            <w:vAlign w:val="bottom"/>
            <w:shd w:val="clear" w:color="auto" w:fill="DBDBDB"/>
          </w:tcPr>
          <w:p>
            <w:pPr>
              <w:ind w:left="20"/>
              <w:spacing w:after="0"/>
              <w:rPr>
                <w:sz w:val="20"/>
                <w:szCs w:val="20"/>
                <w:color w:val="auto"/>
              </w:rPr>
            </w:pPr>
            <w:r>
              <w:rPr>
                <w:rFonts w:ascii="Arial" w:cs="Arial" w:eastAsia="Arial" w:hAnsi="Arial"/>
                <w:sz w:val="13"/>
                <w:szCs w:val="13"/>
                <w:color w:val="auto"/>
              </w:rPr>
              <w:t>Modular space units</w:t>
            </w:r>
          </w:p>
        </w:tc>
        <w:tc>
          <w:tcPr>
            <w:tcW w:w="2320" w:type="dxa"/>
            <w:vAlign w:val="bottom"/>
            <w:shd w:val="clear" w:color="auto" w:fill="DBDBDB"/>
          </w:tcPr>
          <w:p>
            <w:pPr>
              <w:jc w:val="center"/>
              <w:ind w:left="294"/>
              <w:spacing w:after="0"/>
              <w:rPr>
                <w:sz w:val="20"/>
                <w:szCs w:val="20"/>
                <w:color w:val="auto"/>
              </w:rPr>
            </w:pPr>
            <w:r>
              <w:rPr>
                <w:rFonts w:ascii="Arial" w:cs="Arial" w:eastAsia="Arial" w:hAnsi="Arial"/>
                <w:sz w:val="13"/>
                <w:szCs w:val="13"/>
                <w:color w:val="auto"/>
              </w:rPr>
              <w:t>10 - 30 years</w:t>
            </w:r>
          </w:p>
        </w:tc>
        <w:tc>
          <w:tcPr>
            <w:tcW w:w="1640" w:type="dxa"/>
            <w:vAlign w:val="bottom"/>
            <w:shd w:val="clear" w:color="auto" w:fill="DBDBDB"/>
          </w:tcPr>
          <w:p>
            <w:pPr>
              <w:jc w:val="center"/>
              <w:spacing w:after="0"/>
              <w:rPr>
                <w:sz w:val="20"/>
                <w:szCs w:val="20"/>
                <w:color w:val="auto"/>
              </w:rPr>
            </w:pPr>
            <w:r>
              <w:rPr>
                <w:rFonts w:ascii="Arial" w:cs="Arial" w:eastAsia="Arial" w:hAnsi="Arial"/>
                <w:sz w:val="13"/>
                <w:szCs w:val="13"/>
                <w:color w:val="auto"/>
                <w:w w:val="99"/>
              </w:rPr>
              <w:t>20 - 55%</w:t>
            </w:r>
          </w:p>
        </w:tc>
      </w:tr>
      <w:tr>
        <w:trPr>
          <w:trHeight w:val="172"/>
        </w:trPr>
        <w:tc>
          <w:tcPr>
            <w:tcW w:w="7320" w:type="dxa"/>
            <w:vAlign w:val="bottom"/>
          </w:tcPr>
          <w:p>
            <w:pPr>
              <w:ind w:left="20"/>
              <w:spacing w:after="0"/>
              <w:rPr>
                <w:sz w:val="20"/>
                <w:szCs w:val="20"/>
                <w:color w:val="auto"/>
              </w:rPr>
            </w:pPr>
            <w:r>
              <w:rPr>
                <w:rFonts w:ascii="Arial" w:cs="Arial" w:eastAsia="Arial" w:hAnsi="Arial"/>
                <w:sz w:val="13"/>
                <w:szCs w:val="13"/>
                <w:color w:val="auto"/>
              </w:rPr>
              <w:t>Portable storage units</w:t>
            </w:r>
          </w:p>
        </w:tc>
        <w:tc>
          <w:tcPr>
            <w:tcW w:w="2320" w:type="dxa"/>
            <w:vAlign w:val="bottom"/>
          </w:tcPr>
          <w:p>
            <w:pPr>
              <w:jc w:val="center"/>
              <w:ind w:left="274"/>
              <w:spacing w:after="0"/>
              <w:rPr>
                <w:sz w:val="20"/>
                <w:szCs w:val="20"/>
                <w:color w:val="auto"/>
              </w:rPr>
            </w:pPr>
            <w:r>
              <w:rPr>
                <w:rFonts w:ascii="Arial" w:cs="Arial" w:eastAsia="Arial" w:hAnsi="Arial"/>
                <w:sz w:val="13"/>
                <w:szCs w:val="13"/>
                <w:color w:val="auto"/>
              </w:rPr>
              <w:t>30 years</w:t>
            </w:r>
          </w:p>
        </w:tc>
        <w:tc>
          <w:tcPr>
            <w:tcW w:w="1640" w:type="dxa"/>
            <w:vAlign w:val="bottom"/>
          </w:tcPr>
          <w:p>
            <w:pPr>
              <w:jc w:val="center"/>
              <w:spacing w:after="0"/>
              <w:rPr>
                <w:sz w:val="20"/>
                <w:szCs w:val="20"/>
                <w:color w:val="auto"/>
              </w:rPr>
            </w:pPr>
            <w:r>
              <w:rPr>
                <w:rFonts w:ascii="Arial" w:cs="Arial" w:eastAsia="Arial" w:hAnsi="Arial"/>
                <w:sz w:val="13"/>
                <w:szCs w:val="13"/>
                <w:color w:val="auto"/>
                <w:w w:val="99"/>
              </w:rPr>
              <w:t>55%</w:t>
            </w:r>
          </w:p>
        </w:tc>
      </w:tr>
      <w:tr>
        <w:trPr>
          <w:trHeight w:val="178"/>
        </w:trPr>
        <w:tc>
          <w:tcPr>
            <w:tcW w:w="7320" w:type="dxa"/>
            <w:vAlign w:val="bottom"/>
            <w:shd w:val="clear" w:color="auto" w:fill="DBDBDB"/>
          </w:tcPr>
          <w:p>
            <w:pPr>
              <w:ind w:left="20"/>
              <w:spacing w:after="0"/>
              <w:rPr>
                <w:sz w:val="20"/>
                <w:szCs w:val="20"/>
                <w:color w:val="auto"/>
              </w:rPr>
            </w:pPr>
            <w:r>
              <w:rPr>
                <w:rFonts w:ascii="Arial" w:cs="Arial" w:eastAsia="Arial" w:hAnsi="Arial"/>
                <w:sz w:val="13"/>
                <w:szCs w:val="13"/>
                <w:color w:val="auto"/>
              </w:rPr>
              <w:t>Tank and pump equipment</w:t>
            </w:r>
          </w:p>
        </w:tc>
        <w:tc>
          <w:tcPr>
            <w:tcW w:w="2320" w:type="dxa"/>
            <w:vAlign w:val="bottom"/>
            <w:shd w:val="clear" w:color="auto" w:fill="DBDBDB"/>
          </w:tcPr>
          <w:p>
            <w:pPr>
              <w:jc w:val="center"/>
              <w:ind w:left="274"/>
              <w:spacing w:after="0"/>
              <w:rPr>
                <w:sz w:val="20"/>
                <w:szCs w:val="20"/>
                <w:color w:val="auto"/>
              </w:rPr>
            </w:pPr>
            <w:r>
              <w:rPr>
                <w:rFonts w:ascii="Arial" w:cs="Arial" w:eastAsia="Arial" w:hAnsi="Arial"/>
                <w:sz w:val="13"/>
                <w:szCs w:val="13"/>
                <w:color w:val="auto"/>
              </w:rPr>
              <w:t>7 - 25 years</w:t>
            </w:r>
          </w:p>
        </w:tc>
        <w:tc>
          <w:tcPr>
            <w:tcW w:w="1640" w:type="dxa"/>
            <w:vAlign w:val="bottom"/>
            <w:shd w:val="clear" w:color="auto" w:fill="DBDBDB"/>
          </w:tcPr>
          <w:p>
            <w:pPr>
              <w:jc w:val="center"/>
              <w:spacing w:after="0"/>
              <w:rPr>
                <w:sz w:val="20"/>
                <w:szCs w:val="20"/>
                <w:color w:val="auto"/>
              </w:rPr>
            </w:pPr>
            <w:r>
              <w:rPr>
                <w:rFonts w:ascii="Arial" w:cs="Arial" w:eastAsia="Arial" w:hAnsi="Arial"/>
                <w:sz w:val="13"/>
                <w:szCs w:val="13"/>
                <w:color w:val="auto"/>
                <w:w w:val="97"/>
              </w:rPr>
              <w:t>—%</w:t>
            </w:r>
          </w:p>
        </w:tc>
      </w:tr>
      <w:tr>
        <w:trPr>
          <w:trHeight w:val="169"/>
        </w:trPr>
        <w:tc>
          <w:tcPr>
            <w:tcW w:w="7320" w:type="dxa"/>
            <w:vAlign w:val="bottom"/>
          </w:tcPr>
          <w:p>
            <w:pPr>
              <w:ind w:left="20"/>
              <w:spacing w:after="0"/>
              <w:rPr>
                <w:sz w:val="20"/>
                <w:szCs w:val="20"/>
                <w:color w:val="auto"/>
              </w:rPr>
            </w:pPr>
            <w:r>
              <w:rPr>
                <w:rFonts w:ascii="Arial" w:cs="Arial" w:eastAsia="Arial" w:hAnsi="Arial"/>
                <w:sz w:val="13"/>
                <w:szCs w:val="13"/>
                <w:color w:val="auto"/>
              </w:rPr>
              <w:t>VAPS and other related rental equipment</w:t>
            </w:r>
          </w:p>
        </w:tc>
        <w:tc>
          <w:tcPr>
            <w:tcW w:w="2320" w:type="dxa"/>
            <w:vAlign w:val="bottom"/>
          </w:tcPr>
          <w:p>
            <w:pPr>
              <w:jc w:val="center"/>
              <w:ind w:left="274"/>
              <w:spacing w:after="0"/>
              <w:rPr>
                <w:sz w:val="20"/>
                <w:szCs w:val="20"/>
                <w:color w:val="auto"/>
              </w:rPr>
            </w:pPr>
            <w:r>
              <w:rPr>
                <w:rFonts w:ascii="Arial" w:cs="Arial" w:eastAsia="Arial" w:hAnsi="Arial"/>
                <w:sz w:val="13"/>
                <w:szCs w:val="13"/>
                <w:color w:val="auto"/>
              </w:rPr>
              <w:t>1 - 8 years</w:t>
            </w:r>
          </w:p>
        </w:tc>
        <w:tc>
          <w:tcPr>
            <w:tcW w:w="1640" w:type="dxa"/>
            <w:vAlign w:val="bottom"/>
          </w:tcPr>
          <w:p>
            <w:pPr>
              <w:jc w:val="center"/>
              <w:spacing w:after="0"/>
              <w:rPr>
                <w:sz w:val="20"/>
                <w:szCs w:val="20"/>
                <w:color w:val="auto"/>
              </w:rPr>
            </w:pPr>
            <w:r>
              <w:rPr>
                <w:rFonts w:ascii="Arial" w:cs="Arial" w:eastAsia="Arial" w:hAnsi="Arial"/>
                <w:sz w:val="13"/>
                <w:szCs w:val="13"/>
                <w:color w:val="auto"/>
                <w:w w:val="97"/>
              </w:rPr>
              <w:t>—%</w:t>
            </w:r>
          </w:p>
        </w:tc>
      </w:tr>
    </w:tbl>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Trade Receivables and Allowance for Credit Losses</w:t>
      </w:r>
    </w:p>
    <w:p>
      <w:pPr>
        <w:spacing w:after="0" w:line="66" w:lineRule="exact"/>
        <w:rPr>
          <w:sz w:val="20"/>
          <w:szCs w:val="20"/>
          <w:color w:val="auto"/>
        </w:rPr>
      </w:pPr>
    </w:p>
    <w:p>
      <w:pPr>
        <w:jc w:val="both"/>
        <w:ind w:firstLine="532"/>
        <w:spacing w:after="0" w:line="249" w:lineRule="auto"/>
        <w:tabs>
          <w:tab w:leader="none" w:pos="598"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Company is exposed to credit losses from trade receivables. The Company assesses each customer’s ability to pay for the products it leases or sells by conducting a credit review. The credit review considers expected billing exposure and timing for payment and the customer’s established credit rating. The Company performs its credit review of new customers at inception of the customer relationship and for existing customers when the customer transacts after a defined period of dormancy. The Company also considers contract terms and conditions, country risk and business strategy in the evaluation.</w:t>
      </w:r>
    </w:p>
    <w:p>
      <w:pPr>
        <w:spacing w:after="0" w:line="79"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The Company monitors ongoing credit exposure through an active review of customer balances against contract terms and due dates. The Company may employ collection agencies and legal counsel to pursue recovery of defaulted receivables. The allowances for credit losses reflect the estimate of the amount of receivables that the Company will be unable to collect based on historical write-off experience and, as applicable, current conditions and reasonable and supportable forecasts that affect collectability. This estimate is sensitive to changing circumstances, including changes in the economy or in the particular circumstances of individual customers. Accordingly, the Company may be required to increase or decrease its allowances.</w:t>
      </w:r>
    </w:p>
    <w:p>
      <w:pPr>
        <w:spacing w:after="0" w:line="65" w:lineRule="exact"/>
        <w:rPr>
          <w:sz w:val="20"/>
          <w:szCs w:val="20"/>
          <w:color w:val="auto"/>
        </w:rPr>
      </w:pPr>
    </w:p>
    <w:p>
      <w:pPr>
        <w:jc w:val="both"/>
        <w:ind w:firstLine="524"/>
        <w:spacing w:after="0" w:line="262" w:lineRule="auto"/>
        <w:rPr>
          <w:sz w:val="20"/>
          <w:szCs w:val="20"/>
          <w:color w:val="auto"/>
        </w:rPr>
      </w:pPr>
      <w:r>
        <w:rPr>
          <w:rFonts w:ascii="Arial" w:cs="Arial" w:eastAsia="Arial" w:hAnsi="Arial"/>
          <w:sz w:val="13"/>
          <w:szCs w:val="13"/>
          <w:color w:val="auto"/>
        </w:rPr>
        <w:t xml:space="preserve">In accordance with the adoption of ASC 842, effective January 1, 2019, and the adoption of ASU 2016-13, </w:t>
      </w:r>
      <w:r>
        <w:rPr>
          <w:rFonts w:ascii="Arial" w:cs="Arial" w:eastAsia="Arial" w:hAnsi="Arial"/>
          <w:sz w:val="13"/>
          <w:szCs w:val="13"/>
          <w:i w:val="1"/>
          <w:iCs w:val="1"/>
          <w:color w:val="auto"/>
        </w:rPr>
        <w:t>Financial Instruments - Credit Losses (Topic 326)</w:t>
      </w:r>
      <w:r>
        <w:rPr>
          <w:rFonts w:ascii="Arial" w:cs="Arial" w:eastAsia="Arial" w:hAnsi="Arial"/>
          <w:sz w:val="13"/>
          <w:szCs w:val="13"/>
          <w:color w:val="auto"/>
        </w:rPr>
        <w:t xml:space="preserve"> ("ASC 326"), effective January 1, 2020, specifically identifiable lease revenue receivables and sales receivables not deemed probable of collection are recorded as a reduction of revenue. The remaining provision for credit losses is recorded as selling, general and administrative expenses.</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Warrants</w:t>
      </w:r>
    </w:p>
    <w:p>
      <w:pPr>
        <w:spacing w:after="0" w:line="52"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 xml:space="preserve">The Company accounts for warrants in accordance with applicable accounting guidance provided in ASC 815-40, </w:t>
      </w:r>
      <w:r>
        <w:rPr>
          <w:rFonts w:ascii="Arial" w:cs="Arial" w:eastAsia="Arial" w:hAnsi="Arial"/>
          <w:sz w:val="13"/>
          <w:szCs w:val="13"/>
          <w:i w:val="1"/>
          <w:iCs w:val="1"/>
          <w:color w:val="auto"/>
        </w:rPr>
        <w:t>Contracts in Entity's Own Equity</w:t>
      </w:r>
      <w:r>
        <w:rPr>
          <w:rFonts w:ascii="Arial" w:cs="Arial" w:eastAsia="Arial" w:hAnsi="Arial"/>
          <w:sz w:val="13"/>
          <w:szCs w:val="13"/>
          <w:color w:val="auto"/>
        </w:rPr>
        <w:t>, as either derivative liabilities or as equity instruments depending on the specific terms of the warrant agreements. In periods subsequent to issuance, warrants classified as liabilities are subject to remeasurement at each balance sheet date and transaction date with changes in the estimated fair values of the common stock warrant liabilities and gains and losses on extinguishment of common stock warrant liabilities reported in the consolidated statements of operations.</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Income Taxes</w:t>
      </w:r>
    </w:p>
    <w:p>
      <w:pPr>
        <w:spacing w:after="0" w:line="66"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35"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The Company records deferred tax assets to the extent it believes that it is more likely than not that these assets will be realized. In making such determination, the Company considers all available positive and negative evidence, including</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28" w:right="319" w:bottom="1440" w:gutter="0" w:footer="0" w:header="0"/>
        </w:sectPr>
      </w:pPr>
    </w:p>
    <w:bookmarkStart w:id="67" w:name="page68"/>
    <w:bookmarkEnd w:id="67"/>
    <w:p>
      <w:pPr>
        <w:jc w:val="both"/>
        <w:spacing w:after="0" w:line="256" w:lineRule="auto"/>
        <w:rPr>
          <w:sz w:val="20"/>
          <w:szCs w:val="20"/>
          <w:color w:val="auto"/>
        </w:rPr>
      </w:pPr>
      <w:r>
        <w:rPr>
          <w:rFonts w:ascii="Arial" w:cs="Arial" w:eastAsia="Arial" w:hAnsi="Arial"/>
          <w:sz w:val="13"/>
          <w:szCs w:val="13"/>
          <w:color w:val="auto"/>
        </w:rPr>
        <w:t>scheduled reversals of deferred tax liabilities, projected future taxable income, tax planning strategies and recent results of operations. Valuation allowances are recorded to reduce the deferred tax assets to an amount that will more likely than not be realized.</w:t>
      </w:r>
    </w:p>
    <w:p>
      <w:pPr>
        <w:spacing w:after="0" w:line="31"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The Company assesses the likelihood that each of the deferred tax assets will be realized. To the extent management concludes the realization of any deferred tax assets is not more likely than not, the Company establishes a valuation allowance. When a valuation allowance is established or there is an increase in an allowance in a reporting period, tax expense is generally recorded in the Company’s consolidated statement of operations. Conversely, to the extent circumstances indicate that a valuation allowance is no longer necessary, that portion of the valuation allowance is reversed, which generally reduces the Company’s income tax expense.</w:t>
      </w:r>
    </w:p>
    <w:p>
      <w:pPr>
        <w:spacing w:after="0" w:line="35"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Deferred tax liabilities are recognized for the income taxes on the undistributed earnings of wholly-owned foreign subsidiaries unless such earnings are indefinitely reinvested, or will only be repatriated when possible to do so at minimal additional tax cost. Current income tax relating to items recognized directly in equity is recognized in equity and not in profit (loss) for the year.</w:t>
      </w:r>
    </w:p>
    <w:p>
      <w:pPr>
        <w:spacing w:after="0" w:line="20" w:lineRule="exact"/>
        <w:rPr>
          <w:sz w:val="20"/>
          <w:szCs w:val="20"/>
          <w:color w:val="auto"/>
        </w:rPr>
      </w:pPr>
    </w:p>
    <w:p>
      <w:pPr>
        <w:jc w:val="both"/>
        <w:ind w:firstLine="524"/>
        <w:spacing w:after="0" w:line="232" w:lineRule="auto"/>
        <w:rPr>
          <w:sz w:val="20"/>
          <w:szCs w:val="20"/>
          <w:color w:val="auto"/>
        </w:rPr>
      </w:pPr>
      <w:r>
        <w:rPr>
          <w:rFonts w:ascii="Arial" w:cs="Arial" w:eastAsia="Arial" w:hAnsi="Arial"/>
          <w:sz w:val="13"/>
          <w:szCs w:val="13"/>
          <w:color w:val="auto"/>
        </w:rPr>
        <w:t>In accordance with applicable authoritative guidance, the Company accounts for uncertain income tax positions using a benefit recognition model with a two-step approach; a more-likely-than-not recognition criterion; and a measurement approach that measures the position as the largest amount of tax benefit that is greater than 50% likely of being realized upon ultimate settlement. If it is not more-likely-than-not that the benefit of the tax position will be sustained on its technical merits, no benefit is recorded. Uncertain tax positions that relate only to timing of when an item is included on a tax return are considered to have met the recognition threshold. The Company classifies interest on tax deficiencies and income tax penalties within income tax expense. The evaluation of uncertain tax positions involves judgment in the application of GAAP and complex tax laws.</w:t>
      </w:r>
    </w:p>
    <w:p>
      <w:pPr>
        <w:spacing w:after="0" w:line="42" w:lineRule="exact"/>
        <w:rPr>
          <w:sz w:val="20"/>
          <w:szCs w:val="20"/>
          <w:color w:val="auto"/>
        </w:rPr>
      </w:pPr>
    </w:p>
    <w:p>
      <w:pPr>
        <w:ind w:left="540"/>
        <w:spacing w:after="0"/>
        <w:rPr>
          <w:sz w:val="20"/>
          <w:szCs w:val="20"/>
          <w:color w:val="auto"/>
        </w:rPr>
      </w:pPr>
      <w:r>
        <w:rPr>
          <w:rFonts w:ascii="Arial" w:cs="Arial" w:eastAsia="Arial" w:hAnsi="Arial"/>
          <w:sz w:val="13"/>
          <w:szCs w:val="13"/>
          <w:color w:val="auto"/>
        </w:rPr>
        <w:t>None of the critical accounting policies and estimates noted above have changed materially since the prior year.</w:t>
      </w:r>
    </w:p>
    <w:p>
      <w:pPr>
        <w:spacing w:after="0" w:line="174" w:lineRule="exact"/>
        <w:rPr>
          <w:sz w:val="20"/>
          <w:szCs w:val="20"/>
          <w:color w:val="auto"/>
        </w:rPr>
      </w:pPr>
    </w:p>
    <w:p>
      <w:pPr>
        <w:spacing w:after="0"/>
        <w:tabs>
          <w:tab w:leader="none" w:pos="1700" w:val="left"/>
        </w:tabs>
        <w:rPr>
          <w:sz w:val="20"/>
          <w:szCs w:val="20"/>
          <w:color w:val="auto"/>
        </w:rPr>
      </w:pPr>
      <w:r>
        <w:rPr>
          <w:rFonts w:ascii="Arial" w:cs="Arial" w:eastAsia="Arial" w:hAnsi="Arial"/>
          <w:sz w:val="32"/>
          <w:szCs w:val="32"/>
          <w:b w:val="1"/>
          <w:bCs w:val="1"/>
          <w:color w:val="auto"/>
        </w:rPr>
        <w:t>ITEM 7A.</w:t>
      </w:r>
      <w:r>
        <w:rPr>
          <w:sz w:val="20"/>
          <w:szCs w:val="20"/>
          <w:color w:val="auto"/>
        </w:rPr>
        <w:tab/>
      </w:r>
      <w:r>
        <w:rPr>
          <w:rFonts w:ascii="Arial" w:cs="Arial" w:eastAsia="Arial" w:hAnsi="Arial"/>
          <w:sz w:val="31"/>
          <w:szCs w:val="31"/>
          <w:b w:val="1"/>
          <w:bCs w:val="1"/>
          <w:color w:val="auto"/>
        </w:rPr>
        <w:t>Quantitative and Qualitative Disclosures about Market Risk</w:t>
      </w:r>
    </w:p>
    <w:p>
      <w:pPr>
        <w:spacing w:after="0" w:line="84" w:lineRule="exact"/>
        <w:rPr>
          <w:sz w:val="20"/>
          <w:szCs w:val="20"/>
          <w:color w:val="auto"/>
        </w:rPr>
      </w:pPr>
    </w:p>
    <w:p>
      <w:pPr>
        <w:ind w:left="540"/>
        <w:spacing w:after="0"/>
        <w:rPr>
          <w:sz w:val="20"/>
          <w:szCs w:val="20"/>
          <w:color w:val="auto"/>
        </w:rPr>
      </w:pPr>
      <w:r>
        <w:rPr>
          <w:rFonts w:ascii="Arial" w:cs="Arial" w:eastAsia="Arial" w:hAnsi="Arial"/>
          <w:sz w:val="13"/>
          <w:szCs w:val="13"/>
          <w:color w:val="auto"/>
        </w:rPr>
        <w:t>We are exposed to certain market risks from changes in foreign currency exchange rates and interest rates. Changes in these factors cause fluctuations in our earnings and cash flows.</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We evaluate and manage exposure to these market risks as follows:</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 Rate Risk</w:t>
      </w:r>
    </w:p>
    <w:p>
      <w:pPr>
        <w:spacing w:after="0" w:line="66" w:lineRule="exact"/>
        <w:rPr>
          <w:sz w:val="20"/>
          <w:szCs w:val="20"/>
          <w:color w:val="auto"/>
        </w:rPr>
      </w:pPr>
    </w:p>
    <w:p>
      <w:pPr>
        <w:jc w:val="both"/>
        <w:ind w:firstLine="524"/>
        <w:spacing w:after="0" w:line="248" w:lineRule="auto"/>
        <w:rPr>
          <w:sz w:val="20"/>
          <w:szCs w:val="20"/>
          <w:color w:val="auto"/>
        </w:rPr>
      </w:pPr>
      <w:r>
        <w:rPr>
          <w:rFonts w:ascii="Arial" w:cs="Arial" w:eastAsia="Arial" w:hAnsi="Arial"/>
          <w:sz w:val="13"/>
          <w:szCs w:val="13"/>
          <w:color w:val="auto"/>
        </w:rPr>
        <w:t>We are primarily exposed to interest rate risk through our ABL Facility. As amended by the LIBOR Transition Amendment, borrowings under our ABL Facility bear interest at variable rates based on (i) the US Prime Rate or the Federal Funds Rate for borrowings denominated in USD, (ii) the Canadian Dollar Bankers' Acceptances average rate or the rate of interest publicly announced by the Bank of America (Canada) as its base rate or the Federal Funds Rate for borrowings denominated in Canadian dollars, (iii) SONIA for borrowings denominated in British Pounds Sterling and (iv) EURIBOR for borrowings denominated in Euros. See “Risk Factors— The uncertainty regarding the potential phase-out of LIBOR may negatively impact our operating results." We had $1.6 billion in outstanding principal under the ABL Facility at December 31, 2021.</w:t>
      </w:r>
    </w:p>
    <w:p>
      <w:pPr>
        <w:spacing w:after="0" w:line="36"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In order to manage this risk, we maintain an interest rate swap agreement that effectively converts $400.0 million in aggregate notional amount of variable-rate debt under our ABL Facility into fixed-rate debt. The swap agreement provides for us to pay a fixed rate of 3.06% per annum on the outstanding debt in exchange for receiving a variable interest rate based on 1-month LIBOR. The effect is a synthetically fixed rate of 4.94% on the $400.0 million notional amount, when including the current applicable margin.</w:t>
      </w:r>
    </w:p>
    <w:p>
      <w:pPr>
        <w:spacing w:after="0" w:line="33"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An increase in interest rates by 100 basis points on our ABL Facility, inclusive of the impact of our interest rate swaps, would increase annual interest expense by approximately $9.5 million based on current outstanding borrowings.</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Foreign Currency Risk</w:t>
      </w:r>
    </w:p>
    <w:p>
      <w:pPr>
        <w:spacing w:after="0" w:line="66" w:lineRule="exact"/>
        <w:rPr>
          <w:sz w:val="20"/>
          <w:szCs w:val="20"/>
          <w:color w:val="auto"/>
        </w:rPr>
      </w:pPr>
    </w:p>
    <w:p>
      <w:pPr>
        <w:jc w:val="both"/>
        <w:ind w:firstLine="524"/>
        <w:spacing w:after="0" w:line="248" w:lineRule="auto"/>
        <w:rPr>
          <w:sz w:val="20"/>
          <w:szCs w:val="20"/>
          <w:color w:val="auto"/>
        </w:rPr>
      </w:pPr>
      <w:r>
        <w:rPr>
          <w:rFonts w:ascii="Arial" w:cs="Arial" w:eastAsia="Arial" w:hAnsi="Arial"/>
          <w:sz w:val="13"/>
          <w:szCs w:val="13"/>
          <w:color w:val="auto"/>
        </w:rPr>
        <w:t>We currently generate the majority of our consolidated net revenues in the US, and the reporting currency for our consolidated financial statements is the US dollar. However, we are exposed to currency risk through our operations in Canada, Mexico, and the UK. For the operations outside the US we bill customers primarily in their local currency, which is subject to foreign currency rate changes. As our net revenues and expenses generated outside of the US increase, our results of operations could be adversely impacted by changes in foreign currency exchange rates. Since we recognize foreign revenues in local foreign currencies, if the US dollar strengthens, it could have a negative impact on our foreign revenues upon translation of those results into the US dollar for consolidation into our financial statements.</w:t>
      </w:r>
    </w:p>
    <w:p>
      <w:pPr>
        <w:spacing w:after="0" w:line="36"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In addition, we are exposed to gains and losses resulting from fluctuations in foreign currency exchange rates on transactions generated by our foreign subsidiaries in currencies other than their local currencies. These gains and losses are primarily driven by intercompany transactions and rental equipment purchases denominated in currencies other than the functional currency of the purchasing entity. These exposures are included in currency (gains) losses, net, on the consolidated statements of operations. To date, we have not entered into any hedging arrangements with respect to foreign currency risk.</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28" w:right="319" w:bottom="1440" w:gutter="0" w:footer="0" w:header="0"/>
        </w:sectPr>
      </w:pPr>
    </w:p>
    <w:bookmarkStart w:id="68" w:name="page69"/>
    <w:bookmarkEnd w:id="68"/>
    <w:p>
      <w:pPr>
        <w:spacing w:after="0"/>
        <w:rPr>
          <w:sz w:val="20"/>
          <w:szCs w:val="20"/>
          <w:color w:val="auto"/>
        </w:rPr>
      </w:pPr>
      <w:r>
        <w:rPr>
          <w:rFonts w:ascii="Arial" w:cs="Arial" w:eastAsia="Arial" w:hAnsi="Arial"/>
          <w:sz w:val="15"/>
          <w:szCs w:val="15"/>
          <w:b w:val="1"/>
          <w:bCs w:val="1"/>
          <w:color w:val="auto"/>
        </w:rPr>
        <w:t>Seasonality</w:t>
      </w:r>
    </w:p>
    <w:p>
      <w:pPr>
        <w:spacing w:after="0" w:line="66" w:lineRule="exact"/>
        <w:rPr>
          <w:sz w:val="20"/>
          <w:szCs w:val="20"/>
          <w:color w:val="auto"/>
        </w:rPr>
      </w:pPr>
    </w:p>
    <w:p>
      <w:pPr>
        <w:ind w:left="540"/>
        <w:spacing w:after="0"/>
        <w:rPr>
          <w:sz w:val="20"/>
          <w:szCs w:val="20"/>
          <w:color w:val="auto"/>
        </w:rPr>
      </w:pPr>
      <w:r>
        <w:rPr>
          <w:rFonts w:ascii="Arial" w:cs="Arial" w:eastAsia="Arial" w:hAnsi="Arial"/>
          <w:sz w:val="13"/>
          <w:szCs w:val="13"/>
          <w:color w:val="auto"/>
        </w:rPr>
        <w:t>Although demand from certain of our customers is seasonal, our operations as a whole are not impacted in any material respect by seasonality.</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Impact of Inflation</w:t>
      </w:r>
    </w:p>
    <w:p>
      <w:pPr>
        <w:spacing w:after="0" w:line="66" w:lineRule="exact"/>
        <w:rPr>
          <w:sz w:val="20"/>
          <w:szCs w:val="20"/>
          <w:color w:val="auto"/>
        </w:rPr>
      </w:pPr>
    </w:p>
    <w:p>
      <w:pPr>
        <w:ind w:firstLine="524"/>
        <w:spacing w:after="0" w:line="256" w:lineRule="auto"/>
        <w:rPr>
          <w:sz w:val="20"/>
          <w:szCs w:val="20"/>
          <w:color w:val="auto"/>
        </w:rPr>
      </w:pPr>
      <w:r>
        <w:rPr>
          <w:rFonts w:ascii="Arial" w:cs="Arial" w:eastAsia="Arial" w:hAnsi="Arial"/>
          <w:sz w:val="13"/>
          <w:szCs w:val="13"/>
          <w:color w:val="auto"/>
        </w:rPr>
        <w:t>Inflationary factors such as increases in the cost of our product and overhead costs may adversely affect our operating results if we are unsuccessful in passing such inflationary increases on to our customers in the form of higher prices. We do not believe that inflation has had a material effect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07" w:right="319" w:bottom="1440" w:gutter="0" w:footer="0" w:header="0"/>
        </w:sectPr>
      </w:pPr>
    </w:p>
    <w:bookmarkStart w:id="69" w:name="page70"/>
    <w:bookmarkEnd w:id="69"/>
    <w:p>
      <w:pPr>
        <w:spacing w:after="0"/>
        <w:tabs>
          <w:tab w:leader="none" w:pos="1360" w:val="left"/>
        </w:tabs>
        <w:rPr>
          <w:sz w:val="20"/>
          <w:szCs w:val="20"/>
          <w:color w:val="auto"/>
        </w:rPr>
      </w:pPr>
      <w:r>
        <w:rPr>
          <w:rFonts w:ascii="Arial" w:cs="Arial" w:eastAsia="Arial" w:hAnsi="Arial"/>
          <w:sz w:val="32"/>
          <w:szCs w:val="32"/>
          <w:b w:val="1"/>
          <w:bCs w:val="1"/>
          <w:color w:val="auto"/>
        </w:rPr>
        <w:t>Item 8.</w:t>
        <w:tab/>
        <w:t>Financial Statements and Supplementary</w:t>
      </w:r>
    </w:p>
    <w:p>
      <w:pPr>
        <w:spacing w:after="0" w:line="91" w:lineRule="exact"/>
        <w:rPr>
          <w:sz w:val="20"/>
          <w:szCs w:val="20"/>
          <w:color w:val="auto"/>
        </w:rPr>
      </w:pPr>
    </w:p>
    <w:p>
      <w:pPr>
        <w:ind w:left="1060"/>
        <w:spacing w:after="0"/>
        <w:rPr>
          <w:sz w:val="20"/>
          <w:szCs w:val="20"/>
          <w:color w:val="auto"/>
        </w:rPr>
      </w:pPr>
      <w:r>
        <w:rPr>
          <w:rFonts w:ascii="Arial" w:cs="Arial" w:eastAsia="Arial" w:hAnsi="Arial"/>
          <w:sz w:val="32"/>
          <w:szCs w:val="32"/>
          <w:b w:val="1"/>
          <w:bCs w:val="1"/>
          <w:color w:val="auto"/>
        </w:rPr>
        <w:t>Data</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9"/>
          <w:szCs w:val="19"/>
          <w:color w:val="1D2758"/>
        </w:rPr>
        <w:t>Report of Independent Registered Public Accounting Firm</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color w:val="333333"/>
        </w:rPr>
        <w:t>To the Shareholders and the Board of Directors of WillScot Mobile Mini Holdings Corp.</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color w:val="333333"/>
        </w:rPr>
        <w:t>Opinion on the Financial Statements</w:t>
      </w:r>
    </w:p>
    <w:p>
      <w:pPr>
        <w:spacing w:after="0" w:line="11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333333"/>
        </w:rPr>
        <w:t>We have audited the accompanying consolidated balance sheets of WillScot Mobile Mini Holdings Corp. (the Company) as of December 31, 2021 and 2020, the related consolidated statements of operations, comprehensive income (loss)</w:t>
      </w:r>
      <w:r>
        <w:rPr>
          <w:rFonts w:ascii="Arial" w:cs="Arial" w:eastAsia="Arial" w:hAnsi="Arial"/>
          <w:sz w:val="13"/>
          <w:szCs w:val="13"/>
          <w:b w:val="1"/>
          <w:bCs w:val="1"/>
          <w:color w:val="333333"/>
        </w:rPr>
        <w:t>,</w:t>
      </w:r>
      <w:r>
        <w:rPr>
          <w:rFonts w:ascii="Arial" w:cs="Arial" w:eastAsia="Arial" w:hAnsi="Arial"/>
          <w:sz w:val="13"/>
          <w:szCs w:val="13"/>
          <w:color w:val="333333"/>
        </w:rPr>
        <w:t xml:space="preserve"> changes in equity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79"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333333"/>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February 25, 2021 expressed an unqualified opinion thereon.</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b w:val="1"/>
          <w:bCs w:val="1"/>
          <w:color w:val="333333"/>
        </w:rPr>
        <w:t>Basis for Opinion</w:t>
      </w:r>
    </w:p>
    <w:p>
      <w:pPr>
        <w:spacing w:after="0" w:line="110"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333333"/>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7"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333333"/>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b w:val="1"/>
          <w:bCs w:val="1"/>
          <w:color w:val="333333"/>
        </w:rPr>
        <w:t>Critical Audit Matter</w:t>
      </w:r>
    </w:p>
    <w:p>
      <w:pPr>
        <w:spacing w:after="0" w:line="11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333333"/>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70" w:name="page71"/>
    <w:bookmarkEnd w:id="70"/>
    <w:p>
      <w:pPr>
        <w:spacing w:after="0" w:line="190"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0" w:right="80"/>
        <w:spacing w:after="0" w:line="247" w:lineRule="auto"/>
        <w:rPr>
          <w:sz w:val="20"/>
          <w:szCs w:val="20"/>
          <w:color w:val="auto"/>
        </w:rPr>
      </w:pPr>
      <w:r>
        <w:rPr>
          <w:rFonts w:ascii="Arial" w:cs="Arial" w:eastAsia="Arial" w:hAnsi="Arial"/>
          <w:sz w:val="13"/>
          <w:szCs w:val="13"/>
          <w:b w:val="1"/>
          <w:bCs w:val="1"/>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i w:val="1"/>
          <w:iCs w:val="1"/>
          <w:color w:val="auto"/>
        </w:rPr>
        <w:t>Allowance for Credit Losses</w:t>
      </w:r>
    </w:p>
    <w:p>
      <w:pPr>
        <w:spacing w:after="0" w:line="44"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As described in Note 1 to the consolidated financial statements, the Company maintains an allowance for credit losses on trade receivables. At December 31, 2021 the allowance for credit losses was $47.7 million, or 10.6% of gross trade receivables. The allowance for credit losses is estimated based on historical write-off experience and, as applicable, current conditions and reasonable and supportable forecasts that affect collectability.</w:t>
      </w:r>
    </w:p>
    <w:p>
      <w:pPr>
        <w:spacing w:after="0" w:line="33"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Auditing the Company's estimation of the allowance for credit losses was judgmental due to the subjectivity in assessing the appropriateness of the assumptions made by management. The assumptions include an expectation that the Company’s collection of receivables will be consistent with historical write-off experience and the consideration of current or forecasted conditions that may affect the Company’s customers' ability to pay outstanding trade receivables.</w:t>
      </w:r>
    </w:p>
    <w:p>
      <w:pPr>
        <w:spacing w:after="0" w:line="165"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We obtained an understanding, evaluated the design, and tested the operating effectiveness of the Company's controls over its estimation of the allowance for credit losses, including internal controls over the Company’s process to develop the assumptions used to estimate credit losses.</w:t>
      </w:r>
    </w:p>
    <w:p>
      <w:pPr>
        <w:spacing w:after="0" w:line="31"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To test the allowance for credit losses, we performed audit procedures that included, among others, testing management's process for developing the allowance for credit losses, testing the completeness, accuracy, and relevance of the data used; and evaluating significant assumptions used by management, including assessing the Company’s expectation that the collection of receivables will be consistent with historical write-off experience. For example, we compared the days sales outstanding, customer concentration, and days past due as of December 31, 2021, to the Company’s historical experience to evaluate the relevancy of the historical data utilized to estimate the allowance for credit losses. We also performed a sensitivity analysis of the significant assumptions to evaluate the change in the allowance that would result from changes in assumptions.</w:t>
      </w:r>
    </w:p>
    <w:p>
      <w:pPr>
        <w:spacing w:after="0" w:line="200" w:lineRule="exact"/>
        <w:rPr>
          <w:sz w:val="20"/>
          <w:szCs w:val="20"/>
          <w:color w:val="auto"/>
        </w:rPr>
      </w:pPr>
    </w:p>
    <w:p>
      <w:pPr>
        <w:sectPr>
          <w:pgSz w:w="11900" w:h="16838" w:orient="portrait"/>
          <w:cols w:equalWidth="0" w:num="2">
            <w:col w:w="1560" w:space="300"/>
            <w:col w:w="9400"/>
          </w:cols>
          <w:pgMar w:left="300" w:top="940" w:right="339" w:bottom="1440" w:gutter="0" w:footer="0" w:header="0"/>
        </w:sectPr>
      </w:pPr>
    </w:p>
    <w:p>
      <w:pPr>
        <w:spacing w:after="0" w:line="384" w:lineRule="exact"/>
        <w:rPr>
          <w:sz w:val="20"/>
          <w:szCs w:val="20"/>
          <w:color w:val="auto"/>
        </w:rPr>
      </w:pPr>
    </w:p>
    <w:p>
      <w:pPr>
        <w:spacing w:after="0"/>
        <w:rPr>
          <w:sz w:val="20"/>
          <w:szCs w:val="20"/>
          <w:color w:val="auto"/>
        </w:rPr>
      </w:pPr>
      <w:r>
        <w:rPr>
          <w:rFonts w:ascii="Arial" w:cs="Arial" w:eastAsia="Arial" w:hAnsi="Arial"/>
          <w:sz w:val="13"/>
          <w:szCs w:val="13"/>
          <w:color w:val="333333"/>
        </w:rPr>
        <w:t>/s/ Ernst &amp; Young LLP</w:t>
      </w:r>
    </w:p>
    <w:p>
      <w:pPr>
        <w:spacing w:after="0" w:line="66" w:lineRule="exact"/>
        <w:rPr>
          <w:sz w:val="20"/>
          <w:szCs w:val="20"/>
          <w:color w:val="auto"/>
        </w:rPr>
      </w:pPr>
    </w:p>
    <w:p>
      <w:pPr>
        <w:spacing w:after="0"/>
        <w:rPr>
          <w:sz w:val="20"/>
          <w:szCs w:val="20"/>
          <w:color w:val="auto"/>
        </w:rPr>
      </w:pPr>
      <w:r>
        <w:rPr>
          <w:rFonts w:ascii="Arial" w:cs="Arial" w:eastAsia="Arial" w:hAnsi="Arial"/>
          <w:sz w:val="13"/>
          <w:szCs w:val="13"/>
          <w:i w:val="1"/>
          <w:iCs w:val="1"/>
          <w:color w:val="333333"/>
        </w:rPr>
        <w:t>We have served as the Company’s auditor since 2017</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color w:val="333333"/>
        </w:rPr>
        <w:t>Baltimore, Maryland</w:t>
      </w:r>
    </w:p>
    <w:p>
      <w:pPr>
        <w:spacing w:after="0" w:line="69" w:lineRule="exact"/>
        <w:rPr>
          <w:sz w:val="20"/>
          <w:szCs w:val="20"/>
          <w:color w:val="auto"/>
        </w:rPr>
      </w:pPr>
    </w:p>
    <w:p>
      <w:pPr>
        <w:spacing w:after="0"/>
        <w:rPr>
          <w:sz w:val="20"/>
          <w:szCs w:val="20"/>
          <w:color w:val="auto"/>
        </w:rPr>
      </w:pPr>
      <w:r>
        <w:rPr>
          <w:rFonts w:ascii="Arial" w:cs="Arial" w:eastAsia="Arial" w:hAnsi="Arial"/>
          <w:sz w:val="13"/>
          <w:szCs w:val="13"/>
          <w:color w:val="auto"/>
        </w:rPr>
        <w:t>February 25,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50800</wp:posOffset>
            </wp:positionV>
            <wp:extent cx="7183755" cy="393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60"/>
          </w:cols>
          <w:pgMar w:left="300" w:top="940" w:right="339" w:bottom="1440" w:gutter="0" w:footer="0" w:header="0"/>
          <w:type w:val="continuous"/>
        </w:sectPr>
      </w:pPr>
    </w:p>
    <w:bookmarkStart w:id="71" w:name="page72"/>
    <w:bookmarkEnd w:id="71"/>
    <w:p>
      <w:pPr>
        <w:jc w:val="center"/>
        <w:spacing w:after="0"/>
        <w:rPr>
          <w:sz w:val="20"/>
          <w:szCs w:val="20"/>
          <w:color w:val="auto"/>
        </w:rPr>
      </w:pPr>
      <w:r>
        <w:rPr>
          <w:rFonts w:ascii="Arial" w:cs="Arial" w:eastAsia="Arial" w:hAnsi="Arial"/>
          <w:sz w:val="19"/>
          <w:szCs w:val="19"/>
          <w:color w:val="1D2758"/>
        </w:rPr>
        <w:t>WillScot Mobile Mini Holdings Corp.</w:t>
      </w:r>
    </w:p>
    <w:p>
      <w:pPr>
        <w:jc w:val="center"/>
        <w:spacing w:after="0"/>
        <w:rPr>
          <w:sz w:val="20"/>
          <w:szCs w:val="20"/>
          <w:color w:val="auto"/>
        </w:rPr>
      </w:pPr>
      <w:r>
        <w:rPr>
          <w:rFonts w:ascii="Arial" w:cs="Arial" w:eastAsia="Arial" w:hAnsi="Arial"/>
          <w:sz w:val="19"/>
          <w:szCs w:val="19"/>
          <w:color w:val="1D2758"/>
        </w:rPr>
        <w:t>Consolidated Balance Sheets</w:t>
      </w:r>
    </w:p>
    <w:p>
      <w:pPr>
        <w:jc w:val="center"/>
        <w:spacing w:after="0"/>
        <w:rPr>
          <w:sz w:val="20"/>
          <w:szCs w:val="20"/>
          <w:color w:val="auto"/>
        </w:rPr>
      </w:pPr>
      <w:r>
        <w:rPr>
          <w:rFonts w:ascii="Arial" w:cs="Arial" w:eastAsia="Arial" w:hAnsi="Arial"/>
          <w:sz w:val="19"/>
          <w:szCs w:val="19"/>
          <w:color w:val="1D2758"/>
        </w:rPr>
        <w:t>(in thousands, except share data)</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060" w:type="dxa"/>
            <w:vAlign w:val="bottom"/>
            <w:shd w:val="clear" w:color="auto" w:fill="1D2758"/>
          </w:tcPr>
          <w:p>
            <w:pPr>
              <w:spacing w:after="0"/>
              <w:rPr>
                <w:sz w:val="14"/>
                <w:szCs w:val="14"/>
                <w:color w:val="auto"/>
              </w:rPr>
            </w:pPr>
          </w:p>
        </w:tc>
        <w:tc>
          <w:tcPr>
            <w:tcW w:w="380" w:type="dxa"/>
            <w:vAlign w:val="bottom"/>
            <w:shd w:val="clear" w:color="auto" w:fill="1D2758"/>
          </w:tcPr>
          <w:p>
            <w:pPr>
              <w:spacing w:after="0"/>
              <w:rPr>
                <w:sz w:val="14"/>
                <w:szCs w:val="14"/>
                <w:color w:val="auto"/>
              </w:rPr>
            </w:pPr>
          </w:p>
        </w:tc>
        <w:tc>
          <w:tcPr>
            <w:tcW w:w="1780" w:type="dxa"/>
            <w:vAlign w:val="bottom"/>
            <w:gridSpan w:val="3"/>
            <w:shd w:val="clear" w:color="auto" w:fill="1D2758"/>
          </w:tcPr>
          <w:p>
            <w:pPr>
              <w:jc w:val="right"/>
              <w:ind w:right="54"/>
              <w:spacing w:after="0"/>
              <w:rPr>
                <w:sz w:val="20"/>
                <w:szCs w:val="20"/>
                <w:color w:val="auto"/>
              </w:rPr>
            </w:pPr>
            <w:r>
              <w:rPr>
                <w:rFonts w:ascii="Arial" w:cs="Arial" w:eastAsia="Arial" w:hAnsi="Arial"/>
                <w:sz w:val="13"/>
                <w:szCs w:val="13"/>
                <w:b w:val="1"/>
                <w:bCs w:val="1"/>
                <w:color w:val="FFFFFF"/>
              </w:rPr>
              <w:t>December 31,</w:t>
            </w:r>
          </w:p>
        </w:tc>
        <w:tc>
          <w:tcPr>
            <w:tcW w:w="1060" w:type="dxa"/>
            <w:vAlign w:val="bottom"/>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060" w:type="dxa"/>
            <w:vAlign w:val="bottom"/>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1200" w:type="dxa"/>
            <w:vAlign w:val="bottom"/>
            <w:shd w:val="clear" w:color="auto" w:fill="1D2758"/>
          </w:tcPr>
          <w:p>
            <w:pPr>
              <w:jc w:val="right"/>
              <w:ind w:right="574"/>
              <w:spacing w:after="0"/>
              <w:rPr>
                <w:sz w:val="20"/>
                <w:szCs w:val="20"/>
                <w:color w:val="auto"/>
              </w:rPr>
            </w:pPr>
            <w:r>
              <w:rPr>
                <w:rFonts w:ascii="Arial" w:cs="Arial" w:eastAsia="Arial" w:hAnsi="Arial"/>
                <w:sz w:val="13"/>
                <w:szCs w:val="13"/>
                <w:b w:val="1"/>
                <w:bCs w:val="1"/>
                <w:color w:val="FFFFFF"/>
              </w:rPr>
              <w:t>2021</w:t>
            </w:r>
          </w:p>
        </w:tc>
        <w:tc>
          <w:tcPr>
            <w:tcW w:w="80" w:type="dxa"/>
            <w:vAlign w:val="bottom"/>
            <w:shd w:val="clear" w:color="auto" w:fill="1D2758"/>
          </w:tcPr>
          <w:p>
            <w:pPr>
              <w:spacing w:after="0"/>
              <w:rPr>
                <w:sz w:val="15"/>
                <w:szCs w:val="15"/>
                <w:color w:val="auto"/>
              </w:rPr>
            </w:pPr>
          </w:p>
        </w:tc>
        <w:tc>
          <w:tcPr>
            <w:tcW w:w="500" w:type="dxa"/>
            <w:vAlign w:val="bottom"/>
            <w:shd w:val="clear" w:color="auto" w:fill="1D2758"/>
          </w:tcPr>
          <w:p>
            <w:pPr>
              <w:spacing w:after="0"/>
              <w:rPr>
                <w:sz w:val="15"/>
                <w:szCs w:val="15"/>
                <w:color w:val="auto"/>
              </w:rPr>
            </w:pPr>
          </w:p>
        </w:tc>
        <w:tc>
          <w:tcPr>
            <w:tcW w:w="1060" w:type="dxa"/>
            <w:vAlign w:val="bottom"/>
            <w:shd w:val="clear" w:color="auto" w:fill="1D2758"/>
          </w:tcPr>
          <w:p>
            <w:pPr>
              <w:jc w:val="right"/>
              <w:ind w:right="574"/>
              <w:spacing w:after="0"/>
              <w:rPr>
                <w:sz w:val="20"/>
                <w:szCs w:val="20"/>
                <w:color w:val="auto"/>
              </w:rPr>
            </w:pPr>
            <w:r>
              <w:rPr>
                <w:rFonts w:ascii="Arial" w:cs="Arial" w:eastAsia="Arial" w:hAnsi="Arial"/>
                <w:sz w:val="13"/>
                <w:szCs w:val="13"/>
                <w:b w:val="1"/>
                <w:bCs w:val="1"/>
                <w:color w:val="FFFFFF"/>
              </w:rPr>
              <w:t>2020</w:t>
            </w:r>
          </w:p>
        </w:tc>
        <w:tc>
          <w:tcPr>
            <w:tcW w:w="0" w:type="dxa"/>
            <w:vAlign w:val="bottom"/>
          </w:tcPr>
          <w:p>
            <w:pPr>
              <w:spacing w:after="0"/>
              <w:rPr>
                <w:sz w:val="1"/>
                <w:szCs w:val="1"/>
                <w:color w:val="auto"/>
              </w:rPr>
            </w:pPr>
          </w:p>
        </w:tc>
      </w:tr>
      <w:tr>
        <w:trPr>
          <w:trHeight w:val="175"/>
        </w:trPr>
        <w:tc>
          <w:tcPr>
            <w:tcW w:w="8060" w:type="dxa"/>
            <w:vAlign w:val="bottom"/>
            <w:shd w:val="clear" w:color="auto" w:fill="DBDBDB"/>
          </w:tcPr>
          <w:p>
            <w:pPr>
              <w:ind w:left="20"/>
              <w:spacing w:after="0"/>
              <w:rPr>
                <w:sz w:val="20"/>
                <w:szCs w:val="20"/>
                <w:color w:val="auto"/>
              </w:rPr>
            </w:pPr>
            <w:r>
              <w:rPr>
                <w:rFonts w:ascii="Arial" w:cs="Arial" w:eastAsia="Arial" w:hAnsi="Arial"/>
                <w:sz w:val="13"/>
                <w:szCs w:val="13"/>
                <w:color w:val="auto"/>
              </w:rPr>
              <w:t>Assets</w:t>
            </w:r>
          </w:p>
        </w:tc>
        <w:tc>
          <w:tcPr>
            <w:tcW w:w="380" w:type="dxa"/>
            <w:vAlign w:val="bottom"/>
            <w:shd w:val="clear" w:color="auto" w:fill="DBDBDB"/>
          </w:tcPr>
          <w:p>
            <w:pPr>
              <w:spacing w:after="0"/>
              <w:rPr>
                <w:sz w:val="15"/>
                <w:szCs w:val="15"/>
                <w:color w:val="auto"/>
              </w:rPr>
            </w:pPr>
          </w:p>
        </w:tc>
        <w:tc>
          <w:tcPr>
            <w:tcW w:w="12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50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060" w:type="dxa"/>
            <w:vAlign w:val="bottom"/>
          </w:tcPr>
          <w:p>
            <w:pPr>
              <w:ind w:left="200"/>
              <w:spacing w:after="0"/>
              <w:rPr>
                <w:sz w:val="20"/>
                <w:szCs w:val="20"/>
                <w:color w:val="auto"/>
              </w:rPr>
            </w:pPr>
            <w:r>
              <w:rPr>
                <w:rFonts w:ascii="Arial" w:cs="Arial" w:eastAsia="Arial" w:hAnsi="Arial"/>
                <w:sz w:val="13"/>
                <w:szCs w:val="13"/>
                <w:color w:val="auto"/>
              </w:rPr>
              <w:t>Cash and cash equivalents</w:t>
            </w:r>
          </w:p>
        </w:tc>
        <w:tc>
          <w:tcPr>
            <w:tcW w:w="38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12,699</w:t>
            </w:r>
          </w:p>
        </w:tc>
        <w:tc>
          <w:tcPr>
            <w:tcW w:w="80" w:type="dxa"/>
            <w:vAlign w:val="bottom"/>
          </w:tcPr>
          <w:p>
            <w:pPr>
              <w:spacing w:after="0"/>
              <w:rPr>
                <w:sz w:val="14"/>
                <w:szCs w:val="14"/>
                <w:color w:val="auto"/>
              </w:rPr>
            </w:pPr>
          </w:p>
        </w:tc>
        <w:tc>
          <w:tcPr>
            <w:tcW w:w="500" w:type="dxa"/>
            <w:vAlign w:val="bottom"/>
          </w:tcPr>
          <w:p>
            <w:pPr>
              <w:jc w:val="right"/>
              <w:ind w:right="354"/>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24,937</w:t>
            </w:r>
          </w:p>
        </w:tc>
        <w:tc>
          <w:tcPr>
            <w:tcW w:w="0" w:type="dxa"/>
            <w:vAlign w:val="bottom"/>
          </w:tcPr>
          <w:p>
            <w:pPr>
              <w:spacing w:after="0"/>
              <w:rPr>
                <w:sz w:val="1"/>
                <w:szCs w:val="1"/>
                <w:color w:val="auto"/>
              </w:rPr>
            </w:pPr>
          </w:p>
        </w:tc>
      </w:tr>
      <w:tr>
        <w:trPr>
          <w:trHeight w:val="146"/>
        </w:trPr>
        <w:tc>
          <w:tcPr>
            <w:tcW w:w="8060" w:type="dxa"/>
            <w:vAlign w:val="bottom"/>
            <w:shd w:val="clear" w:color="auto" w:fill="DBDBDB"/>
          </w:tcPr>
          <w:p>
            <w:pPr>
              <w:ind w:left="200"/>
              <w:spacing w:after="0" w:line="147" w:lineRule="exact"/>
              <w:rPr>
                <w:sz w:val="20"/>
                <w:szCs w:val="20"/>
                <w:color w:val="auto"/>
              </w:rPr>
            </w:pPr>
            <w:r>
              <w:rPr>
                <w:rFonts w:ascii="Arial" w:cs="Arial" w:eastAsia="Arial" w:hAnsi="Arial"/>
                <w:sz w:val="13"/>
                <w:szCs w:val="13"/>
                <w:color w:val="auto"/>
              </w:rPr>
              <w:t>Trade receivables, net of allowance for credit losses at December 31, 2021 and December 31, 2020 of $47,629 and $29,258,</w:t>
            </w:r>
          </w:p>
        </w:tc>
        <w:tc>
          <w:tcPr>
            <w:tcW w:w="380" w:type="dxa"/>
            <w:vAlign w:val="bottom"/>
            <w:shd w:val="clear" w:color="auto" w:fill="DBDBDB"/>
          </w:tcPr>
          <w:p>
            <w:pPr>
              <w:spacing w:after="0"/>
              <w:rPr>
                <w:sz w:val="12"/>
                <w:szCs w:val="12"/>
                <w:color w:val="auto"/>
              </w:rPr>
            </w:pPr>
          </w:p>
        </w:tc>
        <w:tc>
          <w:tcPr>
            <w:tcW w:w="12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00" w:type="dxa"/>
            <w:vAlign w:val="bottom"/>
            <w:shd w:val="clear" w:color="auto" w:fill="DBDBDB"/>
          </w:tcPr>
          <w:p>
            <w:pPr>
              <w:spacing w:after="0"/>
              <w:rPr>
                <w:sz w:val="12"/>
                <w:szCs w:val="12"/>
                <w:color w:val="auto"/>
              </w:rPr>
            </w:pPr>
          </w:p>
        </w:tc>
        <w:tc>
          <w:tcPr>
            <w:tcW w:w="106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0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respectively</w:t>
            </w:r>
          </w:p>
        </w:tc>
        <w:tc>
          <w:tcPr>
            <w:tcW w:w="380" w:type="dxa"/>
            <w:vAlign w:val="bottom"/>
            <w:shd w:val="clear" w:color="auto" w:fill="DBDBDB"/>
          </w:tcPr>
          <w:p>
            <w:pPr>
              <w:spacing w:after="0"/>
              <w:rPr>
                <w:sz w:val="14"/>
                <w:szCs w:val="14"/>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399,887</w:t>
            </w:r>
          </w:p>
        </w:tc>
        <w:tc>
          <w:tcPr>
            <w:tcW w:w="80" w:type="dxa"/>
            <w:vAlign w:val="bottom"/>
            <w:shd w:val="clear" w:color="auto" w:fill="DBDBDB"/>
          </w:tcPr>
          <w:p>
            <w:pPr>
              <w:spacing w:after="0"/>
              <w:rPr>
                <w:sz w:val="14"/>
                <w:szCs w:val="14"/>
                <w:color w:val="auto"/>
              </w:rPr>
            </w:pPr>
          </w:p>
        </w:tc>
        <w:tc>
          <w:tcPr>
            <w:tcW w:w="500" w:type="dxa"/>
            <w:vAlign w:val="bottom"/>
            <w:shd w:val="clear" w:color="auto" w:fill="DBDBDB"/>
          </w:tcPr>
          <w:p>
            <w:pPr>
              <w:spacing w:after="0"/>
              <w:rPr>
                <w:sz w:val="14"/>
                <w:szCs w:val="14"/>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330,942</w:t>
            </w:r>
          </w:p>
        </w:tc>
        <w:tc>
          <w:tcPr>
            <w:tcW w:w="0" w:type="dxa"/>
            <w:vAlign w:val="bottom"/>
          </w:tcPr>
          <w:p>
            <w:pPr>
              <w:spacing w:after="0"/>
              <w:rPr>
                <w:sz w:val="1"/>
                <w:szCs w:val="1"/>
                <w:color w:val="auto"/>
              </w:rPr>
            </w:pPr>
          </w:p>
        </w:tc>
      </w:tr>
      <w:tr>
        <w:trPr>
          <w:trHeight w:val="172"/>
        </w:trPr>
        <w:tc>
          <w:tcPr>
            <w:tcW w:w="8060" w:type="dxa"/>
            <w:vAlign w:val="bottom"/>
          </w:tcPr>
          <w:p>
            <w:pPr>
              <w:ind w:left="200"/>
              <w:spacing w:after="0"/>
              <w:rPr>
                <w:sz w:val="20"/>
                <w:szCs w:val="20"/>
                <w:color w:val="auto"/>
              </w:rPr>
            </w:pPr>
            <w:r>
              <w:rPr>
                <w:rFonts w:ascii="Arial" w:cs="Arial" w:eastAsia="Arial" w:hAnsi="Arial"/>
                <w:sz w:val="13"/>
                <w:szCs w:val="13"/>
                <w:color w:val="auto"/>
              </w:rPr>
              <w:t>Inventories</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32,739</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23,731</w:t>
            </w:r>
          </w:p>
        </w:tc>
        <w:tc>
          <w:tcPr>
            <w:tcW w:w="0" w:type="dxa"/>
            <w:vAlign w:val="bottom"/>
          </w:tcPr>
          <w:p>
            <w:pPr>
              <w:spacing w:after="0"/>
              <w:rPr>
                <w:sz w:val="1"/>
                <w:szCs w:val="1"/>
                <w:color w:val="auto"/>
              </w:rPr>
            </w:pPr>
          </w:p>
        </w:tc>
      </w:tr>
      <w:tr>
        <w:trPr>
          <w:trHeight w:val="178"/>
        </w:trPr>
        <w:tc>
          <w:tcPr>
            <w:tcW w:w="80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Prepaid expenses and other current assets</w:t>
            </w:r>
          </w:p>
        </w:tc>
        <w:tc>
          <w:tcPr>
            <w:tcW w:w="380" w:type="dxa"/>
            <w:vAlign w:val="bottom"/>
            <w:shd w:val="clear" w:color="auto" w:fill="DBDBDB"/>
          </w:tcPr>
          <w:p>
            <w:pPr>
              <w:spacing w:after="0"/>
              <w:rPr>
                <w:sz w:val="15"/>
                <w:szCs w:val="15"/>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36,761</w:t>
            </w:r>
          </w:p>
        </w:tc>
        <w:tc>
          <w:tcPr>
            <w:tcW w:w="80" w:type="dxa"/>
            <w:vAlign w:val="bottom"/>
            <w:shd w:val="clear" w:color="auto" w:fill="DBDBDB"/>
          </w:tcPr>
          <w:p>
            <w:pPr>
              <w:spacing w:after="0"/>
              <w:rPr>
                <w:sz w:val="15"/>
                <w:szCs w:val="15"/>
                <w:color w:val="auto"/>
              </w:rPr>
            </w:pPr>
          </w:p>
        </w:tc>
        <w:tc>
          <w:tcPr>
            <w:tcW w:w="500" w:type="dxa"/>
            <w:vAlign w:val="bottom"/>
            <w:shd w:val="clear" w:color="auto" w:fill="DBDBDB"/>
          </w:tcPr>
          <w:p>
            <w:pPr>
              <w:spacing w:after="0"/>
              <w:rPr>
                <w:sz w:val="15"/>
                <w:szCs w:val="15"/>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29,954</w:t>
            </w:r>
          </w:p>
        </w:tc>
        <w:tc>
          <w:tcPr>
            <w:tcW w:w="0" w:type="dxa"/>
            <w:vAlign w:val="bottom"/>
          </w:tcPr>
          <w:p>
            <w:pPr>
              <w:spacing w:after="0"/>
              <w:rPr>
                <w:sz w:val="1"/>
                <w:szCs w:val="1"/>
                <w:color w:val="auto"/>
              </w:rPr>
            </w:pPr>
          </w:p>
        </w:tc>
      </w:tr>
      <w:tr>
        <w:trPr>
          <w:trHeight w:val="172"/>
        </w:trPr>
        <w:tc>
          <w:tcPr>
            <w:tcW w:w="8060" w:type="dxa"/>
            <w:vAlign w:val="bottom"/>
            <w:tcBorders>
              <w:bottom w:val="single" w:sz="8" w:color="DBDBDB"/>
            </w:tcBorders>
          </w:tcPr>
          <w:p>
            <w:pPr>
              <w:ind w:left="200"/>
              <w:spacing w:after="0"/>
              <w:rPr>
                <w:sz w:val="20"/>
                <w:szCs w:val="20"/>
                <w:color w:val="auto"/>
              </w:rPr>
            </w:pPr>
            <w:r>
              <w:rPr>
                <w:rFonts w:ascii="Arial" w:cs="Arial" w:eastAsia="Arial" w:hAnsi="Arial"/>
                <w:sz w:val="13"/>
                <w:szCs w:val="13"/>
                <w:color w:val="auto"/>
              </w:rPr>
              <w:t>Assets held for sale</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954</w:t>
            </w:r>
          </w:p>
        </w:tc>
        <w:tc>
          <w:tcPr>
            <w:tcW w:w="80" w:type="dxa"/>
            <w:vAlign w:val="bottom"/>
            <w:tcBorders>
              <w:bottom w:val="single" w:sz="8" w:color="DBDBDB"/>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12,004</w:t>
            </w:r>
          </w:p>
        </w:tc>
        <w:tc>
          <w:tcPr>
            <w:tcW w:w="0" w:type="dxa"/>
            <w:vAlign w:val="bottom"/>
          </w:tcPr>
          <w:p>
            <w:pPr>
              <w:spacing w:after="0"/>
              <w:rPr>
                <w:sz w:val="1"/>
                <w:szCs w:val="1"/>
                <w:color w:val="auto"/>
              </w:rPr>
            </w:pPr>
          </w:p>
        </w:tc>
      </w:tr>
      <w:tr>
        <w:trPr>
          <w:trHeight w:val="169"/>
        </w:trPr>
        <w:tc>
          <w:tcPr>
            <w:tcW w:w="8060" w:type="dxa"/>
            <w:vAlign w:val="bottom"/>
            <w:shd w:val="clear" w:color="auto" w:fill="DBDBDB"/>
          </w:tcPr>
          <w:p>
            <w:pPr>
              <w:ind w:left="380"/>
              <w:spacing w:after="0"/>
              <w:rPr>
                <w:sz w:val="20"/>
                <w:szCs w:val="20"/>
                <w:color w:val="auto"/>
              </w:rPr>
            </w:pPr>
            <w:r>
              <w:rPr>
                <w:rFonts w:ascii="Arial" w:cs="Arial" w:eastAsia="Arial" w:hAnsi="Arial"/>
                <w:sz w:val="13"/>
                <w:szCs w:val="13"/>
                <w:color w:val="auto"/>
              </w:rPr>
              <w:t>Total current assets</w:t>
            </w:r>
          </w:p>
        </w:tc>
        <w:tc>
          <w:tcPr>
            <w:tcW w:w="380" w:type="dxa"/>
            <w:vAlign w:val="bottom"/>
            <w:shd w:val="clear" w:color="auto" w:fill="DBDBDB"/>
          </w:tcPr>
          <w:p>
            <w:pPr>
              <w:spacing w:after="0"/>
              <w:rPr>
                <w:sz w:val="14"/>
                <w:szCs w:val="14"/>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483,040</w:t>
            </w:r>
          </w:p>
        </w:tc>
        <w:tc>
          <w:tcPr>
            <w:tcW w:w="80" w:type="dxa"/>
            <w:vAlign w:val="bottom"/>
            <w:shd w:val="clear" w:color="auto" w:fill="DBDBDB"/>
          </w:tcPr>
          <w:p>
            <w:pPr>
              <w:spacing w:after="0"/>
              <w:rPr>
                <w:sz w:val="14"/>
                <w:szCs w:val="14"/>
                <w:color w:val="auto"/>
              </w:rPr>
            </w:pPr>
          </w:p>
        </w:tc>
        <w:tc>
          <w:tcPr>
            <w:tcW w:w="500" w:type="dxa"/>
            <w:vAlign w:val="bottom"/>
            <w:shd w:val="clear" w:color="auto" w:fill="DBDBDB"/>
          </w:tcPr>
          <w:p>
            <w:pPr>
              <w:spacing w:after="0"/>
              <w:rPr>
                <w:sz w:val="14"/>
                <w:szCs w:val="14"/>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421,568</w:t>
            </w:r>
          </w:p>
        </w:tc>
        <w:tc>
          <w:tcPr>
            <w:tcW w:w="0" w:type="dxa"/>
            <w:vAlign w:val="bottom"/>
          </w:tcPr>
          <w:p>
            <w:pPr>
              <w:spacing w:after="0"/>
              <w:rPr>
                <w:sz w:val="1"/>
                <w:szCs w:val="1"/>
                <w:color w:val="auto"/>
              </w:rPr>
            </w:pPr>
          </w:p>
        </w:tc>
      </w:tr>
      <w:tr>
        <w:trPr>
          <w:trHeight w:val="172"/>
        </w:trPr>
        <w:tc>
          <w:tcPr>
            <w:tcW w:w="8060" w:type="dxa"/>
            <w:vAlign w:val="bottom"/>
          </w:tcPr>
          <w:p>
            <w:pPr>
              <w:ind w:left="200"/>
              <w:spacing w:after="0"/>
              <w:rPr>
                <w:sz w:val="20"/>
                <w:szCs w:val="20"/>
                <w:color w:val="auto"/>
              </w:rPr>
            </w:pPr>
            <w:r>
              <w:rPr>
                <w:rFonts w:ascii="Arial" w:cs="Arial" w:eastAsia="Arial" w:hAnsi="Arial"/>
                <w:sz w:val="13"/>
                <w:szCs w:val="13"/>
                <w:color w:val="auto"/>
              </w:rPr>
              <w:t>Rental equipment, net</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3,080,981</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2,931,646</w:t>
            </w:r>
          </w:p>
        </w:tc>
        <w:tc>
          <w:tcPr>
            <w:tcW w:w="0" w:type="dxa"/>
            <w:vAlign w:val="bottom"/>
          </w:tcPr>
          <w:p>
            <w:pPr>
              <w:spacing w:after="0"/>
              <w:rPr>
                <w:sz w:val="1"/>
                <w:szCs w:val="1"/>
                <w:color w:val="auto"/>
              </w:rPr>
            </w:pPr>
          </w:p>
        </w:tc>
      </w:tr>
      <w:tr>
        <w:trPr>
          <w:trHeight w:val="178"/>
        </w:trPr>
        <w:tc>
          <w:tcPr>
            <w:tcW w:w="80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Property, plant and equipment, net</w:t>
            </w:r>
          </w:p>
        </w:tc>
        <w:tc>
          <w:tcPr>
            <w:tcW w:w="380" w:type="dxa"/>
            <w:vAlign w:val="bottom"/>
            <w:shd w:val="clear" w:color="auto" w:fill="DBDBDB"/>
          </w:tcPr>
          <w:p>
            <w:pPr>
              <w:spacing w:after="0"/>
              <w:rPr>
                <w:sz w:val="15"/>
                <w:szCs w:val="15"/>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312,178</w:t>
            </w:r>
          </w:p>
        </w:tc>
        <w:tc>
          <w:tcPr>
            <w:tcW w:w="80" w:type="dxa"/>
            <w:vAlign w:val="bottom"/>
            <w:shd w:val="clear" w:color="auto" w:fill="DBDBDB"/>
          </w:tcPr>
          <w:p>
            <w:pPr>
              <w:spacing w:after="0"/>
              <w:rPr>
                <w:sz w:val="15"/>
                <w:szCs w:val="15"/>
                <w:color w:val="auto"/>
              </w:rPr>
            </w:pPr>
          </w:p>
        </w:tc>
        <w:tc>
          <w:tcPr>
            <w:tcW w:w="500" w:type="dxa"/>
            <w:vAlign w:val="bottom"/>
            <w:shd w:val="clear" w:color="auto" w:fill="DBDBDB"/>
          </w:tcPr>
          <w:p>
            <w:pPr>
              <w:spacing w:after="0"/>
              <w:rPr>
                <w:sz w:val="15"/>
                <w:szCs w:val="15"/>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303,650</w:t>
            </w:r>
          </w:p>
        </w:tc>
        <w:tc>
          <w:tcPr>
            <w:tcW w:w="0" w:type="dxa"/>
            <w:vAlign w:val="bottom"/>
          </w:tcPr>
          <w:p>
            <w:pPr>
              <w:spacing w:after="0"/>
              <w:rPr>
                <w:sz w:val="1"/>
                <w:szCs w:val="1"/>
                <w:color w:val="auto"/>
              </w:rPr>
            </w:pPr>
          </w:p>
        </w:tc>
      </w:tr>
      <w:tr>
        <w:trPr>
          <w:trHeight w:val="172"/>
        </w:trPr>
        <w:tc>
          <w:tcPr>
            <w:tcW w:w="8060" w:type="dxa"/>
            <w:vAlign w:val="bottom"/>
          </w:tcPr>
          <w:p>
            <w:pPr>
              <w:ind w:left="200"/>
              <w:spacing w:after="0"/>
              <w:rPr>
                <w:sz w:val="20"/>
                <w:szCs w:val="20"/>
                <w:color w:val="auto"/>
              </w:rPr>
            </w:pPr>
            <w:r>
              <w:rPr>
                <w:rFonts w:ascii="Arial" w:cs="Arial" w:eastAsia="Arial" w:hAnsi="Arial"/>
                <w:sz w:val="13"/>
                <w:szCs w:val="13"/>
                <w:color w:val="auto"/>
              </w:rPr>
              <w:t>Operating lease assets</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247,064</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232,094</w:t>
            </w:r>
          </w:p>
        </w:tc>
        <w:tc>
          <w:tcPr>
            <w:tcW w:w="0" w:type="dxa"/>
            <w:vAlign w:val="bottom"/>
          </w:tcPr>
          <w:p>
            <w:pPr>
              <w:spacing w:after="0"/>
              <w:rPr>
                <w:sz w:val="1"/>
                <w:szCs w:val="1"/>
                <w:color w:val="auto"/>
              </w:rPr>
            </w:pPr>
          </w:p>
        </w:tc>
      </w:tr>
      <w:tr>
        <w:trPr>
          <w:trHeight w:val="178"/>
        </w:trPr>
        <w:tc>
          <w:tcPr>
            <w:tcW w:w="80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Goodwill</w:t>
            </w:r>
          </w:p>
        </w:tc>
        <w:tc>
          <w:tcPr>
            <w:tcW w:w="380" w:type="dxa"/>
            <w:vAlign w:val="bottom"/>
            <w:shd w:val="clear" w:color="auto" w:fill="DBDBDB"/>
          </w:tcPr>
          <w:p>
            <w:pPr>
              <w:spacing w:after="0"/>
              <w:rPr>
                <w:sz w:val="15"/>
                <w:szCs w:val="15"/>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1,178,806</w:t>
            </w:r>
          </w:p>
        </w:tc>
        <w:tc>
          <w:tcPr>
            <w:tcW w:w="80" w:type="dxa"/>
            <w:vAlign w:val="bottom"/>
            <w:shd w:val="clear" w:color="auto" w:fill="DBDBDB"/>
          </w:tcPr>
          <w:p>
            <w:pPr>
              <w:spacing w:after="0"/>
              <w:rPr>
                <w:sz w:val="15"/>
                <w:szCs w:val="15"/>
                <w:color w:val="auto"/>
              </w:rPr>
            </w:pPr>
          </w:p>
        </w:tc>
        <w:tc>
          <w:tcPr>
            <w:tcW w:w="500" w:type="dxa"/>
            <w:vAlign w:val="bottom"/>
            <w:shd w:val="clear" w:color="auto" w:fill="DBDBDB"/>
          </w:tcPr>
          <w:p>
            <w:pPr>
              <w:spacing w:after="0"/>
              <w:rPr>
                <w:sz w:val="15"/>
                <w:szCs w:val="15"/>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1,171,219</w:t>
            </w:r>
          </w:p>
        </w:tc>
        <w:tc>
          <w:tcPr>
            <w:tcW w:w="0" w:type="dxa"/>
            <w:vAlign w:val="bottom"/>
          </w:tcPr>
          <w:p>
            <w:pPr>
              <w:spacing w:after="0"/>
              <w:rPr>
                <w:sz w:val="1"/>
                <w:szCs w:val="1"/>
                <w:color w:val="auto"/>
              </w:rPr>
            </w:pPr>
          </w:p>
        </w:tc>
      </w:tr>
      <w:tr>
        <w:trPr>
          <w:trHeight w:val="172"/>
        </w:trPr>
        <w:tc>
          <w:tcPr>
            <w:tcW w:w="8060" w:type="dxa"/>
            <w:vAlign w:val="bottom"/>
          </w:tcPr>
          <w:p>
            <w:pPr>
              <w:ind w:left="200"/>
              <w:spacing w:after="0"/>
              <w:rPr>
                <w:sz w:val="20"/>
                <w:szCs w:val="20"/>
                <w:color w:val="auto"/>
              </w:rPr>
            </w:pPr>
            <w:r>
              <w:rPr>
                <w:rFonts w:ascii="Arial" w:cs="Arial" w:eastAsia="Arial" w:hAnsi="Arial"/>
                <w:sz w:val="13"/>
                <w:szCs w:val="13"/>
                <w:color w:val="auto"/>
              </w:rPr>
              <w:t>Intangible assets, net</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460,678</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495,947</w:t>
            </w:r>
          </w:p>
        </w:tc>
        <w:tc>
          <w:tcPr>
            <w:tcW w:w="0" w:type="dxa"/>
            <w:vAlign w:val="bottom"/>
          </w:tcPr>
          <w:p>
            <w:pPr>
              <w:spacing w:after="0"/>
              <w:rPr>
                <w:sz w:val="1"/>
                <w:szCs w:val="1"/>
                <w:color w:val="auto"/>
              </w:rPr>
            </w:pPr>
          </w:p>
        </w:tc>
      </w:tr>
      <w:tr>
        <w:trPr>
          <w:trHeight w:val="175"/>
        </w:trPr>
        <w:tc>
          <w:tcPr>
            <w:tcW w:w="80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Other non-current assets</w:t>
            </w:r>
          </w:p>
        </w:tc>
        <w:tc>
          <w:tcPr>
            <w:tcW w:w="380" w:type="dxa"/>
            <w:vAlign w:val="bottom"/>
            <w:tcBorders>
              <w:bottom w:val="single" w:sz="8" w:color="auto"/>
            </w:tcBorders>
            <w:shd w:val="clear" w:color="auto" w:fill="DBDBDB"/>
          </w:tcPr>
          <w:p>
            <w:pPr>
              <w:spacing w:after="0"/>
              <w:rPr>
                <w:sz w:val="15"/>
                <w:szCs w:val="15"/>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10,852</w:t>
            </w:r>
          </w:p>
        </w:tc>
        <w:tc>
          <w:tcPr>
            <w:tcW w:w="80" w:type="dxa"/>
            <w:vAlign w:val="bottom"/>
            <w:shd w:val="clear" w:color="auto" w:fill="DBDBDB"/>
          </w:tcPr>
          <w:p>
            <w:pPr>
              <w:spacing w:after="0"/>
              <w:rPr>
                <w:sz w:val="15"/>
                <w:szCs w:val="15"/>
                <w:color w:val="auto"/>
              </w:rPr>
            </w:pPr>
          </w:p>
        </w:tc>
        <w:tc>
          <w:tcPr>
            <w:tcW w:w="500" w:type="dxa"/>
            <w:vAlign w:val="bottom"/>
            <w:tcBorders>
              <w:bottom w:val="single" w:sz="8" w:color="auto"/>
            </w:tcBorders>
            <w:shd w:val="clear" w:color="auto" w:fill="DBDBDB"/>
          </w:tcPr>
          <w:p>
            <w:pPr>
              <w:spacing w:after="0"/>
              <w:rPr>
                <w:sz w:val="15"/>
                <w:szCs w:val="15"/>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16,081</w:t>
            </w:r>
          </w:p>
        </w:tc>
        <w:tc>
          <w:tcPr>
            <w:tcW w:w="0" w:type="dxa"/>
            <w:vAlign w:val="bottom"/>
          </w:tcPr>
          <w:p>
            <w:pPr>
              <w:spacing w:after="0"/>
              <w:rPr>
                <w:sz w:val="1"/>
                <w:szCs w:val="1"/>
                <w:color w:val="auto"/>
              </w:rPr>
            </w:pPr>
          </w:p>
        </w:tc>
      </w:tr>
      <w:tr>
        <w:trPr>
          <w:trHeight w:val="166"/>
        </w:trPr>
        <w:tc>
          <w:tcPr>
            <w:tcW w:w="8060" w:type="dxa"/>
            <w:vAlign w:val="bottom"/>
            <w:tcBorders>
              <w:bottom w:val="single" w:sz="8" w:color="DBDBDB"/>
            </w:tcBorders>
          </w:tcPr>
          <w:p>
            <w:pPr>
              <w:ind w:left="380"/>
              <w:spacing w:after="0"/>
              <w:rPr>
                <w:sz w:val="20"/>
                <w:szCs w:val="20"/>
                <w:color w:val="auto"/>
              </w:rPr>
            </w:pPr>
            <w:r>
              <w:rPr>
                <w:rFonts w:ascii="Arial" w:cs="Arial" w:eastAsia="Arial" w:hAnsi="Arial"/>
                <w:sz w:val="13"/>
                <w:szCs w:val="13"/>
                <w:color w:val="auto"/>
              </w:rPr>
              <w:t>Total long-term assets</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5,290,559</w:t>
            </w:r>
          </w:p>
        </w:tc>
        <w:tc>
          <w:tcPr>
            <w:tcW w:w="80" w:type="dxa"/>
            <w:vAlign w:val="bottom"/>
            <w:tcBorders>
              <w:bottom w:val="single" w:sz="8" w:color="DBDBDB"/>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5,150,637</w:t>
            </w:r>
          </w:p>
        </w:tc>
        <w:tc>
          <w:tcPr>
            <w:tcW w:w="0" w:type="dxa"/>
            <w:vAlign w:val="bottom"/>
          </w:tcPr>
          <w:p>
            <w:pPr>
              <w:spacing w:after="0"/>
              <w:rPr>
                <w:sz w:val="1"/>
                <w:szCs w:val="1"/>
                <w:color w:val="auto"/>
              </w:rPr>
            </w:pPr>
          </w:p>
        </w:tc>
      </w:tr>
      <w:tr>
        <w:trPr>
          <w:trHeight w:val="194"/>
        </w:trPr>
        <w:tc>
          <w:tcPr>
            <w:tcW w:w="8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Total assets</w:t>
            </w:r>
          </w:p>
        </w:tc>
        <w:tc>
          <w:tcPr>
            <w:tcW w:w="380" w:type="dxa"/>
            <w:vAlign w:val="bottom"/>
            <w:tcBorders>
              <w:bottom w:val="single" w:sz="8" w:color="auto"/>
            </w:tcBorders>
            <w:shd w:val="clear" w:color="auto" w:fill="DBDBDB"/>
          </w:tcPr>
          <w:p>
            <w:pPr>
              <w:jc w:val="right"/>
              <w:ind w:right="214"/>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5,773,599</w:t>
            </w:r>
          </w:p>
        </w:tc>
        <w:tc>
          <w:tcPr>
            <w:tcW w:w="80" w:type="dxa"/>
            <w:vAlign w:val="bottom"/>
            <w:tcBorders>
              <w:bottom w:val="single" w:sz="8" w:color="DBDBDB"/>
            </w:tcBorders>
            <w:shd w:val="clear" w:color="auto" w:fill="DBDBDB"/>
          </w:tcPr>
          <w:p>
            <w:pPr>
              <w:spacing w:after="0"/>
              <w:rPr>
                <w:sz w:val="16"/>
                <w:szCs w:val="16"/>
                <w:color w:val="auto"/>
              </w:rPr>
            </w:pPr>
          </w:p>
        </w:tc>
        <w:tc>
          <w:tcPr>
            <w:tcW w:w="500" w:type="dxa"/>
            <w:vAlign w:val="bottom"/>
            <w:tcBorders>
              <w:bottom w:val="single" w:sz="8" w:color="auto"/>
            </w:tcBorders>
            <w:shd w:val="clear" w:color="auto" w:fill="DBDBDB"/>
          </w:tcPr>
          <w:p>
            <w:pPr>
              <w:jc w:val="right"/>
              <w:ind w:right="354"/>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5,572,205</w:t>
            </w:r>
          </w:p>
        </w:tc>
        <w:tc>
          <w:tcPr>
            <w:tcW w:w="0" w:type="dxa"/>
            <w:vAlign w:val="bottom"/>
          </w:tcPr>
          <w:p>
            <w:pPr>
              <w:spacing w:after="0"/>
              <w:rPr>
                <w:sz w:val="1"/>
                <w:szCs w:val="1"/>
                <w:color w:val="auto"/>
              </w:rPr>
            </w:pPr>
          </w:p>
        </w:tc>
      </w:tr>
      <w:tr>
        <w:trPr>
          <w:trHeight w:val="20"/>
        </w:trPr>
        <w:tc>
          <w:tcPr>
            <w:tcW w:w="806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3"/>
                <w:szCs w:val="13"/>
                <w:color w:val="auto"/>
              </w:rPr>
              <w:t>Liabilities and equity</w:t>
            </w: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50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80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80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Accounts payable</w:t>
            </w:r>
          </w:p>
        </w:tc>
        <w:tc>
          <w:tcPr>
            <w:tcW w:w="380" w:type="dxa"/>
            <w:vAlign w:val="bottom"/>
            <w:shd w:val="clear" w:color="auto" w:fill="DBDBDB"/>
          </w:tcPr>
          <w:p>
            <w:pPr>
              <w:jc w:val="right"/>
              <w:ind w:right="214"/>
              <w:spacing w:after="0"/>
              <w:rPr>
                <w:sz w:val="20"/>
                <w:szCs w:val="20"/>
                <w:color w:val="auto"/>
              </w:rPr>
            </w:pPr>
            <w:r>
              <w:rPr>
                <w:rFonts w:ascii="Arial" w:cs="Arial" w:eastAsia="Arial" w:hAnsi="Arial"/>
                <w:sz w:val="13"/>
                <w:szCs w:val="13"/>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118,271</w:t>
            </w:r>
          </w:p>
        </w:tc>
        <w:tc>
          <w:tcPr>
            <w:tcW w:w="80" w:type="dxa"/>
            <w:vAlign w:val="bottom"/>
            <w:shd w:val="clear" w:color="auto" w:fill="DBDBDB"/>
          </w:tcPr>
          <w:p>
            <w:pPr>
              <w:spacing w:after="0"/>
              <w:rPr>
                <w:sz w:val="15"/>
                <w:szCs w:val="15"/>
                <w:color w:val="auto"/>
              </w:rPr>
            </w:pPr>
          </w:p>
        </w:tc>
        <w:tc>
          <w:tcPr>
            <w:tcW w:w="500" w:type="dxa"/>
            <w:vAlign w:val="bottom"/>
            <w:shd w:val="clear" w:color="auto" w:fill="DBDBDB"/>
          </w:tcPr>
          <w:p>
            <w:pPr>
              <w:jc w:val="right"/>
              <w:ind w:right="354"/>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106,926</w:t>
            </w:r>
          </w:p>
        </w:tc>
        <w:tc>
          <w:tcPr>
            <w:tcW w:w="0" w:type="dxa"/>
            <w:vAlign w:val="bottom"/>
          </w:tcPr>
          <w:p>
            <w:pPr>
              <w:spacing w:after="0"/>
              <w:rPr>
                <w:sz w:val="1"/>
                <w:szCs w:val="1"/>
                <w:color w:val="auto"/>
              </w:rPr>
            </w:pPr>
          </w:p>
        </w:tc>
      </w:tr>
      <w:tr>
        <w:trPr>
          <w:trHeight w:val="172"/>
        </w:trPr>
        <w:tc>
          <w:tcPr>
            <w:tcW w:w="8060" w:type="dxa"/>
            <w:vAlign w:val="bottom"/>
          </w:tcPr>
          <w:p>
            <w:pPr>
              <w:ind w:left="200"/>
              <w:spacing w:after="0"/>
              <w:rPr>
                <w:sz w:val="20"/>
                <w:szCs w:val="20"/>
                <w:color w:val="auto"/>
              </w:rPr>
            </w:pPr>
            <w:r>
              <w:rPr>
                <w:rFonts w:ascii="Arial" w:cs="Arial" w:eastAsia="Arial" w:hAnsi="Arial"/>
                <w:sz w:val="13"/>
                <w:szCs w:val="13"/>
                <w:color w:val="auto"/>
              </w:rPr>
              <w:t>Accrued expenses</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100,195</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91,381</w:t>
            </w:r>
          </w:p>
        </w:tc>
        <w:tc>
          <w:tcPr>
            <w:tcW w:w="0" w:type="dxa"/>
            <w:vAlign w:val="bottom"/>
          </w:tcPr>
          <w:p>
            <w:pPr>
              <w:spacing w:after="0"/>
              <w:rPr>
                <w:sz w:val="1"/>
                <w:szCs w:val="1"/>
                <w:color w:val="auto"/>
              </w:rPr>
            </w:pPr>
          </w:p>
        </w:tc>
      </w:tr>
      <w:tr>
        <w:trPr>
          <w:trHeight w:val="178"/>
        </w:trPr>
        <w:tc>
          <w:tcPr>
            <w:tcW w:w="80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Accrued employee benefits</w:t>
            </w:r>
          </w:p>
        </w:tc>
        <w:tc>
          <w:tcPr>
            <w:tcW w:w="380" w:type="dxa"/>
            <w:vAlign w:val="bottom"/>
            <w:shd w:val="clear" w:color="auto" w:fill="DBDBDB"/>
          </w:tcPr>
          <w:p>
            <w:pPr>
              <w:spacing w:after="0"/>
              <w:rPr>
                <w:sz w:val="15"/>
                <w:szCs w:val="15"/>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68,414</w:t>
            </w:r>
          </w:p>
        </w:tc>
        <w:tc>
          <w:tcPr>
            <w:tcW w:w="80" w:type="dxa"/>
            <w:vAlign w:val="bottom"/>
            <w:shd w:val="clear" w:color="auto" w:fill="DBDBDB"/>
          </w:tcPr>
          <w:p>
            <w:pPr>
              <w:spacing w:after="0"/>
              <w:rPr>
                <w:sz w:val="15"/>
                <w:szCs w:val="15"/>
                <w:color w:val="auto"/>
              </w:rPr>
            </w:pPr>
          </w:p>
        </w:tc>
        <w:tc>
          <w:tcPr>
            <w:tcW w:w="500" w:type="dxa"/>
            <w:vAlign w:val="bottom"/>
            <w:shd w:val="clear" w:color="auto" w:fill="DBDBDB"/>
          </w:tcPr>
          <w:p>
            <w:pPr>
              <w:spacing w:after="0"/>
              <w:rPr>
                <w:sz w:val="15"/>
                <w:szCs w:val="15"/>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50,291</w:t>
            </w:r>
          </w:p>
        </w:tc>
        <w:tc>
          <w:tcPr>
            <w:tcW w:w="0" w:type="dxa"/>
            <w:vAlign w:val="bottom"/>
          </w:tcPr>
          <w:p>
            <w:pPr>
              <w:spacing w:after="0"/>
              <w:rPr>
                <w:sz w:val="1"/>
                <w:szCs w:val="1"/>
                <w:color w:val="auto"/>
              </w:rPr>
            </w:pPr>
          </w:p>
        </w:tc>
      </w:tr>
      <w:tr>
        <w:trPr>
          <w:trHeight w:val="172"/>
        </w:trPr>
        <w:tc>
          <w:tcPr>
            <w:tcW w:w="8060" w:type="dxa"/>
            <w:vAlign w:val="bottom"/>
          </w:tcPr>
          <w:p>
            <w:pPr>
              <w:ind w:left="200"/>
              <w:spacing w:after="0"/>
              <w:rPr>
                <w:sz w:val="20"/>
                <w:szCs w:val="20"/>
                <w:color w:val="auto"/>
              </w:rPr>
            </w:pPr>
            <w:r>
              <w:rPr>
                <w:rFonts w:ascii="Arial" w:cs="Arial" w:eastAsia="Arial" w:hAnsi="Arial"/>
                <w:sz w:val="13"/>
                <w:szCs w:val="13"/>
                <w:color w:val="auto"/>
              </w:rPr>
              <w:t>Deferred revenue and customer deposits</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159,639</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135,485</w:t>
            </w:r>
          </w:p>
        </w:tc>
        <w:tc>
          <w:tcPr>
            <w:tcW w:w="0" w:type="dxa"/>
            <w:vAlign w:val="bottom"/>
          </w:tcPr>
          <w:p>
            <w:pPr>
              <w:spacing w:after="0"/>
              <w:rPr>
                <w:sz w:val="1"/>
                <w:szCs w:val="1"/>
                <w:color w:val="auto"/>
              </w:rPr>
            </w:pPr>
          </w:p>
        </w:tc>
      </w:tr>
      <w:tr>
        <w:trPr>
          <w:trHeight w:val="178"/>
        </w:trPr>
        <w:tc>
          <w:tcPr>
            <w:tcW w:w="80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Operating lease liabilities - current</w:t>
            </w:r>
          </w:p>
        </w:tc>
        <w:tc>
          <w:tcPr>
            <w:tcW w:w="380" w:type="dxa"/>
            <w:vAlign w:val="bottom"/>
            <w:shd w:val="clear" w:color="auto" w:fill="DBDBDB"/>
          </w:tcPr>
          <w:p>
            <w:pPr>
              <w:spacing w:after="0"/>
              <w:rPr>
                <w:sz w:val="15"/>
                <w:szCs w:val="15"/>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53,005</w:t>
            </w:r>
          </w:p>
        </w:tc>
        <w:tc>
          <w:tcPr>
            <w:tcW w:w="80" w:type="dxa"/>
            <w:vAlign w:val="bottom"/>
            <w:shd w:val="clear" w:color="auto" w:fill="DBDBDB"/>
          </w:tcPr>
          <w:p>
            <w:pPr>
              <w:spacing w:after="0"/>
              <w:rPr>
                <w:sz w:val="15"/>
                <w:szCs w:val="15"/>
                <w:color w:val="auto"/>
              </w:rPr>
            </w:pPr>
          </w:p>
        </w:tc>
        <w:tc>
          <w:tcPr>
            <w:tcW w:w="500" w:type="dxa"/>
            <w:vAlign w:val="bottom"/>
            <w:shd w:val="clear" w:color="auto" w:fill="DBDBDB"/>
          </w:tcPr>
          <w:p>
            <w:pPr>
              <w:spacing w:after="0"/>
              <w:rPr>
                <w:sz w:val="15"/>
                <w:szCs w:val="15"/>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48,063</w:t>
            </w:r>
          </w:p>
        </w:tc>
        <w:tc>
          <w:tcPr>
            <w:tcW w:w="0" w:type="dxa"/>
            <w:vAlign w:val="bottom"/>
          </w:tcPr>
          <w:p>
            <w:pPr>
              <w:spacing w:after="0"/>
              <w:rPr>
                <w:sz w:val="1"/>
                <w:szCs w:val="1"/>
                <w:color w:val="auto"/>
              </w:rPr>
            </w:pPr>
          </w:p>
        </w:tc>
      </w:tr>
      <w:tr>
        <w:trPr>
          <w:trHeight w:val="172"/>
        </w:trPr>
        <w:tc>
          <w:tcPr>
            <w:tcW w:w="8060" w:type="dxa"/>
            <w:vAlign w:val="bottom"/>
            <w:tcBorders>
              <w:bottom w:val="single" w:sz="8" w:color="DBDBDB"/>
            </w:tcBorders>
          </w:tcPr>
          <w:p>
            <w:pPr>
              <w:ind w:left="200"/>
              <w:spacing w:after="0"/>
              <w:rPr>
                <w:sz w:val="20"/>
                <w:szCs w:val="20"/>
                <w:color w:val="auto"/>
              </w:rPr>
            </w:pPr>
            <w:r>
              <w:rPr>
                <w:rFonts w:ascii="Arial" w:cs="Arial" w:eastAsia="Arial" w:hAnsi="Arial"/>
                <w:sz w:val="13"/>
                <w:szCs w:val="13"/>
                <w:color w:val="auto"/>
              </w:rPr>
              <w:t>Current portion of long-term debt</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18,121</w:t>
            </w:r>
          </w:p>
        </w:tc>
        <w:tc>
          <w:tcPr>
            <w:tcW w:w="80" w:type="dxa"/>
            <w:vAlign w:val="bottom"/>
            <w:tcBorders>
              <w:bottom w:val="single" w:sz="8" w:color="DBDBDB"/>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16,521</w:t>
            </w:r>
          </w:p>
        </w:tc>
        <w:tc>
          <w:tcPr>
            <w:tcW w:w="0" w:type="dxa"/>
            <w:vAlign w:val="bottom"/>
          </w:tcPr>
          <w:p>
            <w:pPr>
              <w:spacing w:after="0"/>
              <w:rPr>
                <w:sz w:val="1"/>
                <w:szCs w:val="1"/>
                <w:color w:val="auto"/>
              </w:rPr>
            </w:pPr>
          </w:p>
        </w:tc>
      </w:tr>
      <w:tr>
        <w:trPr>
          <w:trHeight w:val="169"/>
        </w:trPr>
        <w:tc>
          <w:tcPr>
            <w:tcW w:w="8060" w:type="dxa"/>
            <w:vAlign w:val="bottom"/>
            <w:shd w:val="clear" w:color="auto" w:fill="DBDBDB"/>
          </w:tcPr>
          <w:p>
            <w:pPr>
              <w:ind w:left="380"/>
              <w:spacing w:after="0"/>
              <w:rPr>
                <w:sz w:val="20"/>
                <w:szCs w:val="20"/>
                <w:color w:val="auto"/>
              </w:rPr>
            </w:pPr>
            <w:r>
              <w:rPr>
                <w:rFonts w:ascii="Arial" w:cs="Arial" w:eastAsia="Arial" w:hAnsi="Arial"/>
                <w:sz w:val="13"/>
                <w:szCs w:val="13"/>
                <w:color w:val="auto"/>
              </w:rPr>
              <w:t>Total current liabilities</w:t>
            </w:r>
          </w:p>
        </w:tc>
        <w:tc>
          <w:tcPr>
            <w:tcW w:w="380" w:type="dxa"/>
            <w:vAlign w:val="bottom"/>
            <w:shd w:val="clear" w:color="auto" w:fill="DBDBDB"/>
          </w:tcPr>
          <w:p>
            <w:pPr>
              <w:spacing w:after="0"/>
              <w:rPr>
                <w:sz w:val="14"/>
                <w:szCs w:val="14"/>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517,645</w:t>
            </w:r>
          </w:p>
        </w:tc>
        <w:tc>
          <w:tcPr>
            <w:tcW w:w="80" w:type="dxa"/>
            <w:vAlign w:val="bottom"/>
            <w:shd w:val="clear" w:color="auto" w:fill="DBDBDB"/>
          </w:tcPr>
          <w:p>
            <w:pPr>
              <w:spacing w:after="0"/>
              <w:rPr>
                <w:sz w:val="14"/>
                <w:szCs w:val="14"/>
                <w:color w:val="auto"/>
              </w:rPr>
            </w:pPr>
          </w:p>
        </w:tc>
        <w:tc>
          <w:tcPr>
            <w:tcW w:w="500" w:type="dxa"/>
            <w:vAlign w:val="bottom"/>
            <w:shd w:val="clear" w:color="auto" w:fill="DBDBDB"/>
          </w:tcPr>
          <w:p>
            <w:pPr>
              <w:spacing w:after="0"/>
              <w:rPr>
                <w:sz w:val="14"/>
                <w:szCs w:val="14"/>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448,667</w:t>
            </w:r>
          </w:p>
        </w:tc>
        <w:tc>
          <w:tcPr>
            <w:tcW w:w="0" w:type="dxa"/>
            <w:vAlign w:val="bottom"/>
          </w:tcPr>
          <w:p>
            <w:pPr>
              <w:spacing w:after="0"/>
              <w:rPr>
                <w:sz w:val="1"/>
                <w:szCs w:val="1"/>
                <w:color w:val="auto"/>
              </w:rPr>
            </w:pPr>
          </w:p>
        </w:tc>
      </w:tr>
      <w:tr>
        <w:trPr>
          <w:trHeight w:val="172"/>
        </w:trPr>
        <w:tc>
          <w:tcPr>
            <w:tcW w:w="8060" w:type="dxa"/>
            <w:vAlign w:val="bottom"/>
          </w:tcPr>
          <w:p>
            <w:pPr>
              <w:ind w:left="200"/>
              <w:spacing w:after="0"/>
              <w:rPr>
                <w:sz w:val="20"/>
                <w:szCs w:val="20"/>
                <w:color w:val="auto"/>
              </w:rPr>
            </w:pPr>
            <w:r>
              <w:rPr>
                <w:rFonts w:ascii="Arial" w:cs="Arial" w:eastAsia="Arial" w:hAnsi="Arial"/>
                <w:sz w:val="13"/>
                <w:szCs w:val="13"/>
                <w:color w:val="auto"/>
              </w:rPr>
              <w:t>Long-term debt</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2,694,319</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2,453,809</w:t>
            </w:r>
          </w:p>
        </w:tc>
        <w:tc>
          <w:tcPr>
            <w:tcW w:w="0" w:type="dxa"/>
            <w:vAlign w:val="bottom"/>
          </w:tcPr>
          <w:p>
            <w:pPr>
              <w:spacing w:after="0"/>
              <w:rPr>
                <w:sz w:val="1"/>
                <w:szCs w:val="1"/>
                <w:color w:val="auto"/>
              </w:rPr>
            </w:pPr>
          </w:p>
        </w:tc>
      </w:tr>
      <w:tr>
        <w:trPr>
          <w:trHeight w:val="178"/>
        </w:trPr>
        <w:tc>
          <w:tcPr>
            <w:tcW w:w="80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Deferred tax liabilities</w:t>
            </w:r>
          </w:p>
        </w:tc>
        <w:tc>
          <w:tcPr>
            <w:tcW w:w="380" w:type="dxa"/>
            <w:vAlign w:val="bottom"/>
            <w:shd w:val="clear" w:color="auto" w:fill="DBDBDB"/>
          </w:tcPr>
          <w:p>
            <w:pPr>
              <w:spacing w:after="0"/>
              <w:rPr>
                <w:sz w:val="15"/>
                <w:szCs w:val="15"/>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354,879</w:t>
            </w:r>
          </w:p>
        </w:tc>
        <w:tc>
          <w:tcPr>
            <w:tcW w:w="80" w:type="dxa"/>
            <w:vAlign w:val="bottom"/>
            <w:shd w:val="clear" w:color="auto" w:fill="DBDBDB"/>
          </w:tcPr>
          <w:p>
            <w:pPr>
              <w:spacing w:after="0"/>
              <w:rPr>
                <w:sz w:val="15"/>
                <w:szCs w:val="15"/>
                <w:color w:val="auto"/>
              </w:rPr>
            </w:pPr>
          </w:p>
        </w:tc>
        <w:tc>
          <w:tcPr>
            <w:tcW w:w="500" w:type="dxa"/>
            <w:vAlign w:val="bottom"/>
            <w:shd w:val="clear" w:color="auto" w:fill="DBDBDB"/>
          </w:tcPr>
          <w:p>
            <w:pPr>
              <w:spacing w:after="0"/>
              <w:rPr>
                <w:sz w:val="15"/>
                <w:szCs w:val="15"/>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307,541</w:t>
            </w:r>
          </w:p>
        </w:tc>
        <w:tc>
          <w:tcPr>
            <w:tcW w:w="0" w:type="dxa"/>
            <w:vAlign w:val="bottom"/>
          </w:tcPr>
          <w:p>
            <w:pPr>
              <w:spacing w:after="0"/>
              <w:rPr>
                <w:sz w:val="1"/>
                <w:szCs w:val="1"/>
                <w:color w:val="auto"/>
              </w:rPr>
            </w:pPr>
          </w:p>
        </w:tc>
      </w:tr>
      <w:tr>
        <w:trPr>
          <w:trHeight w:val="172"/>
        </w:trPr>
        <w:tc>
          <w:tcPr>
            <w:tcW w:w="8060" w:type="dxa"/>
            <w:vAlign w:val="bottom"/>
          </w:tcPr>
          <w:p>
            <w:pPr>
              <w:ind w:left="200"/>
              <w:spacing w:after="0"/>
              <w:rPr>
                <w:sz w:val="20"/>
                <w:szCs w:val="20"/>
                <w:color w:val="auto"/>
              </w:rPr>
            </w:pPr>
            <w:r>
              <w:rPr>
                <w:rFonts w:ascii="Arial" w:cs="Arial" w:eastAsia="Arial" w:hAnsi="Arial"/>
                <w:sz w:val="13"/>
                <w:szCs w:val="13"/>
                <w:color w:val="auto"/>
              </w:rPr>
              <w:t>Operating lease liabilities - non-current</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194,256</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183,761</w:t>
            </w:r>
          </w:p>
        </w:tc>
        <w:tc>
          <w:tcPr>
            <w:tcW w:w="0" w:type="dxa"/>
            <w:vAlign w:val="bottom"/>
          </w:tcPr>
          <w:p>
            <w:pPr>
              <w:spacing w:after="0"/>
              <w:rPr>
                <w:sz w:val="1"/>
                <w:szCs w:val="1"/>
                <w:color w:val="auto"/>
              </w:rPr>
            </w:pPr>
          </w:p>
        </w:tc>
      </w:tr>
      <w:tr>
        <w:trPr>
          <w:trHeight w:val="178"/>
        </w:trPr>
        <w:tc>
          <w:tcPr>
            <w:tcW w:w="80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Common stock warrant liabilities</w:t>
            </w:r>
          </w:p>
        </w:tc>
        <w:tc>
          <w:tcPr>
            <w:tcW w:w="380" w:type="dxa"/>
            <w:vAlign w:val="bottom"/>
            <w:shd w:val="clear" w:color="auto" w:fill="DBDBDB"/>
          </w:tcPr>
          <w:p>
            <w:pPr>
              <w:spacing w:after="0"/>
              <w:rPr>
                <w:sz w:val="15"/>
                <w:szCs w:val="15"/>
                <w:color w:val="auto"/>
              </w:rPr>
            </w:pPr>
          </w:p>
        </w:tc>
        <w:tc>
          <w:tcPr>
            <w:tcW w:w="128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500" w:type="dxa"/>
            <w:vAlign w:val="bottom"/>
            <w:shd w:val="clear" w:color="auto" w:fill="DBDBDB"/>
          </w:tcPr>
          <w:p>
            <w:pPr>
              <w:spacing w:after="0"/>
              <w:rPr>
                <w:sz w:val="15"/>
                <w:szCs w:val="15"/>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77,404</w:t>
            </w:r>
          </w:p>
        </w:tc>
        <w:tc>
          <w:tcPr>
            <w:tcW w:w="0" w:type="dxa"/>
            <w:vAlign w:val="bottom"/>
          </w:tcPr>
          <w:p>
            <w:pPr>
              <w:spacing w:after="0"/>
              <w:rPr>
                <w:sz w:val="1"/>
                <w:szCs w:val="1"/>
                <w:color w:val="auto"/>
              </w:rPr>
            </w:pPr>
          </w:p>
        </w:tc>
      </w:tr>
      <w:tr>
        <w:trPr>
          <w:trHeight w:val="172"/>
        </w:trPr>
        <w:tc>
          <w:tcPr>
            <w:tcW w:w="8060" w:type="dxa"/>
            <w:vAlign w:val="bottom"/>
            <w:tcBorders>
              <w:bottom w:val="single" w:sz="8" w:color="DBDBDB"/>
            </w:tcBorders>
          </w:tcPr>
          <w:p>
            <w:pPr>
              <w:ind w:left="200"/>
              <w:spacing w:after="0"/>
              <w:rPr>
                <w:sz w:val="20"/>
                <w:szCs w:val="20"/>
                <w:color w:val="auto"/>
              </w:rPr>
            </w:pPr>
            <w:r>
              <w:rPr>
                <w:rFonts w:ascii="Arial" w:cs="Arial" w:eastAsia="Arial" w:hAnsi="Arial"/>
                <w:sz w:val="13"/>
                <w:szCs w:val="13"/>
                <w:color w:val="auto"/>
              </w:rPr>
              <w:t>Other non-current liabilities</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15,737</w:t>
            </w:r>
          </w:p>
        </w:tc>
        <w:tc>
          <w:tcPr>
            <w:tcW w:w="80" w:type="dxa"/>
            <w:vAlign w:val="bottom"/>
            <w:tcBorders>
              <w:bottom w:val="single" w:sz="8" w:color="DBDBDB"/>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37,150</w:t>
            </w:r>
          </w:p>
        </w:tc>
        <w:tc>
          <w:tcPr>
            <w:tcW w:w="0" w:type="dxa"/>
            <w:vAlign w:val="bottom"/>
          </w:tcPr>
          <w:p>
            <w:pPr>
              <w:spacing w:after="0"/>
              <w:rPr>
                <w:sz w:val="1"/>
                <w:szCs w:val="1"/>
                <w:color w:val="auto"/>
              </w:rPr>
            </w:pPr>
          </w:p>
        </w:tc>
      </w:tr>
      <w:tr>
        <w:trPr>
          <w:trHeight w:val="166"/>
        </w:trPr>
        <w:tc>
          <w:tcPr>
            <w:tcW w:w="8060" w:type="dxa"/>
            <w:vAlign w:val="bottom"/>
            <w:shd w:val="clear" w:color="auto" w:fill="DBDBDB"/>
          </w:tcPr>
          <w:p>
            <w:pPr>
              <w:ind w:left="380"/>
              <w:spacing w:after="0"/>
              <w:rPr>
                <w:sz w:val="20"/>
                <w:szCs w:val="20"/>
                <w:color w:val="auto"/>
              </w:rPr>
            </w:pPr>
            <w:r>
              <w:rPr>
                <w:rFonts w:ascii="Arial" w:cs="Arial" w:eastAsia="Arial" w:hAnsi="Arial"/>
                <w:sz w:val="13"/>
                <w:szCs w:val="13"/>
                <w:color w:val="auto"/>
              </w:rPr>
              <w:t>Long-term liabilities</w:t>
            </w:r>
          </w:p>
        </w:tc>
        <w:tc>
          <w:tcPr>
            <w:tcW w:w="380" w:type="dxa"/>
            <w:vAlign w:val="bottom"/>
            <w:tcBorders>
              <w:bottom w:val="single" w:sz="8" w:color="auto"/>
            </w:tcBorders>
            <w:shd w:val="clear" w:color="auto" w:fill="DBDBDB"/>
          </w:tcPr>
          <w:p>
            <w:pPr>
              <w:spacing w:after="0"/>
              <w:rPr>
                <w:sz w:val="14"/>
                <w:szCs w:val="14"/>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3,259,191</w:t>
            </w:r>
          </w:p>
        </w:tc>
        <w:tc>
          <w:tcPr>
            <w:tcW w:w="80" w:type="dxa"/>
            <w:vAlign w:val="bottom"/>
            <w:shd w:val="clear" w:color="auto" w:fill="DBDBDB"/>
          </w:tcPr>
          <w:p>
            <w:pPr>
              <w:spacing w:after="0"/>
              <w:rPr>
                <w:sz w:val="14"/>
                <w:szCs w:val="14"/>
                <w:color w:val="auto"/>
              </w:rPr>
            </w:pPr>
          </w:p>
        </w:tc>
        <w:tc>
          <w:tcPr>
            <w:tcW w:w="500" w:type="dxa"/>
            <w:vAlign w:val="bottom"/>
            <w:tcBorders>
              <w:bottom w:val="single" w:sz="8" w:color="auto"/>
            </w:tcBorders>
            <w:shd w:val="clear" w:color="auto" w:fill="DBDBDB"/>
          </w:tcPr>
          <w:p>
            <w:pPr>
              <w:spacing w:after="0"/>
              <w:rPr>
                <w:sz w:val="14"/>
                <w:szCs w:val="14"/>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3,059,665</w:t>
            </w:r>
          </w:p>
        </w:tc>
        <w:tc>
          <w:tcPr>
            <w:tcW w:w="0" w:type="dxa"/>
            <w:vAlign w:val="bottom"/>
          </w:tcPr>
          <w:p>
            <w:pPr>
              <w:spacing w:after="0"/>
              <w:rPr>
                <w:sz w:val="1"/>
                <w:szCs w:val="1"/>
                <w:color w:val="auto"/>
              </w:rPr>
            </w:pPr>
          </w:p>
        </w:tc>
      </w:tr>
      <w:tr>
        <w:trPr>
          <w:trHeight w:val="166"/>
        </w:trPr>
        <w:tc>
          <w:tcPr>
            <w:tcW w:w="806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Total liabilities</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3,776,836</w:t>
            </w:r>
          </w:p>
        </w:tc>
        <w:tc>
          <w:tcPr>
            <w:tcW w:w="80" w:type="dxa"/>
            <w:vAlign w:val="bottom"/>
            <w:tcBorders>
              <w:bottom w:val="single" w:sz="8" w:color="DBDBDB"/>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3,508,332</w:t>
            </w:r>
          </w:p>
        </w:tc>
        <w:tc>
          <w:tcPr>
            <w:tcW w:w="0" w:type="dxa"/>
            <w:vAlign w:val="bottom"/>
          </w:tcPr>
          <w:p>
            <w:pPr>
              <w:spacing w:after="0"/>
              <w:rPr>
                <w:sz w:val="1"/>
                <w:szCs w:val="1"/>
                <w:color w:val="auto"/>
              </w:rPr>
            </w:pPr>
          </w:p>
        </w:tc>
      </w:tr>
      <w:tr>
        <w:trPr>
          <w:trHeight w:val="158"/>
        </w:trPr>
        <w:tc>
          <w:tcPr>
            <w:tcW w:w="8060" w:type="dxa"/>
            <w:vAlign w:val="bottom"/>
            <w:shd w:val="clear" w:color="auto" w:fill="DBDBDB"/>
          </w:tcPr>
          <w:p>
            <w:pPr>
              <w:ind w:left="20"/>
              <w:spacing w:after="0"/>
              <w:rPr>
                <w:sz w:val="20"/>
                <w:szCs w:val="20"/>
                <w:color w:val="auto"/>
              </w:rPr>
            </w:pPr>
            <w:r>
              <w:rPr>
                <w:rFonts w:ascii="Arial" w:cs="Arial" w:eastAsia="Arial" w:hAnsi="Arial"/>
                <w:sz w:val="13"/>
                <w:szCs w:val="13"/>
                <w:color w:val="auto"/>
              </w:rPr>
              <w:t>Commitments and contingencies (see Note 17)</w:t>
            </w:r>
          </w:p>
        </w:tc>
        <w:tc>
          <w:tcPr>
            <w:tcW w:w="380" w:type="dxa"/>
            <w:vAlign w:val="bottom"/>
            <w:shd w:val="clear" w:color="auto" w:fill="DBDBDB"/>
          </w:tcPr>
          <w:p>
            <w:pPr>
              <w:spacing w:after="0"/>
              <w:rPr>
                <w:sz w:val="13"/>
                <w:szCs w:val="13"/>
                <w:color w:val="auto"/>
              </w:rPr>
            </w:pPr>
          </w:p>
        </w:tc>
        <w:tc>
          <w:tcPr>
            <w:tcW w:w="12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00" w:type="dxa"/>
            <w:vAlign w:val="bottom"/>
            <w:shd w:val="clear" w:color="auto" w:fill="DBDBDB"/>
          </w:tcPr>
          <w:p>
            <w:pPr>
              <w:spacing w:after="0"/>
              <w:rPr>
                <w:sz w:val="13"/>
                <w:szCs w:val="13"/>
                <w:color w:val="auto"/>
              </w:rPr>
            </w:pPr>
          </w:p>
        </w:tc>
        <w:tc>
          <w:tcPr>
            <w:tcW w:w="106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8060" w:type="dxa"/>
            <w:vAlign w:val="bottom"/>
          </w:tcPr>
          <w:p>
            <w:pPr>
              <w:ind w:left="200"/>
              <w:spacing w:after="0"/>
              <w:rPr>
                <w:sz w:val="20"/>
                <w:szCs w:val="20"/>
                <w:color w:val="auto"/>
              </w:rPr>
            </w:pPr>
            <w:r>
              <w:rPr>
                <w:rFonts w:ascii="Arial" w:cs="Arial" w:eastAsia="Arial" w:hAnsi="Arial"/>
                <w:sz w:val="13"/>
                <w:szCs w:val="13"/>
                <w:color w:val="auto"/>
              </w:rPr>
              <w:t>Preferred Stock: $0.0001 par, 1,000,000 shares authorized and zero shares issued and outstanding at December 31, 2021 and 2020</w:t>
            </w:r>
          </w:p>
        </w:tc>
        <w:tc>
          <w:tcPr>
            <w:tcW w:w="38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8060" w:type="dxa"/>
            <w:vAlign w:val="bottom"/>
            <w:shd w:val="clear" w:color="auto" w:fill="DBDBDB"/>
          </w:tcPr>
          <w:p>
            <w:pPr>
              <w:ind w:left="200"/>
              <w:spacing w:after="0" w:line="147" w:lineRule="exact"/>
              <w:rPr>
                <w:sz w:val="20"/>
                <w:szCs w:val="20"/>
                <w:color w:val="auto"/>
              </w:rPr>
            </w:pPr>
            <w:r>
              <w:rPr>
                <w:rFonts w:ascii="Arial" w:cs="Arial" w:eastAsia="Arial" w:hAnsi="Arial"/>
                <w:sz w:val="13"/>
                <w:szCs w:val="13"/>
                <w:color w:val="auto"/>
              </w:rPr>
              <w:t>Common Stock: $0.0001 par, 500,000,000 shares authorized and 223,939,527 and 229,038,158 shares issued and outstanding at</w:t>
            </w:r>
          </w:p>
        </w:tc>
        <w:tc>
          <w:tcPr>
            <w:tcW w:w="380" w:type="dxa"/>
            <w:vAlign w:val="bottom"/>
            <w:shd w:val="clear" w:color="auto" w:fill="DBDBDB"/>
          </w:tcPr>
          <w:p>
            <w:pPr>
              <w:spacing w:after="0"/>
              <w:rPr>
                <w:sz w:val="12"/>
                <w:szCs w:val="12"/>
                <w:color w:val="auto"/>
              </w:rPr>
            </w:pPr>
          </w:p>
        </w:tc>
        <w:tc>
          <w:tcPr>
            <w:tcW w:w="12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00" w:type="dxa"/>
            <w:vAlign w:val="bottom"/>
            <w:shd w:val="clear" w:color="auto" w:fill="DBDBDB"/>
          </w:tcPr>
          <w:p>
            <w:pPr>
              <w:spacing w:after="0"/>
              <w:rPr>
                <w:sz w:val="12"/>
                <w:szCs w:val="12"/>
                <w:color w:val="auto"/>
              </w:rPr>
            </w:pPr>
          </w:p>
        </w:tc>
        <w:tc>
          <w:tcPr>
            <w:tcW w:w="106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0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December 31, 2021 and December 31, 2020, respectively</w:t>
            </w:r>
          </w:p>
        </w:tc>
        <w:tc>
          <w:tcPr>
            <w:tcW w:w="380" w:type="dxa"/>
            <w:vAlign w:val="bottom"/>
            <w:shd w:val="clear" w:color="auto" w:fill="DBDBDB"/>
          </w:tcPr>
          <w:p>
            <w:pPr>
              <w:spacing w:after="0"/>
              <w:rPr>
                <w:sz w:val="14"/>
                <w:szCs w:val="14"/>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22</w:t>
            </w:r>
          </w:p>
        </w:tc>
        <w:tc>
          <w:tcPr>
            <w:tcW w:w="80" w:type="dxa"/>
            <w:vAlign w:val="bottom"/>
            <w:shd w:val="clear" w:color="auto" w:fill="DBDBDB"/>
          </w:tcPr>
          <w:p>
            <w:pPr>
              <w:spacing w:after="0"/>
              <w:rPr>
                <w:sz w:val="14"/>
                <w:szCs w:val="14"/>
                <w:color w:val="auto"/>
              </w:rPr>
            </w:pPr>
          </w:p>
        </w:tc>
        <w:tc>
          <w:tcPr>
            <w:tcW w:w="500" w:type="dxa"/>
            <w:vAlign w:val="bottom"/>
            <w:shd w:val="clear" w:color="auto" w:fill="DBDBDB"/>
          </w:tcPr>
          <w:p>
            <w:pPr>
              <w:spacing w:after="0"/>
              <w:rPr>
                <w:sz w:val="14"/>
                <w:szCs w:val="14"/>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72"/>
        </w:trPr>
        <w:tc>
          <w:tcPr>
            <w:tcW w:w="8060" w:type="dxa"/>
            <w:vAlign w:val="bottom"/>
          </w:tcPr>
          <w:p>
            <w:pPr>
              <w:ind w:left="200"/>
              <w:spacing w:after="0"/>
              <w:rPr>
                <w:sz w:val="20"/>
                <w:szCs w:val="20"/>
                <w:color w:val="auto"/>
              </w:rPr>
            </w:pPr>
            <w:r>
              <w:rPr>
                <w:rFonts w:ascii="Arial" w:cs="Arial" w:eastAsia="Arial" w:hAnsi="Arial"/>
                <w:sz w:val="13"/>
                <w:szCs w:val="13"/>
                <w:color w:val="auto"/>
              </w:rPr>
              <w:t>Additional paid-in-capital</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3,616,902</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3,852,291</w:t>
            </w:r>
          </w:p>
        </w:tc>
        <w:tc>
          <w:tcPr>
            <w:tcW w:w="0" w:type="dxa"/>
            <w:vAlign w:val="bottom"/>
          </w:tcPr>
          <w:p>
            <w:pPr>
              <w:spacing w:after="0"/>
              <w:rPr>
                <w:sz w:val="1"/>
                <w:szCs w:val="1"/>
                <w:color w:val="auto"/>
              </w:rPr>
            </w:pPr>
          </w:p>
        </w:tc>
      </w:tr>
      <w:tr>
        <w:trPr>
          <w:trHeight w:val="178"/>
        </w:trPr>
        <w:tc>
          <w:tcPr>
            <w:tcW w:w="80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Accumulated other comprehensive loss</w:t>
            </w:r>
          </w:p>
        </w:tc>
        <w:tc>
          <w:tcPr>
            <w:tcW w:w="380" w:type="dxa"/>
            <w:vAlign w:val="bottom"/>
            <w:shd w:val="clear" w:color="auto" w:fill="DBDBDB"/>
          </w:tcPr>
          <w:p>
            <w:pPr>
              <w:spacing w:after="0"/>
              <w:rPr>
                <w:sz w:val="15"/>
                <w:szCs w:val="15"/>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(29,071)</w:t>
            </w:r>
          </w:p>
        </w:tc>
        <w:tc>
          <w:tcPr>
            <w:tcW w:w="80" w:type="dxa"/>
            <w:vAlign w:val="bottom"/>
            <w:shd w:val="clear" w:color="auto" w:fill="DBDBDB"/>
          </w:tcPr>
          <w:p>
            <w:pPr>
              <w:spacing w:after="0"/>
              <w:rPr>
                <w:sz w:val="15"/>
                <w:szCs w:val="15"/>
                <w:color w:val="auto"/>
              </w:rPr>
            </w:pPr>
          </w:p>
        </w:tc>
        <w:tc>
          <w:tcPr>
            <w:tcW w:w="500" w:type="dxa"/>
            <w:vAlign w:val="bottom"/>
            <w:shd w:val="clear" w:color="auto" w:fill="DBDBDB"/>
          </w:tcPr>
          <w:p>
            <w:pPr>
              <w:spacing w:after="0"/>
              <w:rPr>
                <w:sz w:val="15"/>
                <w:szCs w:val="15"/>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(37,207)</w:t>
            </w:r>
          </w:p>
        </w:tc>
        <w:tc>
          <w:tcPr>
            <w:tcW w:w="0" w:type="dxa"/>
            <w:vAlign w:val="bottom"/>
          </w:tcPr>
          <w:p>
            <w:pPr>
              <w:spacing w:after="0"/>
              <w:rPr>
                <w:sz w:val="1"/>
                <w:szCs w:val="1"/>
                <w:color w:val="auto"/>
              </w:rPr>
            </w:pPr>
          </w:p>
        </w:tc>
      </w:tr>
      <w:tr>
        <w:trPr>
          <w:trHeight w:val="172"/>
        </w:trPr>
        <w:tc>
          <w:tcPr>
            <w:tcW w:w="8060" w:type="dxa"/>
            <w:vAlign w:val="bottom"/>
            <w:tcBorders>
              <w:bottom w:val="single" w:sz="8" w:color="DBDBDB"/>
            </w:tcBorders>
          </w:tcPr>
          <w:p>
            <w:pPr>
              <w:ind w:left="200"/>
              <w:spacing w:after="0"/>
              <w:rPr>
                <w:sz w:val="20"/>
                <w:szCs w:val="20"/>
                <w:color w:val="auto"/>
              </w:rPr>
            </w:pPr>
            <w:r>
              <w:rPr>
                <w:rFonts w:ascii="Arial" w:cs="Arial" w:eastAsia="Arial" w:hAnsi="Arial"/>
                <w:sz w:val="13"/>
                <w:szCs w:val="13"/>
                <w:color w:val="auto"/>
              </w:rPr>
              <w:t>Accumulated deficit</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(1,591,090)</w:t>
            </w:r>
          </w:p>
        </w:tc>
        <w:tc>
          <w:tcPr>
            <w:tcW w:w="80" w:type="dxa"/>
            <w:vAlign w:val="bottom"/>
            <w:tcBorders>
              <w:bottom w:val="single" w:sz="8" w:color="DBDBDB"/>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(1,751,234)</w:t>
            </w:r>
          </w:p>
        </w:tc>
        <w:tc>
          <w:tcPr>
            <w:tcW w:w="0" w:type="dxa"/>
            <w:vAlign w:val="bottom"/>
          </w:tcPr>
          <w:p>
            <w:pPr>
              <w:spacing w:after="0"/>
              <w:rPr>
                <w:sz w:val="1"/>
                <w:szCs w:val="1"/>
                <w:color w:val="auto"/>
              </w:rPr>
            </w:pPr>
          </w:p>
        </w:tc>
      </w:tr>
      <w:tr>
        <w:trPr>
          <w:trHeight w:val="166"/>
        </w:trPr>
        <w:tc>
          <w:tcPr>
            <w:tcW w:w="8060" w:type="dxa"/>
            <w:vAlign w:val="bottom"/>
            <w:shd w:val="clear" w:color="auto" w:fill="DBDBDB"/>
          </w:tcPr>
          <w:p>
            <w:pPr>
              <w:ind w:left="20"/>
              <w:spacing w:after="0"/>
              <w:rPr>
                <w:sz w:val="20"/>
                <w:szCs w:val="20"/>
                <w:color w:val="auto"/>
              </w:rPr>
            </w:pPr>
            <w:r>
              <w:rPr>
                <w:rFonts w:ascii="Arial" w:cs="Arial" w:eastAsia="Arial" w:hAnsi="Arial"/>
                <w:sz w:val="13"/>
                <w:szCs w:val="13"/>
                <w:color w:val="auto"/>
              </w:rPr>
              <w:t>Total shareholders' equity</w:t>
            </w:r>
          </w:p>
        </w:tc>
        <w:tc>
          <w:tcPr>
            <w:tcW w:w="380" w:type="dxa"/>
            <w:vAlign w:val="bottom"/>
            <w:tcBorders>
              <w:bottom w:val="single" w:sz="8" w:color="auto"/>
            </w:tcBorders>
            <w:shd w:val="clear" w:color="auto" w:fill="DBDBDB"/>
          </w:tcPr>
          <w:p>
            <w:pPr>
              <w:spacing w:after="0"/>
              <w:rPr>
                <w:sz w:val="14"/>
                <w:szCs w:val="14"/>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1,996,763</w:t>
            </w:r>
          </w:p>
        </w:tc>
        <w:tc>
          <w:tcPr>
            <w:tcW w:w="80" w:type="dxa"/>
            <w:vAlign w:val="bottom"/>
            <w:shd w:val="clear" w:color="auto" w:fill="DBDBDB"/>
          </w:tcPr>
          <w:p>
            <w:pPr>
              <w:spacing w:after="0"/>
              <w:rPr>
                <w:sz w:val="14"/>
                <w:szCs w:val="14"/>
                <w:color w:val="auto"/>
              </w:rPr>
            </w:pPr>
          </w:p>
        </w:tc>
        <w:tc>
          <w:tcPr>
            <w:tcW w:w="500" w:type="dxa"/>
            <w:vAlign w:val="bottom"/>
            <w:tcBorders>
              <w:bottom w:val="single" w:sz="8" w:color="auto"/>
            </w:tcBorders>
            <w:shd w:val="clear" w:color="auto" w:fill="DBDBDB"/>
          </w:tcPr>
          <w:p>
            <w:pPr>
              <w:spacing w:after="0"/>
              <w:rPr>
                <w:sz w:val="14"/>
                <w:szCs w:val="14"/>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2,063,873</w:t>
            </w:r>
          </w:p>
        </w:tc>
        <w:tc>
          <w:tcPr>
            <w:tcW w:w="0" w:type="dxa"/>
            <w:vAlign w:val="bottom"/>
          </w:tcPr>
          <w:p>
            <w:pPr>
              <w:spacing w:after="0"/>
              <w:rPr>
                <w:sz w:val="1"/>
                <w:szCs w:val="1"/>
                <w:color w:val="auto"/>
              </w:rPr>
            </w:pPr>
          </w:p>
        </w:tc>
      </w:tr>
      <w:tr>
        <w:trPr>
          <w:trHeight w:val="169"/>
        </w:trPr>
        <w:tc>
          <w:tcPr>
            <w:tcW w:w="8060" w:type="dxa"/>
            <w:vAlign w:val="bottom"/>
          </w:tcPr>
          <w:p>
            <w:pPr>
              <w:ind w:left="20"/>
              <w:spacing w:after="0"/>
              <w:rPr>
                <w:sz w:val="20"/>
                <w:szCs w:val="20"/>
                <w:color w:val="auto"/>
              </w:rPr>
            </w:pPr>
            <w:r>
              <w:rPr>
                <w:rFonts w:ascii="Arial" w:cs="Arial" w:eastAsia="Arial" w:hAnsi="Arial"/>
                <w:sz w:val="13"/>
                <w:szCs w:val="13"/>
                <w:color w:val="auto"/>
              </w:rPr>
              <w:t>Total liabilities and shareholders' equity</w:t>
            </w:r>
          </w:p>
        </w:tc>
        <w:tc>
          <w:tcPr>
            <w:tcW w:w="38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5,773,599</w:t>
            </w:r>
          </w:p>
        </w:tc>
        <w:tc>
          <w:tcPr>
            <w:tcW w:w="80" w:type="dxa"/>
            <w:vAlign w:val="bottom"/>
          </w:tcPr>
          <w:p>
            <w:pPr>
              <w:spacing w:after="0"/>
              <w:rPr>
                <w:sz w:val="14"/>
                <w:szCs w:val="14"/>
                <w:color w:val="auto"/>
              </w:rPr>
            </w:pPr>
          </w:p>
        </w:tc>
        <w:tc>
          <w:tcPr>
            <w:tcW w:w="500" w:type="dxa"/>
            <w:vAlign w:val="bottom"/>
            <w:tcBorders>
              <w:bottom w:val="single" w:sz="8" w:color="auto"/>
            </w:tcBorders>
          </w:tcPr>
          <w:p>
            <w:pPr>
              <w:jc w:val="right"/>
              <w:ind w:right="354"/>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5,572,205</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5" w:lineRule="exact"/>
        <w:rPr>
          <w:sz w:val="20"/>
          <w:szCs w:val="20"/>
          <w:color w:val="auto"/>
        </w:rPr>
      </w:pPr>
    </w:p>
    <w:p>
      <w:pPr>
        <w:jc w:val="center"/>
        <w:spacing w:after="0"/>
        <w:rPr>
          <w:sz w:val="20"/>
          <w:szCs w:val="20"/>
          <w:color w:val="auto"/>
        </w:rPr>
      </w:pPr>
      <w:r>
        <w:rPr>
          <w:rFonts w:ascii="Arial" w:cs="Arial" w:eastAsia="Arial" w:hAnsi="Arial"/>
          <w:sz w:val="10"/>
          <w:szCs w:val="10"/>
          <w:i w:val="1"/>
          <w:iCs w:val="1"/>
          <w:color w:val="auto"/>
        </w:rPr>
        <w:t>See the accompanying notes which are an integral part of these consolidated financial statements.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667" w:right="319" w:bottom="1440" w:gutter="0" w:footer="0" w:header="0"/>
        </w:sectPr>
      </w:pPr>
    </w:p>
    <w:bookmarkStart w:id="72" w:name="page73"/>
    <w:bookmarkEnd w:id="72"/>
    <w:p>
      <w:pPr>
        <w:jc w:val="center"/>
        <w:spacing w:after="0"/>
        <w:rPr>
          <w:sz w:val="20"/>
          <w:szCs w:val="20"/>
          <w:color w:val="auto"/>
        </w:rPr>
      </w:pPr>
      <w:r>
        <w:rPr>
          <w:rFonts w:ascii="Arial" w:cs="Arial" w:eastAsia="Arial" w:hAnsi="Arial"/>
          <w:sz w:val="19"/>
          <w:szCs w:val="19"/>
          <w:color w:val="1D2758"/>
        </w:rPr>
        <w:t>WillScot Mobile Mini Holdings Corp.</w:t>
      </w:r>
    </w:p>
    <w:p>
      <w:pPr>
        <w:jc w:val="center"/>
        <w:spacing w:after="0"/>
        <w:rPr>
          <w:sz w:val="20"/>
          <w:szCs w:val="20"/>
          <w:color w:val="auto"/>
        </w:rPr>
      </w:pPr>
      <w:r>
        <w:rPr>
          <w:rFonts w:ascii="Arial" w:cs="Arial" w:eastAsia="Arial" w:hAnsi="Arial"/>
          <w:sz w:val="19"/>
          <w:szCs w:val="19"/>
          <w:color w:val="1D2758"/>
        </w:rPr>
        <w:t>Consolidated Statements of Operations</w:t>
      </w:r>
    </w:p>
    <w:p>
      <w:pPr>
        <w:jc w:val="center"/>
        <w:spacing w:after="0"/>
        <w:rPr>
          <w:sz w:val="20"/>
          <w:szCs w:val="20"/>
          <w:color w:val="auto"/>
        </w:rPr>
      </w:pPr>
      <w:r>
        <w:rPr>
          <w:rFonts w:ascii="Arial" w:cs="Arial" w:eastAsia="Arial" w:hAnsi="Arial"/>
          <w:sz w:val="19"/>
          <w:szCs w:val="19"/>
          <w:color w:val="1D2758"/>
        </w:rPr>
        <w:t>(in thousands, except share and per share data)</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020" w:type="dxa"/>
            <w:vAlign w:val="bottom"/>
            <w:shd w:val="clear" w:color="auto" w:fill="1D2758"/>
          </w:tcPr>
          <w:p>
            <w:pPr>
              <w:spacing w:after="0"/>
              <w:rPr>
                <w:sz w:val="14"/>
                <w:szCs w:val="14"/>
                <w:color w:val="auto"/>
              </w:rPr>
            </w:pPr>
          </w:p>
        </w:tc>
        <w:tc>
          <w:tcPr>
            <w:tcW w:w="400" w:type="dxa"/>
            <w:vAlign w:val="bottom"/>
            <w:shd w:val="clear" w:color="auto" w:fill="1D2758"/>
          </w:tcPr>
          <w:p>
            <w:pPr>
              <w:spacing w:after="0"/>
              <w:rPr>
                <w:sz w:val="14"/>
                <w:szCs w:val="14"/>
                <w:color w:val="auto"/>
              </w:rPr>
            </w:pPr>
          </w:p>
        </w:tc>
        <w:tc>
          <w:tcPr>
            <w:tcW w:w="130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1780" w:type="dxa"/>
            <w:vAlign w:val="bottom"/>
            <w:gridSpan w:val="3"/>
            <w:shd w:val="clear" w:color="auto" w:fill="1D2758"/>
          </w:tcPr>
          <w:p>
            <w:pPr>
              <w:ind w:left="20"/>
              <w:spacing w:after="0"/>
              <w:rPr>
                <w:sz w:val="20"/>
                <w:szCs w:val="20"/>
                <w:color w:val="auto"/>
              </w:rPr>
            </w:pPr>
            <w:r>
              <w:rPr>
                <w:rFonts w:ascii="Arial" w:cs="Arial" w:eastAsia="Arial" w:hAnsi="Arial"/>
                <w:sz w:val="13"/>
                <w:szCs w:val="13"/>
                <w:b w:val="1"/>
                <w:bCs w:val="1"/>
                <w:color w:val="FFFFFF"/>
              </w:rPr>
              <w:t>Years Ended December 31,</w:t>
            </w:r>
          </w:p>
        </w:tc>
        <w:tc>
          <w:tcPr>
            <w:tcW w:w="400" w:type="dxa"/>
            <w:vAlign w:val="bottom"/>
            <w:shd w:val="clear" w:color="auto" w:fill="1D2758"/>
          </w:tcPr>
          <w:p>
            <w:pPr>
              <w:spacing w:after="0"/>
              <w:rPr>
                <w:sz w:val="14"/>
                <w:szCs w:val="14"/>
                <w:color w:val="auto"/>
              </w:rPr>
            </w:pPr>
          </w:p>
        </w:tc>
        <w:tc>
          <w:tcPr>
            <w:tcW w:w="1300" w:type="dxa"/>
            <w:vAlign w:val="bottom"/>
            <w:shd w:val="clear" w:color="auto" w:fill="1D2758"/>
          </w:tcPr>
          <w:p>
            <w:pPr>
              <w:spacing w:after="0"/>
              <w:rPr>
                <w:sz w:val="14"/>
                <w:szCs w:val="14"/>
                <w:color w:val="auto"/>
              </w:rPr>
            </w:pPr>
          </w:p>
        </w:tc>
      </w:tr>
      <w:tr>
        <w:trPr>
          <w:trHeight w:val="175"/>
        </w:trPr>
        <w:tc>
          <w:tcPr>
            <w:tcW w:w="6020" w:type="dxa"/>
            <w:vAlign w:val="bottom"/>
            <w:shd w:val="clear" w:color="auto" w:fill="1D2758"/>
          </w:tcPr>
          <w:p>
            <w:pPr>
              <w:spacing w:after="0"/>
              <w:rPr>
                <w:sz w:val="15"/>
                <w:szCs w:val="15"/>
                <w:color w:val="auto"/>
              </w:rPr>
            </w:pPr>
          </w:p>
        </w:tc>
        <w:tc>
          <w:tcPr>
            <w:tcW w:w="400" w:type="dxa"/>
            <w:vAlign w:val="bottom"/>
            <w:shd w:val="clear" w:color="auto" w:fill="1D2758"/>
          </w:tcPr>
          <w:p>
            <w:pPr>
              <w:spacing w:after="0"/>
              <w:rPr>
                <w:sz w:val="15"/>
                <w:szCs w:val="15"/>
                <w:color w:val="auto"/>
              </w:rPr>
            </w:pPr>
          </w:p>
        </w:tc>
        <w:tc>
          <w:tcPr>
            <w:tcW w:w="1300" w:type="dxa"/>
            <w:vAlign w:val="bottom"/>
            <w:shd w:val="clear" w:color="auto" w:fill="1D2758"/>
          </w:tcPr>
          <w:p>
            <w:pPr>
              <w:jc w:val="right"/>
              <w:ind w:right="634"/>
              <w:spacing w:after="0"/>
              <w:rPr>
                <w:sz w:val="20"/>
                <w:szCs w:val="20"/>
                <w:color w:val="auto"/>
              </w:rPr>
            </w:pPr>
            <w:r>
              <w:rPr>
                <w:rFonts w:ascii="Arial" w:cs="Arial" w:eastAsia="Arial" w:hAnsi="Arial"/>
                <w:sz w:val="13"/>
                <w:szCs w:val="13"/>
                <w:b w:val="1"/>
                <w:bCs w:val="1"/>
                <w:color w:val="FFFFFF"/>
              </w:rPr>
              <w:t>2021</w:t>
            </w:r>
          </w:p>
        </w:tc>
        <w:tc>
          <w:tcPr>
            <w:tcW w:w="80" w:type="dxa"/>
            <w:vAlign w:val="bottom"/>
            <w:shd w:val="clear" w:color="auto" w:fill="1D2758"/>
          </w:tcPr>
          <w:p>
            <w:pPr>
              <w:spacing w:after="0"/>
              <w:rPr>
                <w:sz w:val="15"/>
                <w:szCs w:val="15"/>
                <w:color w:val="auto"/>
              </w:rPr>
            </w:pPr>
          </w:p>
        </w:tc>
        <w:tc>
          <w:tcPr>
            <w:tcW w:w="400" w:type="dxa"/>
            <w:vAlign w:val="bottom"/>
            <w:shd w:val="clear" w:color="auto" w:fill="1D2758"/>
          </w:tcPr>
          <w:p>
            <w:pPr>
              <w:spacing w:after="0"/>
              <w:rPr>
                <w:sz w:val="15"/>
                <w:szCs w:val="15"/>
                <w:color w:val="auto"/>
              </w:rPr>
            </w:pPr>
          </w:p>
        </w:tc>
        <w:tc>
          <w:tcPr>
            <w:tcW w:w="1300" w:type="dxa"/>
            <w:vAlign w:val="bottom"/>
            <w:shd w:val="clear" w:color="auto" w:fill="1D2758"/>
          </w:tcPr>
          <w:p>
            <w:pPr>
              <w:jc w:val="right"/>
              <w:ind w:right="634"/>
              <w:spacing w:after="0"/>
              <w:rPr>
                <w:sz w:val="20"/>
                <w:szCs w:val="20"/>
                <w:color w:val="auto"/>
              </w:rPr>
            </w:pPr>
            <w:r>
              <w:rPr>
                <w:rFonts w:ascii="Arial" w:cs="Arial" w:eastAsia="Arial" w:hAnsi="Arial"/>
                <w:sz w:val="13"/>
                <w:szCs w:val="13"/>
                <w:b w:val="1"/>
                <w:bCs w:val="1"/>
                <w:color w:val="FFFFFF"/>
              </w:rPr>
              <w:t>2020</w:t>
            </w:r>
          </w:p>
        </w:tc>
        <w:tc>
          <w:tcPr>
            <w:tcW w:w="80" w:type="dxa"/>
            <w:vAlign w:val="bottom"/>
            <w:shd w:val="clear" w:color="auto" w:fill="1D2758"/>
          </w:tcPr>
          <w:p>
            <w:pPr>
              <w:spacing w:after="0"/>
              <w:rPr>
                <w:sz w:val="15"/>
                <w:szCs w:val="15"/>
                <w:color w:val="auto"/>
              </w:rPr>
            </w:pPr>
          </w:p>
        </w:tc>
        <w:tc>
          <w:tcPr>
            <w:tcW w:w="400" w:type="dxa"/>
            <w:vAlign w:val="bottom"/>
            <w:shd w:val="clear" w:color="auto" w:fill="1D2758"/>
          </w:tcPr>
          <w:p>
            <w:pPr>
              <w:spacing w:after="0"/>
              <w:rPr>
                <w:sz w:val="15"/>
                <w:szCs w:val="15"/>
                <w:color w:val="auto"/>
              </w:rPr>
            </w:pPr>
          </w:p>
        </w:tc>
        <w:tc>
          <w:tcPr>
            <w:tcW w:w="1300" w:type="dxa"/>
            <w:vAlign w:val="bottom"/>
            <w:shd w:val="clear" w:color="auto" w:fill="1D2758"/>
          </w:tcPr>
          <w:p>
            <w:pPr>
              <w:jc w:val="right"/>
              <w:ind w:right="634"/>
              <w:spacing w:after="0"/>
              <w:rPr>
                <w:sz w:val="20"/>
                <w:szCs w:val="20"/>
                <w:color w:val="auto"/>
              </w:rPr>
            </w:pPr>
            <w:r>
              <w:rPr>
                <w:rFonts w:ascii="Arial" w:cs="Arial" w:eastAsia="Arial" w:hAnsi="Arial"/>
                <w:sz w:val="13"/>
                <w:szCs w:val="13"/>
                <w:b w:val="1"/>
                <w:bCs w:val="1"/>
                <w:color w:val="FFFFFF"/>
              </w:rPr>
              <w:t>2019</w:t>
            </w:r>
          </w:p>
        </w:tc>
      </w:tr>
      <w:tr>
        <w:trPr>
          <w:trHeight w:val="175"/>
        </w:trPr>
        <w:tc>
          <w:tcPr>
            <w:tcW w:w="6020" w:type="dxa"/>
            <w:vAlign w:val="bottom"/>
            <w:shd w:val="clear" w:color="auto" w:fill="DBDBDB"/>
          </w:tcPr>
          <w:p>
            <w:pPr>
              <w:ind w:left="20"/>
              <w:spacing w:after="0"/>
              <w:rPr>
                <w:sz w:val="20"/>
                <w:szCs w:val="20"/>
                <w:color w:val="auto"/>
              </w:rPr>
            </w:pPr>
            <w:r>
              <w:rPr>
                <w:rFonts w:ascii="Arial" w:cs="Arial" w:eastAsia="Arial" w:hAnsi="Arial"/>
                <w:sz w:val="13"/>
                <w:szCs w:val="13"/>
                <w:color w:val="auto"/>
              </w:rPr>
              <w:t>Revenues:</w:t>
            </w: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r>
      <w:tr>
        <w:trPr>
          <w:trHeight w:val="172"/>
        </w:trPr>
        <w:tc>
          <w:tcPr>
            <w:tcW w:w="6020" w:type="dxa"/>
            <w:vAlign w:val="bottom"/>
          </w:tcPr>
          <w:p>
            <w:pPr>
              <w:ind w:left="200"/>
              <w:spacing w:after="0"/>
              <w:rPr>
                <w:sz w:val="20"/>
                <w:szCs w:val="20"/>
                <w:color w:val="auto"/>
              </w:rPr>
            </w:pPr>
            <w:r>
              <w:rPr>
                <w:rFonts w:ascii="Arial" w:cs="Arial" w:eastAsia="Arial" w:hAnsi="Arial"/>
                <w:sz w:val="13"/>
                <w:szCs w:val="13"/>
                <w:color w:val="auto"/>
              </w:rPr>
              <w:t>Leasing and services revenue:</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8"/>
        </w:trPr>
        <w:tc>
          <w:tcPr>
            <w:tcW w:w="6020" w:type="dxa"/>
            <w:vAlign w:val="bottom"/>
            <w:shd w:val="clear" w:color="auto" w:fill="DBDBDB"/>
          </w:tcPr>
          <w:p>
            <w:pPr>
              <w:ind w:left="380"/>
              <w:spacing w:after="0"/>
              <w:rPr>
                <w:sz w:val="20"/>
                <w:szCs w:val="20"/>
                <w:color w:val="auto"/>
              </w:rPr>
            </w:pPr>
            <w:r>
              <w:rPr>
                <w:rFonts w:ascii="Arial" w:cs="Arial" w:eastAsia="Arial" w:hAnsi="Arial"/>
                <w:sz w:val="13"/>
                <w:szCs w:val="13"/>
                <w:color w:val="auto"/>
              </w:rPr>
              <w:t>Leasing</w:t>
            </w:r>
          </w:p>
        </w:tc>
        <w:tc>
          <w:tcPr>
            <w:tcW w:w="400" w:type="dxa"/>
            <w:vAlign w:val="bottom"/>
            <w:shd w:val="clear" w:color="auto" w:fill="DBDBDB"/>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1,412,123</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ind w:left="20"/>
              <w:spacing w:after="0"/>
              <w:rPr>
                <w:sz w:val="20"/>
                <w:szCs w:val="20"/>
                <w:color w:val="auto"/>
              </w:rPr>
            </w:pPr>
            <w:r>
              <w:rPr>
                <w:rFonts w:ascii="Arial" w:cs="Arial" w:eastAsia="Arial" w:hAnsi="Arial"/>
                <w:sz w:val="13"/>
                <w:szCs w:val="13"/>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1,001,447</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744,185</w:t>
            </w:r>
          </w:p>
        </w:tc>
      </w:tr>
      <w:tr>
        <w:trPr>
          <w:trHeight w:val="172"/>
        </w:trPr>
        <w:tc>
          <w:tcPr>
            <w:tcW w:w="6020" w:type="dxa"/>
            <w:vAlign w:val="bottom"/>
          </w:tcPr>
          <w:p>
            <w:pPr>
              <w:ind w:left="380"/>
              <w:spacing w:after="0"/>
              <w:rPr>
                <w:sz w:val="20"/>
                <w:szCs w:val="20"/>
                <w:color w:val="auto"/>
              </w:rPr>
            </w:pPr>
            <w:r>
              <w:rPr>
                <w:rFonts w:ascii="Arial" w:cs="Arial" w:eastAsia="Arial" w:hAnsi="Arial"/>
                <w:sz w:val="13"/>
                <w:szCs w:val="13"/>
                <w:color w:val="auto"/>
              </w:rPr>
              <w:t>Delivery and installation</w:t>
            </w: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374,682</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274,156</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220,057</w:t>
            </w:r>
          </w:p>
        </w:tc>
      </w:tr>
      <w:tr>
        <w:trPr>
          <w:trHeight w:val="178"/>
        </w:trPr>
        <w:tc>
          <w:tcPr>
            <w:tcW w:w="6020" w:type="dxa"/>
            <w:vAlign w:val="bottom"/>
            <w:shd w:val="clear" w:color="auto" w:fill="DBDBDB"/>
          </w:tcPr>
          <w:p>
            <w:pPr>
              <w:ind w:left="200"/>
              <w:spacing w:after="0"/>
              <w:rPr>
                <w:sz w:val="20"/>
                <w:szCs w:val="20"/>
                <w:color w:val="auto"/>
              </w:rPr>
            </w:pPr>
            <w:r>
              <w:rPr>
                <w:rFonts w:ascii="Arial" w:cs="Arial" w:eastAsia="Arial" w:hAnsi="Arial"/>
                <w:sz w:val="13"/>
                <w:szCs w:val="13"/>
                <w:color w:val="auto"/>
              </w:rPr>
              <w:t>Sales revenue:</w:t>
            </w: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r>
      <w:tr>
        <w:trPr>
          <w:trHeight w:val="172"/>
        </w:trPr>
        <w:tc>
          <w:tcPr>
            <w:tcW w:w="6020" w:type="dxa"/>
            <w:vAlign w:val="bottom"/>
          </w:tcPr>
          <w:p>
            <w:pPr>
              <w:ind w:left="380"/>
              <w:spacing w:after="0"/>
              <w:rPr>
                <w:sz w:val="20"/>
                <w:szCs w:val="20"/>
                <w:color w:val="auto"/>
              </w:rPr>
            </w:pPr>
            <w:r>
              <w:rPr>
                <w:rFonts w:ascii="Arial" w:cs="Arial" w:eastAsia="Arial" w:hAnsi="Arial"/>
                <w:sz w:val="13"/>
                <w:szCs w:val="13"/>
                <w:color w:val="auto"/>
              </w:rPr>
              <w:t>New units</w:t>
            </w: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52,882</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53,093</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59,085</w:t>
            </w:r>
          </w:p>
        </w:tc>
      </w:tr>
      <w:tr>
        <w:trPr>
          <w:trHeight w:val="175"/>
        </w:trPr>
        <w:tc>
          <w:tcPr>
            <w:tcW w:w="6020" w:type="dxa"/>
            <w:vAlign w:val="bottom"/>
            <w:shd w:val="clear" w:color="auto" w:fill="DBDBDB"/>
          </w:tcPr>
          <w:p>
            <w:pPr>
              <w:ind w:left="380"/>
              <w:spacing w:after="0"/>
              <w:rPr>
                <w:sz w:val="20"/>
                <w:szCs w:val="20"/>
                <w:color w:val="auto"/>
              </w:rPr>
            </w:pPr>
            <w:r>
              <w:rPr>
                <w:rFonts w:ascii="Arial" w:cs="Arial" w:eastAsia="Arial" w:hAnsi="Arial"/>
                <w:sz w:val="13"/>
                <w:szCs w:val="13"/>
                <w:color w:val="auto"/>
              </w:rPr>
              <w:t>Rental units</w:t>
            </w:r>
          </w:p>
        </w:tc>
        <w:tc>
          <w:tcPr>
            <w:tcW w:w="400" w:type="dxa"/>
            <w:vAlign w:val="bottom"/>
            <w:tcBorders>
              <w:bottom w:val="single" w:sz="8" w:color="auto"/>
            </w:tcBorders>
            <w:shd w:val="clear" w:color="auto" w:fill="DBDBDB"/>
          </w:tcPr>
          <w:p>
            <w:pPr>
              <w:spacing w:after="0"/>
              <w:rPr>
                <w:sz w:val="15"/>
                <w:szCs w:val="15"/>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55,210</w:t>
            </w:r>
          </w:p>
        </w:tc>
        <w:tc>
          <w:tcPr>
            <w:tcW w:w="80" w:type="dxa"/>
            <w:vAlign w:val="bottom"/>
            <w:shd w:val="clear" w:color="auto" w:fill="DBDBDB"/>
          </w:tcPr>
          <w:p>
            <w:pPr>
              <w:spacing w:after="0"/>
              <w:rPr>
                <w:sz w:val="15"/>
                <w:szCs w:val="15"/>
                <w:color w:val="auto"/>
              </w:rPr>
            </w:pPr>
          </w:p>
        </w:tc>
        <w:tc>
          <w:tcPr>
            <w:tcW w:w="400" w:type="dxa"/>
            <w:vAlign w:val="bottom"/>
            <w:tcBorders>
              <w:bottom w:val="single" w:sz="8" w:color="auto"/>
            </w:tcBorders>
            <w:shd w:val="clear" w:color="auto" w:fill="DBDBDB"/>
          </w:tcPr>
          <w:p>
            <w:pPr>
              <w:spacing w:after="0"/>
              <w:rPr>
                <w:sz w:val="15"/>
                <w:szCs w:val="15"/>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38,949</w:t>
            </w:r>
          </w:p>
        </w:tc>
        <w:tc>
          <w:tcPr>
            <w:tcW w:w="80" w:type="dxa"/>
            <w:vAlign w:val="bottom"/>
            <w:shd w:val="clear" w:color="auto" w:fill="DBDBDB"/>
          </w:tcPr>
          <w:p>
            <w:pPr>
              <w:spacing w:after="0"/>
              <w:rPr>
                <w:sz w:val="15"/>
                <w:szCs w:val="15"/>
                <w:color w:val="auto"/>
              </w:rPr>
            </w:pPr>
          </w:p>
        </w:tc>
        <w:tc>
          <w:tcPr>
            <w:tcW w:w="400" w:type="dxa"/>
            <w:vAlign w:val="bottom"/>
            <w:tcBorders>
              <w:bottom w:val="single" w:sz="8" w:color="auto"/>
            </w:tcBorders>
            <w:shd w:val="clear" w:color="auto" w:fill="DBDBDB"/>
          </w:tcPr>
          <w:p>
            <w:pPr>
              <w:spacing w:after="0"/>
              <w:rPr>
                <w:sz w:val="15"/>
                <w:szCs w:val="15"/>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40,338</w:t>
            </w:r>
          </w:p>
        </w:tc>
      </w:tr>
      <w:tr>
        <w:trPr>
          <w:trHeight w:val="166"/>
        </w:trPr>
        <w:tc>
          <w:tcPr>
            <w:tcW w:w="6020" w:type="dxa"/>
            <w:vAlign w:val="bottom"/>
          </w:tcPr>
          <w:p>
            <w:pPr>
              <w:ind w:left="540"/>
              <w:spacing w:after="0"/>
              <w:rPr>
                <w:sz w:val="20"/>
                <w:szCs w:val="20"/>
                <w:color w:val="auto"/>
              </w:rPr>
            </w:pPr>
            <w:r>
              <w:rPr>
                <w:rFonts w:ascii="Arial" w:cs="Arial" w:eastAsia="Arial" w:hAnsi="Arial"/>
                <w:sz w:val="13"/>
                <w:szCs w:val="13"/>
                <w:color w:val="auto"/>
              </w:rPr>
              <w:t>Total revenues</w:t>
            </w: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1,894,897</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1,367,645</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1,063,665</w:t>
            </w:r>
          </w:p>
        </w:tc>
      </w:tr>
      <w:tr>
        <w:trPr>
          <w:trHeight w:val="178"/>
        </w:trPr>
        <w:tc>
          <w:tcPr>
            <w:tcW w:w="6020" w:type="dxa"/>
            <w:vAlign w:val="bottom"/>
            <w:shd w:val="clear" w:color="auto" w:fill="DBDBDB"/>
          </w:tcPr>
          <w:p>
            <w:pPr>
              <w:ind w:left="20"/>
              <w:spacing w:after="0"/>
              <w:rPr>
                <w:sz w:val="20"/>
                <w:szCs w:val="20"/>
                <w:color w:val="auto"/>
              </w:rPr>
            </w:pPr>
            <w:r>
              <w:rPr>
                <w:rFonts w:ascii="Arial" w:cs="Arial" w:eastAsia="Arial" w:hAnsi="Arial"/>
                <w:sz w:val="13"/>
                <w:szCs w:val="13"/>
                <w:color w:val="auto"/>
              </w:rPr>
              <w:t>Costs:</w:t>
            </w: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r>
      <w:tr>
        <w:trPr>
          <w:trHeight w:val="172"/>
        </w:trPr>
        <w:tc>
          <w:tcPr>
            <w:tcW w:w="6020" w:type="dxa"/>
            <w:vAlign w:val="bottom"/>
          </w:tcPr>
          <w:p>
            <w:pPr>
              <w:ind w:left="200"/>
              <w:spacing w:after="0"/>
              <w:rPr>
                <w:sz w:val="20"/>
                <w:szCs w:val="20"/>
                <w:color w:val="auto"/>
              </w:rPr>
            </w:pPr>
            <w:r>
              <w:rPr>
                <w:rFonts w:ascii="Arial" w:cs="Arial" w:eastAsia="Arial" w:hAnsi="Arial"/>
                <w:sz w:val="13"/>
                <w:szCs w:val="13"/>
                <w:color w:val="auto"/>
              </w:rPr>
              <w:t>Costs of leasing and services:</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8"/>
        </w:trPr>
        <w:tc>
          <w:tcPr>
            <w:tcW w:w="6020" w:type="dxa"/>
            <w:vAlign w:val="bottom"/>
            <w:shd w:val="clear" w:color="auto" w:fill="DBDBDB"/>
          </w:tcPr>
          <w:p>
            <w:pPr>
              <w:ind w:left="380"/>
              <w:spacing w:after="0"/>
              <w:rPr>
                <w:sz w:val="20"/>
                <w:szCs w:val="20"/>
                <w:color w:val="auto"/>
              </w:rPr>
            </w:pPr>
            <w:r>
              <w:rPr>
                <w:rFonts w:ascii="Arial" w:cs="Arial" w:eastAsia="Arial" w:hAnsi="Arial"/>
                <w:sz w:val="13"/>
                <w:szCs w:val="13"/>
                <w:color w:val="auto"/>
              </w:rPr>
              <w:t>Leasing</w:t>
            </w: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317,061</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227,376</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213,151</w:t>
            </w:r>
          </w:p>
        </w:tc>
      </w:tr>
      <w:tr>
        <w:trPr>
          <w:trHeight w:val="172"/>
        </w:trPr>
        <w:tc>
          <w:tcPr>
            <w:tcW w:w="6020" w:type="dxa"/>
            <w:vAlign w:val="bottom"/>
          </w:tcPr>
          <w:p>
            <w:pPr>
              <w:ind w:left="380"/>
              <w:spacing w:after="0"/>
              <w:rPr>
                <w:sz w:val="20"/>
                <w:szCs w:val="20"/>
                <w:color w:val="auto"/>
              </w:rPr>
            </w:pPr>
            <w:r>
              <w:rPr>
                <w:rFonts w:ascii="Arial" w:cs="Arial" w:eastAsia="Arial" w:hAnsi="Arial"/>
                <w:sz w:val="13"/>
                <w:szCs w:val="13"/>
                <w:color w:val="auto"/>
              </w:rPr>
              <w:t>Delivery and installation</w:t>
            </w: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306,861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220,102</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194,107</w:t>
            </w:r>
          </w:p>
        </w:tc>
      </w:tr>
      <w:tr>
        <w:trPr>
          <w:trHeight w:val="178"/>
        </w:trPr>
        <w:tc>
          <w:tcPr>
            <w:tcW w:w="6020" w:type="dxa"/>
            <w:vAlign w:val="bottom"/>
            <w:shd w:val="clear" w:color="auto" w:fill="DBDBDB"/>
          </w:tcPr>
          <w:p>
            <w:pPr>
              <w:ind w:left="200"/>
              <w:spacing w:after="0"/>
              <w:rPr>
                <w:sz w:val="20"/>
                <w:szCs w:val="20"/>
                <w:color w:val="auto"/>
              </w:rPr>
            </w:pPr>
            <w:r>
              <w:rPr>
                <w:rFonts w:ascii="Arial" w:cs="Arial" w:eastAsia="Arial" w:hAnsi="Arial"/>
                <w:sz w:val="13"/>
                <w:szCs w:val="13"/>
                <w:color w:val="auto"/>
              </w:rPr>
              <w:t>Costs of sales:</w:t>
            </w: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r>
      <w:tr>
        <w:trPr>
          <w:trHeight w:val="172"/>
        </w:trPr>
        <w:tc>
          <w:tcPr>
            <w:tcW w:w="6020" w:type="dxa"/>
            <w:vAlign w:val="bottom"/>
          </w:tcPr>
          <w:p>
            <w:pPr>
              <w:ind w:left="380"/>
              <w:spacing w:after="0"/>
              <w:rPr>
                <w:sz w:val="20"/>
                <w:szCs w:val="20"/>
                <w:color w:val="auto"/>
              </w:rPr>
            </w:pPr>
            <w:r>
              <w:rPr>
                <w:rFonts w:ascii="Arial" w:cs="Arial" w:eastAsia="Arial" w:hAnsi="Arial"/>
                <w:sz w:val="13"/>
                <w:szCs w:val="13"/>
                <w:color w:val="auto"/>
              </w:rPr>
              <w:t>New units</w:t>
            </w: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35,377</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34,841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42,160</w:t>
            </w:r>
          </w:p>
        </w:tc>
      </w:tr>
      <w:tr>
        <w:trPr>
          <w:trHeight w:val="178"/>
        </w:trPr>
        <w:tc>
          <w:tcPr>
            <w:tcW w:w="6020" w:type="dxa"/>
            <w:vAlign w:val="bottom"/>
            <w:shd w:val="clear" w:color="auto" w:fill="DBDBDB"/>
          </w:tcPr>
          <w:p>
            <w:pPr>
              <w:ind w:left="380"/>
              <w:spacing w:after="0"/>
              <w:rPr>
                <w:sz w:val="20"/>
                <w:szCs w:val="20"/>
                <w:color w:val="auto"/>
              </w:rPr>
            </w:pPr>
            <w:r>
              <w:rPr>
                <w:rFonts w:ascii="Arial" w:cs="Arial" w:eastAsia="Arial" w:hAnsi="Arial"/>
                <w:sz w:val="13"/>
                <w:szCs w:val="13"/>
                <w:color w:val="auto"/>
              </w:rPr>
              <w:t>Rental units</w:t>
            </w: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29,853</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24,772</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26,255</w:t>
            </w:r>
          </w:p>
        </w:tc>
      </w:tr>
      <w:tr>
        <w:trPr>
          <w:trHeight w:val="172"/>
        </w:trPr>
        <w:tc>
          <w:tcPr>
            <w:tcW w:w="6020" w:type="dxa"/>
            <w:vAlign w:val="bottom"/>
            <w:tcBorders>
              <w:bottom w:val="single" w:sz="8" w:color="DBDBDB"/>
            </w:tcBorders>
          </w:tcPr>
          <w:p>
            <w:pPr>
              <w:ind w:left="200"/>
              <w:spacing w:after="0"/>
              <w:rPr>
                <w:sz w:val="20"/>
                <w:szCs w:val="20"/>
                <w:color w:val="auto"/>
              </w:rPr>
            </w:pPr>
            <w:r>
              <w:rPr>
                <w:rFonts w:ascii="Arial" w:cs="Arial" w:eastAsia="Arial" w:hAnsi="Arial"/>
                <w:sz w:val="13"/>
                <w:szCs w:val="13"/>
                <w:color w:val="auto"/>
              </w:rPr>
              <w:t>Depreciation of rental equipment</w:t>
            </w: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237,537</w:t>
            </w:r>
          </w:p>
        </w:tc>
        <w:tc>
          <w:tcPr>
            <w:tcW w:w="80" w:type="dxa"/>
            <w:vAlign w:val="bottom"/>
            <w:tcBorders>
              <w:bottom w:val="single" w:sz="8" w:color="DBDBDB"/>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200,581</w:t>
            </w:r>
          </w:p>
        </w:tc>
        <w:tc>
          <w:tcPr>
            <w:tcW w:w="80" w:type="dxa"/>
            <w:vAlign w:val="bottom"/>
            <w:tcBorders>
              <w:bottom w:val="single" w:sz="8" w:color="DBDBDB"/>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174,679</w:t>
            </w:r>
          </w:p>
        </w:tc>
      </w:tr>
      <w:tr>
        <w:trPr>
          <w:trHeight w:val="169"/>
        </w:trPr>
        <w:tc>
          <w:tcPr>
            <w:tcW w:w="6020" w:type="dxa"/>
            <w:vAlign w:val="bottom"/>
            <w:shd w:val="clear" w:color="auto" w:fill="DBDBDB"/>
          </w:tcPr>
          <w:p>
            <w:pPr>
              <w:ind w:left="540"/>
              <w:spacing w:after="0"/>
              <w:rPr>
                <w:sz w:val="20"/>
                <w:szCs w:val="20"/>
                <w:color w:val="auto"/>
              </w:rPr>
            </w:pPr>
            <w:r>
              <w:rPr>
                <w:rFonts w:ascii="Arial" w:cs="Arial" w:eastAsia="Arial" w:hAnsi="Arial"/>
                <w:sz w:val="13"/>
                <w:szCs w:val="13"/>
                <w:color w:val="auto"/>
              </w:rPr>
              <w:t>Gross profit</w:t>
            </w:r>
          </w:p>
        </w:tc>
        <w:tc>
          <w:tcPr>
            <w:tcW w:w="40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968,208</w:t>
            </w:r>
          </w:p>
        </w:tc>
        <w:tc>
          <w:tcPr>
            <w:tcW w:w="8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659,973</w:t>
            </w:r>
          </w:p>
        </w:tc>
        <w:tc>
          <w:tcPr>
            <w:tcW w:w="8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413,313</w:t>
            </w:r>
          </w:p>
        </w:tc>
      </w:tr>
      <w:tr>
        <w:trPr>
          <w:trHeight w:val="172"/>
        </w:trPr>
        <w:tc>
          <w:tcPr>
            <w:tcW w:w="6020" w:type="dxa"/>
            <w:vAlign w:val="bottom"/>
          </w:tcPr>
          <w:p>
            <w:pPr>
              <w:ind w:left="20"/>
              <w:spacing w:after="0"/>
              <w:rPr>
                <w:sz w:val="20"/>
                <w:szCs w:val="20"/>
                <w:color w:val="auto"/>
              </w:rPr>
            </w:pPr>
            <w:r>
              <w:rPr>
                <w:rFonts w:ascii="Arial" w:cs="Arial" w:eastAsia="Arial" w:hAnsi="Arial"/>
                <w:sz w:val="13"/>
                <w:szCs w:val="13"/>
                <w:color w:val="auto"/>
              </w:rPr>
              <w:t>Expenses:</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8"/>
        </w:trPr>
        <w:tc>
          <w:tcPr>
            <w:tcW w:w="6020" w:type="dxa"/>
            <w:vAlign w:val="bottom"/>
            <w:shd w:val="clear" w:color="auto" w:fill="DBDBDB"/>
          </w:tcPr>
          <w:p>
            <w:pPr>
              <w:ind w:left="200"/>
              <w:spacing w:after="0"/>
              <w:rPr>
                <w:sz w:val="20"/>
                <w:szCs w:val="20"/>
                <w:color w:val="auto"/>
              </w:rPr>
            </w:pPr>
            <w:r>
              <w:rPr>
                <w:rFonts w:ascii="Arial" w:cs="Arial" w:eastAsia="Arial" w:hAnsi="Arial"/>
                <w:sz w:val="13"/>
                <w:szCs w:val="13"/>
                <w:color w:val="auto"/>
              </w:rPr>
              <w:t>Selling, general and administrative</w:t>
            </w: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511,446</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360,626</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271,004</w:t>
            </w:r>
          </w:p>
        </w:tc>
      </w:tr>
      <w:tr>
        <w:trPr>
          <w:trHeight w:val="172"/>
        </w:trPr>
        <w:tc>
          <w:tcPr>
            <w:tcW w:w="6020" w:type="dxa"/>
            <w:vAlign w:val="bottom"/>
          </w:tcPr>
          <w:p>
            <w:pPr>
              <w:ind w:left="200"/>
              <w:spacing w:after="0"/>
              <w:rPr>
                <w:sz w:val="20"/>
                <w:szCs w:val="20"/>
                <w:color w:val="auto"/>
              </w:rPr>
            </w:pPr>
            <w:r>
              <w:rPr>
                <w:rFonts w:ascii="Arial" w:cs="Arial" w:eastAsia="Arial" w:hAnsi="Arial"/>
                <w:sz w:val="13"/>
                <w:szCs w:val="13"/>
                <w:color w:val="auto"/>
              </w:rPr>
              <w:t>Transaction costs</w:t>
            </w: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1,375</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64,053</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8"/>
        </w:trPr>
        <w:tc>
          <w:tcPr>
            <w:tcW w:w="6020" w:type="dxa"/>
            <w:vAlign w:val="bottom"/>
            <w:shd w:val="clear" w:color="auto" w:fill="DBDBDB"/>
          </w:tcPr>
          <w:p>
            <w:pPr>
              <w:ind w:left="200"/>
              <w:spacing w:after="0"/>
              <w:rPr>
                <w:sz w:val="20"/>
                <w:szCs w:val="20"/>
                <w:color w:val="auto"/>
              </w:rPr>
            </w:pPr>
            <w:r>
              <w:rPr>
                <w:rFonts w:ascii="Arial" w:cs="Arial" w:eastAsia="Arial" w:hAnsi="Arial"/>
                <w:sz w:val="13"/>
                <w:szCs w:val="13"/>
                <w:color w:val="auto"/>
              </w:rPr>
              <w:t>Other depreciation and amortization</w:t>
            </w: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78,030</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43,249</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12,395</w:t>
            </w:r>
          </w:p>
        </w:tc>
      </w:tr>
      <w:tr>
        <w:trPr>
          <w:trHeight w:val="172"/>
        </w:trPr>
        <w:tc>
          <w:tcPr>
            <w:tcW w:w="6020" w:type="dxa"/>
            <w:vAlign w:val="bottom"/>
          </w:tcPr>
          <w:p>
            <w:pPr>
              <w:ind w:left="200"/>
              <w:spacing w:after="0"/>
              <w:rPr>
                <w:sz w:val="20"/>
                <w:szCs w:val="20"/>
                <w:color w:val="auto"/>
              </w:rPr>
            </w:pPr>
            <w:r>
              <w:rPr>
                <w:rFonts w:ascii="Arial" w:cs="Arial" w:eastAsia="Arial" w:hAnsi="Arial"/>
                <w:sz w:val="13"/>
                <w:szCs w:val="13"/>
                <w:color w:val="auto"/>
              </w:rPr>
              <w:t>Impairment losses on long-lived assets</w:t>
            </w:r>
          </w:p>
        </w:tc>
        <w:tc>
          <w:tcPr>
            <w:tcW w:w="400" w:type="dxa"/>
            <w:vAlign w:val="bottom"/>
          </w:tcPr>
          <w:p>
            <w:pPr>
              <w:spacing w:after="0"/>
              <w:rPr>
                <w:sz w:val="14"/>
                <w:szCs w:val="14"/>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2,848</w:t>
            </w:r>
          </w:p>
        </w:tc>
      </w:tr>
      <w:tr>
        <w:trPr>
          <w:trHeight w:val="178"/>
        </w:trPr>
        <w:tc>
          <w:tcPr>
            <w:tcW w:w="6020" w:type="dxa"/>
            <w:vAlign w:val="bottom"/>
            <w:shd w:val="clear" w:color="auto" w:fill="DBDBDB"/>
          </w:tcPr>
          <w:p>
            <w:pPr>
              <w:ind w:left="200"/>
              <w:spacing w:after="0"/>
              <w:rPr>
                <w:sz w:val="20"/>
                <w:szCs w:val="20"/>
                <w:color w:val="auto"/>
              </w:rPr>
            </w:pPr>
            <w:r>
              <w:rPr>
                <w:rFonts w:ascii="Arial" w:cs="Arial" w:eastAsia="Arial" w:hAnsi="Arial"/>
                <w:sz w:val="13"/>
                <w:szCs w:val="13"/>
                <w:color w:val="auto"/>
              </w:rPr>
              <w:t>Lease impairment expense and other related charges</w:t>
            </w: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2,888</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4,876</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8,674</w:t>
            </w:r>
          </w:p>
        </w:tc>
      </w:tr>
      <w:tr>
        <w:trPr>
          <w:trHeight w:val="172"/>
        </w:trPr>
        <w:tc>
          <w:tcPr>
            <w:tcW w:w="6020" w:type="dxa"/>
            <w:vAlign w:val="bottom"/>
          </w:tcPr>
          <w:p>
            <w:pPr>
              <w:ind w:left="200"/>
              <w:spacing w:after="0"/>
              <w:rPr>
                <w:sz w:val="20"/>
                <w:szCs w:val="20"/>
                <w:color w:val="auto"/>
              </w:rPr>
            </w:pPr>
            <w:r>
              <w:rPr>
                <w:rFonts w:ascii="Arial" w:cs="Arial" w:eastAsia="Arial" w:hAnsi="Arial"/>
                <w:sz w:val="13"/>
                <w:szCs w:val="13"/>
                <w:color w:val="auto"/>
              </w:rPr>
              <w:t>Restructuring costs</w:t>
            </w: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11,868</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6,527</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3,755</w:t>
            </w:r>
          </w:p>
        </w:tc>
      </w:tr>
      <w:tr>
        <w:trPr>
          <w:trHeight w:val="178"/>
        </w:trPr>
        <w:tc>
          <w:tcPr>
            <w:tcW w:w="6020" w:type="dxa"/>
            <w:vAlign w:val="bottom"/>
            <w:shd w:val="clear" w:color="auto" w:fill="DBDBDB"/>
          </w:tcPr>
          <w:p>
            <w:pPr>
              <w:ind w:left="200"/>
              <w:spacing w:after="0"/>
              <w:rPr>
                <w:sz w:val="20"/>
                <w:szCs w:val="20"/>
                <w:color w:val="auto"/>
              </w:rPr>
            </w:pPr>
            <w:r>
              <w:rPr>
                <w:rFonts w:ascii="Arial" w:cs="Arial" w:eastAsia="Arial" w:hAnsi="Arial"/>
                <w:sz w:val="13"/>
                <w:szCs w:val="13"/>
                <w:color w:val="auto"/>
              </w:rPr>
              <w:t>Currency losses (gains), net</w:t>
            </w: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548</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(355)</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(688)</w:t>
            </w:r>
          </w:p>
        </w:tc>
      </w:tr>
      <w:tr>
        <w:trPr>
          <w:trHeight w:val="172"/>
        </w:trPr>
        <w:tc>
          <w:tcPr>
            <w:tcW w:w="6020" w:type="dxa"/>
            <w:vAlign w:val="bottom"/>
            <w:tcBorders>
              <w:bottom w:val="single" w:sz="8" w:color="DBDBDB"/>
            </w:tcBorders>
          </w:tcPr>
          <w:p>
            <w:pPr>
              <w:ind w:left="200"/>
              <w:spacing w:after="0"/>
              <w:rPr>
                <w:sz w:val="20"/>
                <w:szCs w:val="20"/>
                <w:color w:val="auto"/>
              </w:rPr>
            </w:pPr>
            <w:r>
              <w:rPr>
                <w:rFonts w:ascii="Arial" w:cs="Arial" w:eastAsia="Arial" w:hAnsi="Arial"/>
                <w:sz w:val="13"/>
                <w:szCs w:val="13"/>
                <w:color w:val="auto"/>
              </w:rPr>
              <w:t>Other expense (income), net</w:t>
            </w: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1,780</w:t>
            </w:r>
          </w:p>
        </w:tc>
        <w:tc>
          <w:tcPr>
            <w:tcW w:w="80" w:type="dxa"/>
            <w:vAlign w:val="bottom"/>
            <w:tcBorders>
              <w:bottom w:val="single" w:sz="8" w:color="DBDBDB"/>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(1,718)</w:t>
            </w:r>
          </w:p>
        </w:tc>
        <w:tc>
          <w:tcPr>
            <w:tcW w:w="80" w:type="dxa"/>
            <w:vAlign w:val="bottom"/>
            <w:tcBorders>
              <w:bottom w:val="single" w:sz="8" w:color="DBDBDB"/>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(2,200)</w:t>
            </w:r>
          </w:p>
        </w:tc>
      </w:tr>
      <w:tr>
        <w:trPr>
          <w:trHeight w:val="169"/>
        </w:trPr>
        <w:tc>
          <w:tcPr>
            <w:tcW w:w="6020" w:type="dxa"/>
            <w:vAlign w:val="bottom"/>
            <w:shd w:val="clear" w:color="auto" w:fill="DBDBDB"/>
          </w:tcPr>
          <w:p>
            <w:pPr>
              <w:ind w:left="540"/>
              <w:spacing w:after="0"/>
              <w:rPr>
                <w:sz w:val="20"/>
                <w:szCs w:val="20"/>
                <w:color w:val="auto"/>
              </w:rPr>
            </w:pPr>
            <w:r>
              <w:rPr>
                <w:rFonts w:ascii="Arial" w:cs="Arial" w:eastAsia="Arial" w:hAnsi="Arial"/>
                <w:sz w:val="13"/>
                <w:szCs w:val="13"/>
                <w:color w:val="auto"/>
              </w:rPr>
              <w:t>Operating income</w:t>
            </w:r>
          </w:p>
        </w:tc>
        <w:tc>
          <w:tcPr>
            <w:tcW w:w="40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360,273</w:t>
            </w:r>
          </w:p>
        </w:tc>
        <w:tc>
          <w:tcPr>
            <w:tcW w:w="8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182,715</w:t>
            </w:r>
          </w:p>
        </w:tc>
        <w:tc>
          <w:tcPr>
            <w:tcW w:w="8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117,525</w:t>
            </w:r>
          </w:p>
        </w:tc>
      </w:tr>
      <w:tr>
        <w:trPr>
          <w:trHeight w:val="172"/>
        </w:trPr>
        <w:tc>
          <w:tcPr>
            <w:tcW w:w="6020" w:type="dxa"/>
            <w:vAlign w:val="bottom"/>
          </w:tcPr>
          <w:p>
            <w:pPr>
              <w:ind w:left="200"/>
              <w:spacing w:after="0"/>
              <w:rPr>
                <w:sz w:val="20"/>
                <w:szCs w:val="20"/>
                <w:color w:val="auto"/>
              </w:rPr>
            </w:pPr>
            <w:r>
              <w:rPr>
                <w:rFonts w:ascii="Arial" w:cs="Arial" w:eastAsia="Arial" w:hAnsi="Arial"/>
                <w:sz w:val="13"/>
                <w:szCs w:val="13"/>
                <w:color w:val="auto"/>
              </w:rPr>
              <w:t>Interest expense</w:t>
            </w: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117,987</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119,886</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122,504</w:t>
            </w:r>
          </w:p>
        </w:tc>
      </w:tr>
      <w:tr>
        <w:trPr>
          <w:trHeight w:val="178"/>
        </w:trPr>
        <w:tc>
          <w:tcPr>
            <w:tcW w:w="6020" w:type="dxa"/>
            <w:vAlign w:val="bottom"/>
            <w:shd w:val="clear" w:color="auto" w:fill="DBDBDB"/>
          </w:tcPr>
          <w:p>
            <w:pPr>
              <w:ind w:left="200"/>
              <w:spacing w:after="0"/>
              <w:rPr>
                <w:sz w:val="20"/>
                <w:szCs w:val="20"/>
                <w:color w:val="auto"/>
              </w:rPr>
            </w:pPr>
            <w:r>
              <w:rPr>
                <w:rFonts w:ascii="Arial" w:cs="Arial" w:eastAsia="Arial" w:hAnsi="Arial"/>
                <w:sz w:val="13"/>
                <w:szCs w:val="13"/>
                <w:color w:val="auto"/>
              </w:rPr>
              <w:t>Fair value loss (gain) on common stock warrant liabilities</w:t>
            </w: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26,597</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(3,461)</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109,622</w:t>
            </w:r>
          </w:p>
        </w:tc>
      </w:tr>
      <w:tr>
        <w:trPr>
          <w:trHeight w:val="172"/>
        </w:trPr>
        <w:tc>
          <w:tcPr>
            <w:tcW w:w="6020" w:type="dxa"/>
            <w:vAlign w:val="bottom"/>
            <w:tcBorders>
              <w:bottom w:val="single" w:sz="8" w:color="DBDBDB"/>
            </w:tcBorders>
          </w:tcPr>
          <w:p>
            <w:pPr>
              <w:ind w:left="200"/>
              <w:spacing w:after="0"/>
              <w:rPr>
                <w:sz w:val="20"/>
                <w:szCs w:val="20"/>
                <w:color w:val="auto"/>
              </w:rPr>
            </w:pPr>
            <w:r>
              <w:rPr>
                <w:rFonts w:ascii="Arial" w:cs="Arial" w:eastAsia="Arial" w:hAnsi="Arial"/>
                <w:sz w:val="13"/>
                <w:szCs w:val="13"/>
                <w:color w:val="auto"/>
              </w:rPr>
              <w:t>Loss on extinguishment of debt</w:t>
            </w: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5,999</w:t>
            </w:r>
          </w:p>
        </w:tc>
        <w:tc>
          <w:tcPr>
            <w:tcW w:w="80" w:type="dxa"/>
            <w:vAlign w:val="bottom"/>
            <w:tcBorders>
              <w:bottom w:val="single" w:sz="8" w:color="DBDBDB"/>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42,401</w:t>
            </w:r>
          </w:p>
        </w:tc>
        <w:tc>
          <w:tcPr>
            <w:tcW w:w="80" w:type="dxa"/>
            <w:vAlign w:val="bottom"/>
            <w:tcBorders>
              <w:bottom w:val="single" w:sz="8" w:color="DBDBDB"/>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8,755</w:t>
            </w:r>
          </w:p>
        </w:tc>
      </w:tr>
      <w:tr>
        <w:trPr>
          <w:trHeight w:val="169"/>
        </w:trPr>
        <w:tc>
          <w:tcPr>
            <w:tcW w:w="6020" w:type="dxa"/>
            <w:vAlign w:val="bottom"/>
            <w:shd w:val="clear" w:color="auto" w:fill="DBDBDB"/>
          </w:tcPr>
          <w:p>
            <w:pPr>
              <w:ind w:left="20"/>
              <w:spacing w:after="0"/>
              <w:rPr>
                <w:sz w:val="20"/>
                <w:szCs w:val="20"/>
                <w:color w:val="auto"/>
              </w:rPr>
            </w:pPr>
            <w:r>
              <w:rPr>
                <w:rFonts w:ascii="Arial" w:cs="Arial" w:eastAsia="Arial" w:hAnsi="Arial"/>
                <w:sz w:val="13"/>
                <w:szCs w:val="13"/>
                <w:color w:val="auto"/>
              </w:rPr>
              <w:t>Income (loss) before income tax</w:t>
            </w:r>
          </w:p>
        </w:tc>
        <w:tc>
          <w:tcPr>
            <w:tcW w:w="40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209,690</w:t>
            </w:r>
          </w:p>
        </w:tc>
        <w:tc>
          <w:tcPr>
            <w:tcW w:w="8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23,889</w:t>
            </w:r>
          </w:p>
        </w:tc>
        <w:tc>
          <w:tcPr>
            <w:tcW w:w="8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(123,356)</w:t>
            </w:r>
          </w:p>
        </w:tc>
      </w:tr>
      <w:tr>
        <w:trPr>
          <w:trHeight w:val="172"/>
        </w:trPr>
        <w:tc>
          <w:tcPr>
            <w:tcW w:w="6020" w:type="dxa"/>
            <w:vAlign w:val="bottom"/>
            <w:tcBorders>
              <w:bottom w:val="single" w:sz="8" w:color="DBDBDB"/>
            </w:tcBorders>
          </w:tcPr>
          <w:p>
            <w:pPr>
              <w:ind w:left="200"/>
              <w:spacing w:after="0"/>
              <w:rPr>
                <w:sz w:val="20"/>
                <w:szCs w:val="20"/>
                <w:color w:val="auto"/>
              </w:rPr>
            </w:pPr>
            <w:r>
              <w:rPr>
                <w:rFonts w:ascii="Arial" w:cs="Arial" w:eastAsia="Arial" w:hAnsi="Arial"/>
                <w:sz w:val="13"/>
                <w:szCs w:val="13"/>
                <w:color w:val="auto"/>
              </w:rPr>
              <w:t>Income tax expense (benefit)</w:t>
            </w: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49,546</w:t>
            </w:r>
          </w:p>
        </w:tc>
        <w:tc>
          <w:tcPr>
            <w:tcW w:w="80" w:type="dxa"/>
            <w:vAlign w:val="bottom"/>
            <w:tcBorders>
              <w:bottom w:val="single" w:sz="8" w:color="DBDBDB"/>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(51,451)</w:t>
            </w:r>
          </w:p>
        </w:tc>
        <w:tc>
          <w:tcPr>
            <w:tcW w:w="80" w:type="dxa"/>
            <w:vAlign w:val="bottom"/>
            <w:tcBorders>
              <w:bottom w:val="single" w:sz="8" w:color="DBDBDB"/>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(2,191)</w:t>
            </w:r>
          </w:p>
        </w:tc>
      </w:tr>
      <w:tr>
        <w:trPr>
          <w:trHeight w:val="169"/>
        </w:trPr>
        <w:tc>
          <w:tcPr>
            <w:tcW w:w="6020" w:type="dxa"/>
            <w:vAlign w:val="bottom"/>
            <w:shd w:val="clear" w:color="auto" w:fill="DBDBDB"/>
          </w:tcPr>
          <w:p>
            <w:pPr>
              <w:ind w:left="20"/>
              <w:spacing w:after="0"/>
              <w:rPr>
                <w:sz w:val="20"/>
                <w:szCs w:val="20"/>
                <w:color w:val="auto"/>
              </w:rPr>
            </w:pPr>
            <w:r>
              <w:rPr>
                <w:rFonts w:ascii="Arial" w:cs="Arial" w:eastAsia="Arial" w:hAnsi="Arial"/>
                <w:sz w:val="13"/>
                <w:szCs w:val="13"/>
                <w:color w:val="auto"/>
              </w:rPr>
              <w:t>Net income (loss)</w:t>
            </w:r>
          </w:p>
        </w:tc>
        <w:tc>
          <w:tcPr>
            <w:tcW w:w="40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160,144</w:t>
            </w:r>
          </w:p>
        </w:tc>
        <w:tc>
          <w:tcPr>
            <w:tcW w:w="8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75,340</w:t>
            </w:r>
          </w:p>
        </w:tc>
        <w:tc>
          <w:tcPr>
            <w:tcW w:w="8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(121,165)</w:t>
            </w:r>
          </w:p>
        </w:tc>
      </w:tr>
      <w:tr>
        <w:trPr>
          <w:trHeight w:val="172"/>
        </w:trPr>
        <w:tc>
          <w:tcPr>
            <w:tcW w:w="6020" w:type="dxa"/>
            <w:vAlign w:val="bottom"/>
          </w:tcPr>
          <w:p>
            <w:pPr>
              <w:ind w:left="20"/>
              <w:spacing w:after="0"/>
              <w:rPr>
                <w:sz w:val="20"/>
                <w:szCs w:val="20"/>
                <w:color w:val="auto"/>
              </w:rPr>
            </w:pPr>
            <w:r>
              <w:rPr>
                <w:rFonts w:ascii="Arial" w:cs="Arial" w:eastAsia="Arial" w:hAnsi="Arial"/>
                <w:sz w:val="13"/>
                <w:szCs w:val="13"/>
                <w:color w:val="auto"/>
              </w:rPr>
              <w:t>Net income (loss) attributable to non-controlling interest, net of tax</w:t>
            </w:r>
          </w:p>
        </w:tc>
        <w:tc>
          <w:tcPr>
            <w:tcW w:w="400" w:type="dxa"/>
            <w:vAlign w:val="bottom"/>
          </w:tcPr>
          <w:p>
            <w:pPr>
              <w:spacing w:after="0"/>
              <w:rPr>
                <w:sz w:val="14"/>
                <w:szCs w:val="14"/>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1,213</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(421)</w:t>
            </w:r>
          </w:p>
        </w:tc>
      </w:tr>
      <w:tr>
        <w:trPr>
          <w:trHeight w:val="194"/>
        </w:trPr>
        <w:tc>
          <w:tcPr>
            <w:tcW w:w="602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Net income (loss) attributable to WillScot Mobile Mini common shareholders</w:t>
            </w:r>
          </w:p>
        </w:tc>
        <w:tc>
          <w:tcPr>
            <w:tcW w:w="400" w:type="dxa"/>
            <w:vAlign w:val="bottom"/>
            <w:tcBorders>
              <w:top w:val="single" w:sz="8" w:color="auto"/>
              <w:bottom w:val="single" w:sz="8" w:color="auto"/>
            </w:tcBorders>
            <w:shd w:val="clear" w:color="auto" w:fill="DBDBDB"/>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160,144</w:t>
            </w:r>
          </w:p>
        </w:tc>
        <w:tc>
          <w:tcPr>
            <w:tcW w:w="80" w:type="dxa"/>
            <w:vAlign w:val="bottom"/>
            <w:tcBorders>
              <w:top w:val="single" w:sz="8" w:color="DBDBDB"/>
              <w:bottom w:val="single" w:sz="8" w:color="DBDBDB"/>
            </w:tcBorders>
            <w:shd w:val="clear" w:color="auto" w:fill="DBDBDB"/>
          </w:tcPr>
          <w:p>
            <w:pPr>
              <w:spacing w:after="0"/>
              <w:rPr>
                <w:sz w:val="16"/>
                <w:szCs w:val="16"/>
                <w:color w:val="auto"/>
              </w:rPr>
            </w:pPr>
          </w:p>
        </w:tc>
        <w:tc>
          <w:tcPr>
            <w:tcW w:w="40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74,127</w:t>
            </w:r>
          </w:p>
        </w:tc>
        <w:tc>
          <w:tcPr>
            <w:tcW w:w="80" w:type="dxa"/>
            <w:vAlign w:val="bottom"/>
            <w:tcBorders>
              <w:top w:val="single" w:sz="8" w:color="DBDBDB"/>
              <w:bottom w:val="single" w:sz="8" w:color="DBDBDB"/>
            </w:tcBorders>
            <w:shd w:val="clear" w:color="auto" w:fill="DBDBDB"/>
          </w:tcPr>
          <w:p>
            <w:pPr>
              <w:spacing w:after="0"/>
              <w:rPr>
                <w:sz w:val="16"/>
                <w:szCs w:val="16"/>
                <w:color w:val="auto"/>
              </w:rPr>
            </w:pPr>
          </w:p>
        </w:tc>
        <w:tc>
          <w:tcPr>
            <w:tcW w:w="400" w:type="dxa"/>
            <w:vAlign w:val="bottom"/>
            <w:tcBorders>
              <w:top w:val="single" w:sz="8" w:color="auto"/>
              <w:bottom w:val="single" w:sz="8" w:color="auto"/>
            </w:tcBorders>
            <w:shd w:val="clear" w:color="auto" w:fill="DBDBDB"/>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(120,744)</w:t>
            </w:r>
          </w:p>
        </w:tc>
      </w:tr>
      <w:tr>
        <w:trPr>
          <w:trHeight w:val="20"/>
        </w:trPr>
        <w:tc>
          <w:tcPr>
            <w:tcW w:w="60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r>
      <w:tr>
        <w:trPr>
          <w:trHeight w:val="149"/>
        </w:trPr>
        <w:tc>
          <w:tcPr>
            <w:tcW w:w="6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75"/>
        </w:trPr>
        <w:tc>
          <w:tcPr>
            <w:tcW w:w="6020" w:type="dxa"/>
            <w:vAlign w:val="bottom"/>
            <w:shd w:val="clear" w:color="auto" w:fill="DBDBDB"/>
          </w:tcPr>
          <w:p>
            <w:pPr>
              <w:ind w:left="20"/>
              <w:spacing w:after="0"/>
              <w:rPr>
                <w:sz w:val="20"/>
                <w:szCs w:val="20"/>
                <w:color w:val="auto"/>
              </w:rPr>
            </w:pPr>
            <w:r>
              <w:rPr>
                <w:rFonts w:ascii="Arial" w:cs="Arial" w:eastAsia="Arial" w:hAnsi="Arial"/>
                <w:sz w:val="13"/>
                <w:szCs w:val="13"/>
                <w:color w:val="auto"/>
              </w:rPr>
              <w:t>Earnings (loss) per share attributable to WillScot Mobile Mini common shareholders:</w:t>
            </w: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r>
      <w:tr>
        <w:trPr>
          <w:trHeight w:val="172"/>
        </w:trPr>
        <w:tc>
          <w:tcPr>
            <w:tcW w:w="6020" w:type="dxa"/>
            <w:vAlign w:val="bottom"/>
          </w:tcPr>
          <w:p>
            <w:pPr>
              <w:ind w:left="20"/>
              <w:spacing w:after="0"/>
              <w:rPr>
                <w:sz w:val="20"/>
                <w:szCs w:val="20"/>
                <w:color w:val="auto"/>
              </w:rPr>
            </w:pPr>
            <w:r>
              <w:rPr>
                <w:rFonts w:ascii="Arial" w:cs="Arial" w:eastAsia="Arial" w:hAnsi="Arial"/>
                <w:sz w:val="13"/>
                <w:szCs w:val="13"/>
                <w:color w:val="auto"/>
              </w:rPr>
              <w:t>Basic</w:t>
            </w:r>
          </w:p>
        </w:tc>
        <w:tc>
          <w:tcPr>
            <w:tcW w:w="400" w:type="dxa"/>
            <w:vAlign w:val="bottom"/>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0.71</w:t>
            </w:r>
          </w:p>
        </w:tc>
        <w:tc>
          <w:tcPr>
            <w:tcW w:w="80" w:type="dxa"/>
            <w:vAlign w:val="bottom"/>
          </w:tcPr>
          <w:p>
            <w:pPr>
              <w:spacing w:after="0"/>
              <w:rPr>
                <w:sz w:val="14"/>
                <w:szCs w:val="14"/>
                <w:color w:val="auto"/>
              </w:rPr>
            </w:pPr>
          </w:p>
        </w:tc>
        <w:tc>
          <w:tcPr>
            <w:tcW w:w="400" w:type="dxa"/>
            <w:vAlign w:val="bottom"/>
          </w:tcPr>
          <w:p>
            <w:pPr>
              <w:ind w:left="20"/>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0.44</w:t>
            </w:r>
          </w:p>
        </w:tc>
        <w:tc>
          <w:tcPr>
            <w:tcW w:w="80" w:type="dxa"/>
            <w:vAlign w:val="bottom"/>
          </w:tcPr>
          <w:p>
            <w:pPr>
              <w:spacing w:after="0"/>
              <w:rPr>
                <w:sz w:val="14"/>
                <w:szCs w:val="14"/>
                <w:color w:val="auto"/>
              </w:rPr>
            </w:pPr>
          </w:p>
        </w:tc>
        <w:tc>
          <w:tcPr>
            <w:tcW w:w="400" w:type="dxa"/>
            <w:vAlign w:val="bottom"/>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(1.11)</w:t>
            </w:r>
          </w:p>
        </w:tc>
      </w:tr>
      <w:tr>
        <w:trPr>
          <w:trHeight w:val="178"/>
        </w:trPr>
        <w:tc>
          <w:tcPr>
            <w:tcW w:w="6020" w:type="dxa"/>
            <w:vAlign w:val="bottom"/>
            <w:shd w:val="clear" w:color="auto" w:fill="DBDBDB"/>
          </w:tcPr>
          <w:p>
            <w:pPr>
              <w:ind w:left="20"/>
              <w:spacing w:after="0"/>
              <w:rPr>
                <w:sz w:val="20"/>
                <w:szCs w:val="20"/>
                <w:color w:val="auto"/>
              </w:rPr>
            </w:pPr>
            <w:r>
              <w:rPr>
                <w:rFonts w:ascii="Arial" w:cs="Arial" w:eastAsia="Arial" w:hAnsi="Arial"/>
                <w:sz w:val="13"/>
                <w:szCs w:val="13"/>
                <w:color w:val="auto"/>
              </w:rPr>
              <w:t>Diluted</w:t>
            </w:r>
          </w:p>
        </w:tc>
        <w:tc>
          <w:tcPr>
            <w:tcW w:w="400" w:type="dxa"/>
            <w:vAlign w:val="bottom"/>
            <w:shd w:val="clear" w:color="auto" w:fill="DBDBDB"/>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0.69</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ind w:left="20"/>
              <w:spacing w:after="0"/>
              <w:rPr>
                <w:sz w:val="20"/>
                <w:szCs w:val="20"/>
                <w:color w:val="auto"/>
              </w:rPr>
            </w:pPr>
            <w:r>
              <w:rPr>
                <w:rFonts w:ascii="Arial" w:cs="Arial" w:eastAsia="Arial" w:hAnsi="Arial"/>
                <w:sz w:val="13"/>
                <w:szCs w:val="13"/>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0.25</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(1.11)</w:t>
            </w:r>
          </w:p>
        </w:tc>
      </w:tr>
      <w:tr>
        <w:trPr>
          <w:trHeight w:val="172"/>
        </w:trPr>
        <w:tc>
          <w:tcPr>
            <w:tcW w:w="6020" w:type="dxa"/>
            <w:vAlign w:val="bottom"/>
          </w:tcPr>
          <w:p>
            <w:pPr>
              <w:ind w:left="20"/>
              <w:spacing w:after="0"/>
              <w:rPr>
                <w:sz w:val="20"/>
                <w:szCs w:val="20"/>
                <w:color w:val="auto"/>
              </w:rPr>
            </w:pPr>
            <w:r>
              <w:rPr>
                <w:rFonts w:ascii="Arial" w:cs="Arial" w:eastAsia="Arial" w:hAnsi="Arial"/>
                <w:sz w:val="13"/>
                <w:szCs w:val="13"/>
                <w:color w:val="auto"/>
              </w:rPr>
              <w:t>Weighted average shares:</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8"/>
        </w:trPr>
        <w:tc>
          <w:tcPr>
            <w:tcW w:w="6020" w:type="dxa"/>
            <w:vAlign w:val="bottom"/>
            <w:shd w:val="clear" w:color="auto" w:fill="DBDBDB"/>
          </w:tcPr>
          <w:p>
            <w:pPr>
              <w:ind w:left="20"/>
              <w:spacing w:after="0"/>
              <w:rPr>
                <w:sz w:val="20"/>
                <w:szCs w:val="20"/>
                <w:color w:val="auto"/>
              </w:rPr>
            </w:pPr>
            <w:r>
              <w:rPr>
                <w:rFonts w:ascii="Arial" w:cs="Arial" w:eastAsia="Arial" w:hAnsi="Arial"/>
                <w:sz w:val="13"/>
                <w:szCs w:val="13"/>
                <w:color w:val="auto"/>
              </w:rPr>
              <w:t>Basic</w:t>
            </w: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226,518,931</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169,230,177</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108,683,620</w:t>
            </w:r>
          </w:p>
        </w:tc>
      </w:tr>
      <w:tr>
        <w:trPr>
          <w:trHeight w:val="169"/>
        </w:trPr>
        <w:tc>
          <w:tcPr>
            <w:tcW w:w="6020" w:type="dxa"/>
            <w:vAlign w:val="bottom"/>
          </w:tcPr>
          <w:p>
            <w:pPr>
              <w:ind w:left="20"/>
              <w:spacing w:after="0"/>
              <w:rPr>
                <w:sz w:val="20"/>
                <w:szCs w:val="20"/>
                <w:color w:val="auto"/>
              </w:rPr>
            </w:pPr>
            <w:r>
              <w:rPr>
                <w:rFonts w:ascii="Arial" w:cs="Arial" w:eastAsia="Arial" w:hAnsi="Arial"/>
                <w:sz w:val="13"/>
                <w:szCs w:val="13"/>
                <w:color w:val="auto"/>
              </w:rPr>
              <w:t>Diluted</w:t>
            </w: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232,793,902</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177,268,383</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108,683,620</w:t>
            </w: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0"/>
          <w:szCs w:val="10"/>
          <w:i w:val="1"/>
          <w:iCs w:val="1"/>
          <w:color w:val="auto"/>
        </w:rPr>
        <w:t>See the accompanying notes which are an integral part of these consolidated financial statements.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405" w:right="319" w:bottom="1440" w:gutter="0" w:footer="0" w:header="0"/>
        </w:sectPr>
      </w:pPr>
    </w:p>
    <w:bookmarkStart w:id="73" w:name="page74"/>
    <w:bookmarkEnd w:id="73"/>
    <w:p>
      <w:pPr>
        <w:jc w:val="center"/>
        <w:spacing w:after="0"/>
        <w:rPr>
          <w:sz w:val="20"/>
          <w:szCs w:val="20"/>
          <w:color w:val="auto"/>
        </w:rPr>
      </w:pPr>
      <w:r>
        <w:rPr>
          <w:rFonts w:ascii="Arial" w:cs="Arial" w:eastAsia="Arial" w:hAnsi="Arial"/>
          <w:sz w:val="19"/>
          <w:szCs w:val="19"/>
          <w:color w:val="1D2758"/>
        </w:rPr>
        <w:t>WillScot Mobile Mini Holdings Corp.</w:t>
      </w:r>
    </w:p>
    <w:p>
      <w:pPr>
        <w:jc w:val="center"/>
        <w:spacing w:after="0"/>
        <w:rPr>
          <w:sz w:val="20"/>
          <w:szCs w:val="20"/>
          <w:color w:val="auto"/>
        </w:rPr>
      </w:pPr>
      <w:r>
        <w:rPr>
          <w:rFonts w:ascii="Arial" w:cs="Arial" w:eastAsia="Arial" w:hAnsi="Arial"/>
          <w:sz w:val="19"/>
          <w:szCs w:val="19"/>
          <w:color w:val="1D2758"/>
        </w:rPr>
        <w:t>Consolidated Statements of Comprehensive Income (Loss)</w:t>
      </w:r>
    </w:p>
    <w:p>
      <w:pPr>
        <w:jc w:val="center"/>
        <w:spacing w:after="0"/>
        <w:rPr>
          <w:sz w:val="20"/>
          <w:szCs w:val="20"/>
          <w:color w:val="auto"/>
        </w:rPr>
      </w:pPr>
      <w:r>
        <w:rPr>
          <w:rFonts w:ascii="Arial" w:cs="Arial" w:eastAsia="Arial" w:hAnsi="Arial"/>
          <w:sz w:val="19"/>
          <w:szCs w:val="19"/>
          <w:color w:val="1D2758"/>
        </w:rPr>
        <w:t>(in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020" w:type="dxa"/>
            <w:vAlign w:val="bottom"/>
            <w:shd w:val="clear" w:color="auto" w:fill="1D2758"/>
          </w:tcPr>
          <w:p>
            <w:pPr>
              <w:spacing w:after="0"/>
              <w:rPr>
                <w:sz w:val="14"/>
                <w:szCs w:val="14"/>
                <w:color w:val="auto"/>
              </w:rPr>
            </w:pPr>
          </w:p>
        </w:tc>
        <w:tc>
          <w:tcPr>
            <w:tcW w:w="1080" w:type="dxa"/>
            <w:vAlign w:val="bottom"/>
            <w:shd w:val="clear" w:color="auto" w:fill="1D2758"/>
          </w:tcPr>
          <w:p>
            <w:pPr>
              <w:spacing w:after="0"/>
              <w:rPr>
                <w:sz w:val="14"/>
                <w:szCs w:val="14"/>
                <w:color w:val="auto"/>
              </w:rPr>
            </w:pPr>
          </w:p>
        </w:tc>
        <w:tc>
          <w:tcPr>
            <w:tcW w:w="62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1780" w:type="dxa"/>
            <w:vAlign w:val="bottom"/>
            <w:gridSpan w:val="3"/>
            <w:shd w:val="clear" w:color="auto" w:fill="1D2758"/>
          </w:tcPr>
          <w:p>
            <w:pPr>
              <w:ind w:left="20"/>
              <w:spacing w:after="0"/>
              <w:rPr>
                <w:sz w:val="20"/>
                <w:szCs w:val="20"/>
                <w:color w:val="auto"/>
              </w:rPr>
            </w:pPr>
            <w:r>
              <w:rPr>
                <w:rFonts w:ascii="Arial" w:cs="Arial" w:eastAsia="Arial" w:hAnsi="Arial"/>
                <w:sz w:val="13"/>
                <w:szCs w:val="13"/>
                <w:b w:val="1"/>
                <w:bCs w:val="1"/>
                <w:color w:val="FFFFFF"/>
              </w:rPr>
              <w:t>Years Ended December 31,</w:t>
            </w:r>
          </w:p>
        </w:tc>
        <w:tc>
          <w:tcPr>
            <w:tcW w:w="400" w:type="dxa"/>
            <w:vAlign w:val="bottom"/>
            <w:shd w:val="clear" w:color="auto" w:fill="1D2758"/>
          </w:tcPr>
          <w:p>
            <w:pPr>
              <w:spacing w:after="0"/>
              <w:rPr>
                <w:sz w:val="14"/>
                <w:szCs w:val="14"/>
                <w:color w:val="auto"/>
              </w:rPr>
            </w:pPr>
          </w:p>
        </w:tc>
        <w:tc>
          <w:tcPr>
            <w:tcW w:w="1300" w:type="dxa"/>
            <w:vAlign w:val="bottom"/>
            <w:shd w:val="clear" w:color="auto" w:fill="1D2758"/>
          </w:tcPr>
          <w:p>
            <w:pPr>
              <w:spacing w:after="0"/>
              <w:rPr>
                <w:sz w:val="14"/>
                <w:szCs w:val="14"/>
                <w:color w:val="auto"/>
              </w:rPr>
            </w:pPr>
          </w:p>
        </w:tc>
      </w:tr>
      <w:tr>
        <w:trPr>
          <w:trHeight w:val="175"/>
        </w:trPr>
        <w:tc>
          <w:tcPr>
            <w:tcW w:w="6020" w:type="dxa"/>
            <w:vAlign w:val="bottom"/>
            <w:shd w:val="clear" w:color="auto" w:fill="1D2758"/>
          </w:tcPr>
          <w:p>
            <w:pPr>
              <w:spacing w:after="0"/>
              <w:rPr>
                <w:sz w:val="15"/>
                <w:szCs w:val="15"/>
                <w:color w:val="auto"/>
              </w:rPr>
            </w:pPr>
          </w:p>
        </w:tc>
        <w:tc>
          <w:tcPr>
            <w:tcW w:w="1080" w:type="dxa"/>
            <w:vAlign w:val="bottom"/>
            <w:shd w:val="clear" w:color="auto" w:fill="1D2758"/>
          </w:tcPr>
          <w:p>
            <w:pPr>
              <w:jc w:val="right"/>
              <w:ind w:right="14"/>
              <w:spacing w:after="0"/>
              <w:rPr>
                <w:sz w:val="20"/>
                <w:szCs w:val="20"/>
                <w:color w:val="auto"/>
              </w:rPr>
            </w:pPr>
            <w:r>
              <w:rPr>
                <w:rFonts w:ascii="Arial" w:cs="Arial" w:eastAsia="Arial" w:hAnsi="Arial"/>
                <w:sz w:val="13"/>
                <w:szCs w:val="13"/>
                <w:b w:val="1"/>
                <w:bCs w:val="1"/>
                <w:color w:val="FFFFFF"/>
              </w:rPr>
              <w:t>2021</w:t>
            </w:r>
          </w:p>
        </w:tc>
        <w:tc>
          <w:tcPr>
            <w:tcW w:w="62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400" w:type="dxa"/>
            <w:vAlign w:val="bottom"/>
            <w:shd w:val="clear" w:color="auto" w:fill="1D2758"/>
          </w:tcPr>
          <w:p>
            <w:pPr>
              <w:spacing w:after="0"/>
              <w:rPr>
                <w:sz w:val="15"/>
                <w:szCs w:val="15"/>
                <w:color w:val="auto"/>
              </w:rPr>
            </w:pPr>
          </w:p>
        </w:tc>
        <w:tc>
          <w:tcPr>
            <w:tcW w:w="1300" w:type="dxa"/>
            <w:vAlign w:val="bottom"/>
            <w:shd w:val="clear" w:color="auto" w:fill="1D2758"/>
          </w:tcPr>
          <w:p>
            <w:pPr>
              <w:jc w:val="right"/>
              <w:ind w:right="634"/>
              <w:spacing w:after="0"/>
              <w:rPr>
                <w:sz w:val="20"/>
                <w:szCs w:val="20"/>
                <w:color w:val="auto"/>
              </w:rPr>
            </w:pPr>
            <w:r>
              <w:rPr>
                <w:rFonts w:ascii="Arial" w:cs="Arial" w:eastAsia="Arial" w:hAnsi="Arial"/>
                <w:sz w:val="13"/>
                <w:szCs w:val="13"/>
                <w:b w:val="1"/>
                <w:bCs w:val="1"/>
                <w:color w:val="FFFFFF"/>
              </w:rPr>
              <w:t>2020</w:t>
            </w:r>
          </w:p>
        </w:tc>
        <w:tc>
          <w:tcPr>
            <w:tcW w:w="80" w:type="dxa"/>
            <w:vAlign w:val="bottom"/>
            <w:shd w:val="clear" w:color="auto" w:fill="1D2758"/>
          </w:tcPr>
          <w:p>
            <w:pPr>
              <w:spacing w:after="0"/>
              <w:rPr>
                <w:sz w:val="15"/>
                <w:szCs w:val="15"/>
                <w:color w:val="auto"/>
              </w:rPr>
            </w:pPr>
          </w:p>
        </w:tc>
        <w:tc>
          <w:tcPr>
            <w:tcW w:w="400" w:type="dxa"/>
            <w:vAlign w:val="bottom"/>
            <w:shd w:val="clear" w:color="auto" w:fill="1D2758"/>
          </w:tcPr>
          <w:p>
            <w:pPr>
              <w:spacing w:after="0"/>
              <w:rPr>
                <w:sz w:val="15"/>
                <w:szCs w:val="15"/>
                <w:color w:val="auto"/>
              </w:rPr>
            </w:pPr>
          </w:p>
        </w:tc>
        <w:tc>
          <w:tcPr>
            <w:tcW w:w="1300" w:type="dxa"/>
            <w:vAlign w:val="bottom"/>
            <w:shd w:val="clear" w:color="auto" w:fill="1D2758"/>
          </w:tcPr>
          <w:p>
            <w:pPr>
              <w:jc w:val="right"/>
              <w:ind w:right="634"/>
              <w:spacing w:after="0"/>
              <w:rPr>
                <w:sz w:val="20"/>
                <w:szCs w:val="20"/>
                <w:color w:val="auto"/>
              </w:rPr>
            </w:pPr>
            <w:r>
              <w:rPr>
                <w:rFonts w:ascii="Arial" w:cs="Arial" w:eastAsia="Arial" w:hAnsi="Arial"/>
                <w:sz w:val="13"/>
                <w:szCs w:val="13"/>
                <w:b w:val="1"/>
                <w:bCs w:val="1"/>
                <w:color w:val="FFFFFF"/>
              </w:rPr>
              <w:t>2019</w:t>
            </w:r>
          </w:p>
        </w:tc>
      </w:tr>
      <w:tr>
        <w:trPr>
          <w:trHeight w:val="175"/>
        </w:trPr>
        <w:tc>
          <w:tcPr>
            <w:tcW w:w="6020" w:type="dxa"/>
            <w:vAlign w:val="bottom"/>
            <w:shd w:val="clear" w:color="auto" w:fill="DBDBDB"/>
          </w:tcPr>
          <w:p>
            <w:pPr>
              <w:ind w:left="20"/>
              <w:spacing w:after="0"/>
              <w:rPr>
                <w:sz w:val="20"/>
                <w:szCs w:val="20"/>
                <w:color w:val="auto"/>
              </w:rPr>
            </w:pPr>
            <w:r>
              <w:rPr>
                <w:rFonts w:ascii="Arial" w:cs="Arial" w:eastAsia="Arial" w:hAnsi="Arial"/>
                <w:sz w:val="13"/>
                <w:szCs w:val="13"/>
                <w:color w:val="auto"/>
              </w:rPr>
              <w:t>Net income (loss)</w:t>
            </w:r>
          </w:p>
        </w:tc>
        <w:tc>
          <w:tcPr>
            <w:tcW w:w="1080" w:type="dxa"/>
            <w:vAlign w:val="bottom"/>
            <w:shd w:val="clear" w:color="auto" w:fill="DBDBDB"/>
          </w:tcPr>
          <w:p>
            <w:pPr>
              <w:jc w:val="right"/>
              <w:ind w:right="914"/>
              <w:spacing w:after="0"/>
              <w:rPr>
                <w:sz w:val="20"/>
                <w:szCs w:val="20"/>
                <w:color w:val="auto"/>
              </w:rPr>
            </w:pPr>
            <w:r>
              <w:rPr>
                <w:rFonts w:ascii="Arial" w:cs="Arial" w:eastAsia="Arial" w:hAnsi="Arial"/>
                <w:sz w:val="13"/>
                <w:szCs w:val="13"/>
                <w:color w:val="auto"/>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160,144</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ind w:left="20"/>
              <w:spacing w:after="0"/>
              <w:rPr>
                <w:sz w:val="20"/>
                <w:szCs w:val="20"/>
                <w:color w:val="auto"/>
              </w:rPr>
            </w:pPr>
            <w:r>
              <w:rPr>
                <w:rFonts w:ascii="Arial" w:cs="Arial" w:eastAsia="Arial" w:hAnsi="Arial"/>
                <w:sz w:val="13"/>
                <w:szCs w:val="13"/>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75,340</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(121,165)</w:t>
            </w:r>
          </w:p>
        </w:tc>
      </w:tr>
      <w:tr>
        <w:trPr>
          <w:trHeight w:val="172"/>
        </w:trPr>
        <w:tc>
          <w:tcPr>
            <w:tcW w:w="6020" w:type="dxa"/>
            <w:vAlign w:val="bottom"/>
          </w:tcPr>
          <w:p>
            <w:pPr>
              <w:ind w:left="20"/>
              <w:spacing w:after="0"/>
              <w:rPr>
                <w:sz w:val="20"/>
                <w:szCs w:val="20"/>
                <w:color w:val="auto"/>
              </w:rPr>
            </w:pPr>
            <w:r>
              <w:rPr>
                <w:rFonts w:ascii="Arial" w:cs="Arial" w:eastAsia="Arial" w:hAnsi="Arial"/>
                <w:sz w:val="13"/>
                <w:szCs w:val="13"/>
                <w:color w:val="auto"/>
              </w:rPr>
              <w:t>Other comprehensive income:</w:t>
            </w: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46"/>
        </w:trPr>
        <w:tc>
          <w:tcPr>
            <w:tcW w:w="6020" w:type="dxa"/>
            <w:vAlign w:val="bottom"/>
            <w:shd w:val="clear" w:color="auto" w:fill="DBDBDB"/>
          </w:tcPr>
          <w:p>
            <w:pPr>
              <w:ind w:left="200"/>
              <w:spacing w:after="0" w:line="147" w:lineRule="exact"/>
              <w:rPr>
                <w:sz w:val="20"/>
                <w:szCs w:val="20"/>
                <w:color w:val="auto"/>
              </w:rPr>
            </w:pPr>
            <w:r>
              <w:rPr>
                <w:rFonts w:ascii="Arial" w:cs="Arial" w:eastAsia="Arial" w:hAnsi="Arial"/>
                <w:sz w:val="13"/>
                <w:szCs w:val="13"/>
                <w:color w:val="auto"/>
              </w:rPr>
              <w:t>Foreign currency translation adjustment, net of income tax (benefit) of $(60), $(685) and $0 for the</w:t>
            </w:r>
          </w:p>
        </w:tc>
        <w:tc>
          <w:tcPr>
            <w:tcW w:w="1080" w:type="dxa"/>
            <w:vAlign w:val="bottom"/>
            <w:shd w:val="clear" w:color="auto" w:fill="DBDBDB"/>
          </w:tcPr>
          <w:p>
            <w:pPr>
              <w:spacing w:after="0"/>
              <w:rPr>
                <w:sz w:val="12"/>
                <w:szCs w:val="12"/>
                <w:color w:val="auto"/>
              </w:rPr>
            </w:pPr>
          </w:p>
        </w:tc>
        <w:tc>
          <w:tcPr>
            <w:tcW w:w="6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400" w:type="dxa"/>
            <w:vAlign w:val="bottom"/>
            <w:shd w:val="clear" w:color="auto" w:fill="DBDBDB"/>
          </w:tcPr>
          <w:p>
            <w:pPr>
              <w:spacing w:after="0"/>
              <w:rPr>
                <w:sz w:val="12"/>
                <w:szCs w:val="12"/>
                <w:color w:val="auto"/>
              </w:rPr>
            </w:pPr>
          </w:p>
        </w:tc>
        <w:tc>
          <w:tcPr>
            <w:tcW w:w="13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400" w:type="dxa"/>
            <w:vAlign w:val="bottom"/>
            <w:shd w:val="clear" w:color="auto" w:fill="DBDBDB"/>
          </w:tcPr>
          <w:p>
            <w:pPr>
              <w:spacing w:after="0"/>
              <w:rPr>
                <w:sz w:val="12"/>
                <w:szCs w:val="12"/>
                <w:color w:val="auto"/>
              </w:rPr>
            </w:pPr>
          </w:p>
        </w:tc>
        <w:tc>
          <w:tcPr>
            <w:tcW w:w="1300" w:type="dxa"/>
            <w:vAlign w:val="bottom"/>
            <w:shd w:val="clear" w:color="auto" w:fill="DBDBDB"/>
          </w:tcPr>
          <w:p>
            <w:pPr>
              <w:spacing w:after="0"/>
              <w:rPr>
                <w:sz w:val="12"/>
                <w:szCs w:val="12"/>
                <w:color w:val="auto"/>
              </w:rPr>
            </w:pPr>
          </w:p>
        </w:tc>
      </w:tr>
      <w:tr>
        <w:trPr>
          <w:trHeight w:val="162"/>
        </w:trPr>
        <w:tc>
          <w:tcPr>
            <w:tcW w:w="6020" w:type="dxa"/>
            <w:vAlign w:val="bottom"/>
            <w:shd w:val="clear" w:color="auto" w:fill="DBDBDB"/>
          </w:tcPr>
          <w:p>
            <w:pPr>
              <w:ind w:left="200"/>
              <w:spacing w:after="0"/>
              <w:rPr>
                <w:sz w:val="20"/>
                <w:szCs w:val="20"/>
                <w:color w:val="auto"/>
              </w:rPr>
            </w:pPr>
            <w:r>
              <w:rPr>
                <w:rFonts w:ascii="Arial" w:cs="Arial" w:eastAsia="Arial" w:hAnsi="Arial"/>
                <w:sz w:val="13"/>
                <w:szCs w:val="13"/>
                <w:color w:val="auto"/>
              </w:rPr>
              <w:t>years ended December 31, 2021, 2020 and 2019, respectively</w:t>
            </w:r>
          </w:p>
        </w:tc>
        <w:tc>
          <w:tcPr>
            <w:tcW w:w="1080" w:type="dxa"/>
            <w:vAlign w:val="bottom"/>
            <w:shd w:val="clear" w:color="auto" w:fill="DBDBDB"/>
          </w:tcPr>
          <w:p>
            <w:pPr>
              <w:spacing w:after="0"/>
              <w:rPr>
                <w:sz w:val="14"/>
                <w:szCs w:val="14"/>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(880)</w:t>
            </w:r>
          </w:p>
        </w:tc>
        <w:tc>
          <w:tcPr>
            <w:tcW w:w="8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28,404</w:t>
            </w:r>
          </w:p>
        </w:tc>
        <w:tc>
          <w:tcPr>
            <w:tcW w:w="8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10,586</w:t>
            </w:r>
          </w:p>
        </w:tc>
      </w:tr>
      <w:tr>
        <w:trPr>
          <w:trHeight w:val="144"/>
        </w:trPr>
        <w:tc>
          <w:tcPr>
            <w:tcW w:w="6020" w:type="dxa"/>
            <w:vAlign w:val="bottom"/>
          </w:tcPr>
          <w:p>
            <w:pPr>
              <w:ind w:left="200"/>
              <w:spacing w:after="0" w:line="144" w:lineRule="exact"/>
              <w:rPr>
                <w:sz w:val="20"/>
                <w:szCs w:val="20"/>
                <w:color w:val="auto"/>
              </w:rPr>
            </w:pPr>
            <w:r>
              <w:rPr>
                <w:rFonts w:ascii="Arial" w:cs="Arial" w:eastAsia="Arial" w:hAnsi="Arial"/>
                <w:sz w:val="13"/>
                <w:szCs w:val="13"/>
                <w:color w:val="auto"/>
              </w:rPr>
              <w:t>Net gain (loss) on derivatives, net of income tax expense (benefit) of $2,661, $(539) and $(1,471) for</w:t>
            </w: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59"/>
        </w:trPr>
        <w:tc>
          <w:tcPr>
            <w:tcW w:w="6020" w:type="dxa"/>
            <w:vAlign w:val="bottom"/>
            <w:tcBorders>
              <w:bottom w:val="single" w:sz="8" w:color="DBDBDB"/>
            </w:tcBorders>
          </w:tcPr>
          <w:p>
            <w:pPr>
              <w:ind w:left="200"/>
              <w:spacing w:after="0"/>
              <w:rPr>
                <w:sz w:val="20"/>
                <w:szCs w:val="20"/>
                <w:color w:val="auto"/>
              </w:rPr>
            </w:pPr>
            <w:r>
              <w:rPr>
                <w:rFonts w:ascii="Arial" w:cs="Arial" w:eastAsia="Arial" w:hAnsi="Arial"/>
                <w:sz w:val="13"/>
                <w:szCs w:val="13"/>
                <w:color w:val="auto"/>
              </w:rPr>
              <w:t>the years ended December 31, 2021, 2020 and 2019, respectively</w:t>
            </w:r>
          </w:p>
        </w:tc>
        <w:tc>
          <w:tcPr>
            <w:tcW w:w="10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9,016</w:t>
            </w:r>
          </w:p>
        </w:tc>
        <w:tc>
          <w:tcPr>
            <w:tcW w:w="80" w:type="dxa"/>
            <w:vAlign w:val="bottom"/>
            <w:tcBorders>
              <w:bottom w:val="single" w:sz="8" w:color="DBDBDB"/>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(1,749)</w:t>
            </w:r>
          </w:p>
        </w:tc>
        <w:tc>
          <w:tcPr>
            <w:tcW w:w="80" w:type="dxa"/>
            <w:vAlign w:val="bottom"/>
            <w:tcBorders>
              <w:bottom w:val="single" w:sz="8" w:color="DBDBDB"/>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(4,809)</w:t>
            </w:r>
          </w:p>
        </w:tc>
      </w:tr>
      <w:tr>
        <w:trPr>
          <w:trHeight w:val="166"/>
        </w:trPr>
        <w:tc>
          <w:tcPr>
            <w:tcW w:w="6020" w:type="dxa"/>
            <w:vAlign w:val="bottom"/>
            <w:shd w:val="clear" w:color="auto" w:fill="DBDBDB"/>
          </w:tcPr>
          <w:p>
            <w:pPr>
              <w:ind w:left="20"/>
              <w:spacing w:after="0"/>
              <w:rPr>
                <w:sz w:val="20"/>
                <w:szCs w:val="20"/>
                <w:color w:val="auto"/>
              </w:rPr>
            </w:pPr>
            <w:r>
              <w:rPr>
                <w:rFonts w:ascii="Arial" w:cs="Arial" w:eastAsia="Arial" w:hAnsi="Arial"/>
                <w:sz w:val="13"/>
                <w:szCs w:val="13"/>
                <w:color w:val="auto"/>
              </w:rPr>
              <w:t>Total other comprehensive income</w:t>
            </w:r>
          </w:p>
        </w:tc>
        <w:tc>
          <w:tcPr>
            <w:tcW w:w="1080" w:type="dxa"/>
            <w:vAlign w:val="bottom"/>
            <w:tcBorders>
              <w:bottom w:val="single" w:sz="8" w:color="auto"/>
            </w:tcBorders>
            <w:shd w:val="clear" w:color="auto" w:fill="DBDBDB"/>
          </w:tcPr>
          <w:p>
            <w:pPr>
              <w:spacing w:after="0"/>
              <w:rPr>
                <w:sz w:val="14"/>
                <w:szCs w:val="14"/>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8,136</w:t>
            </w:r>
          </w:p>
        </w:tc>
        <w:tc>
          <w:tcPr>
            <w:tcW w:w="80" w:type="dxa"/>
            <w:vAlign w:val="bottom"/>
            <w:shd w:val="clear" w:color="auto" w:fill="DBDBDB"/>
          </w:tcPr>
          <w:p>
            <w:pPr>
              <w:spacing w:after="0"/>
              <w:rPr>
                <w:sz w:val="14"/>
                <w:szCs w:val="14"/>
                <w:color w:val="auto"/>
              </w:rPr>
            </w:pPr>
          </w:p>
        </w:tc>
        <w:tc>
          <w:tcPr>
            <w:tcW w:w="400" w:type="dxa"/>
            <w:vAlign w:val="bottom"/>
            <w:tcBorders>
              <w:bottom w:val="single" w:sz="8" w:color="auto"/>
            </w:tcBorders>
            <w:shd w:val="clear" w:color="auto" w:fill="DBDBDB"/>
          </w:tcPr>
          <w:p>
            <w:pPr>
              <w:spacing w:after="0"/>
              <w:rPr>
                <w:sz w:val="14"/>
                <w:szCs w:val="14"/>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26,655</w:t>
            </w:r>
          </w:p>
        </w:tc>
        <w:tc>
          <w:tcPr>
            <w:tcW w:w="80" w:type="dxa"/>
            <w:vAlign w:val="bottom"/>
            <w:shd w:val="clear" w:color="auto" w:fill="DBDBDB"/>
          </w:tcPr>
          <w:p>
            <w:pPr>
              <w:spacing w:after="0"/>
              <w:rPr>
                <w:sz w:val="14"/>
                <w:szCs w:val="14"/>
                <w:color w:val="auto"/>
              </w:rPr>
            </w:pPr>
          </w:p>
        </w:tc>
        <w:tc>
          <w:tcPr>
            <w:tcW w:w="400" w:type="dxa"/>
            <w:vAlign w:val="bottom"/>
            <w:tcBorders>
              <w:bottom w:val="single" w:sz="8" w:color="auto"/>
            </w:tcBorders>
            <w:shd w:val="clear" w:color="auto" w:fill="DBDBDB"/>
          </w:tcPr>
          <w:p>
            <w:pPr>
              <w:spacing w:after="0"/>
              <w:rPr>
                <w:sz w:val="14"/>
                <w:szCs w:val="14"/>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5,777</w:t>
            </w:r>
          </w:p>
        </w:tc>
      </w:tr>
      <w:tr>
        <w:trPr>
          <w:trHeight w:val="166"/>
        </w:trPr>
        <w:tc>
          <w:tcPr>
            <w:tcW w:w="6020" w:type="dxa"/>
            <w:vAlign w:val="bottom"/>
          </w:tcPr>
          <w:p>
            <w:pPr>
              <w:ind w:left="20"/>
              <w:spacing w:after="0"/>
              <w:rPr>
                <w:sz w:val="20"/>
                <w:szCs w:val="20"/>
                <w:color w:val="auto"/>
              </w:rPr>
            </w:pPr>
            <w:r>
              <w:rPr>
                <w:rFonts w:ascii="Arial" w:cs="Arial" w:eastAsia="Arial" w:hAnsi="Arial"/>
                <w:sz w:val="13"/>
                <w:szCs w:val="13"/>
                <w:color w:val="auto"/>
              </w:rPr>
              <w:t>Comprehensive income (loss)</w:t>
            </w:r>
          </w:p>
        </w:tc>
        <w:tc>
          <w:tcPr>
            <w:tcW w:w="10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168,280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101,995</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(115,388)</w:t>
            </w:r>
          </w:p>
        </w:tc>
      </w:tr>
      <w:tr>
        <w:trPr>
          <w:trHeight w:val="175"/>
        </w:trPr>
        <w:tc>
          <w:tcPr>
            <w:tcW w:w="6020" w:type="dxa"/>
            <w:vAlign w:val="bottom"/>
            <w:shd w:val="clear" w:color="auto" w:fill="DBDBDB"/>
          </w:tcPr>
          <w:p>
            <w:pPr>
              <w:ind w:left="200"/>
              <w:spacing w:after="0"/>
              <w:rPr>
                <w:sz w:val="20"/>
                <w:szCs w:val="20"/>
                <w:color w:val="auto"/>
              </w:rPr>
            </w:pPr>
            <w:r>
              <w:rPr>
                <w:rFonts w:ascii="Arial" w:cs="Arial" w:eastAsia="Arial" w:hAnsi="Arial"/>
                <w:sz w:val="13"/>
                <w:szCs w:val="13"/>
                <w:color w:val="auto"/>
              </w:rPr>
              <w:t>Comprehensive (loss) income attributable to non-controlling interest</w:t>
            </w:r>
          </w:p>
        </w:tc>
        <w:tc>
          <w:tcPr>
            <w:tcW w:w="1080" w:type="dxa"/>
            <w:vAlign w:val="bottom"/>
            <w:shd w:val="clear" w:color="auto" w:fill="DBDBDB"/>
          </w:tcPr>
          <w:p>
            <w:pPr>
              <w:spacing w:after="0"/>
              <w:rPr>
                <w:sz w:val="15"/>
                <w:szCs w:val="15"/>
                <w:color w:val="auto"/>
              </w:rPr>
            </w:pPr>
          </w:p>
        </w:tc>
        <w:tc>
          <w:tcPr>
            <w:tcW w:w="70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(672)</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105</w:t>
            </w:r>
          </w:p>
        </w:tc>
      </w:tr>
      <w:tr>
        <w:trPr>
          <w:trHeight w:val="169"/>
        </w:trPr>
        <w:tc>
          <w:tcPr>
            <w:tcW w:w="6020" w:type="dxa"/>
            <w:vAlign w:val="bottom"/>
          </w:tcPr>
          <w:p>
            <w:pPr>
              <w:ind w:left="20"/>
              <w:spacing w:after="0"/>
              <w:rPr>
                <w:sz w:val="20"/>
                <w:szCs w:val="20"/>
                <w:color w:val="auto"/>
              </w:rPr>
            </w:pPr>
            <w:r>
              <w:rPr>
                <w:rFonts w:ascii="Arial" w:cs="Arial" w:eastAsia="Arial" w:hAnsi="Arial"/>
                <w:sz w:val="13"/>
                <w:szCs w:val="13"/>
                <w:color w:val="auto"/>
              </w:rPr>
              <w:t>Total comprehensive income (loss) attributable to WillScot Mobile Mini</w:t>
            </w:r>
          </w:p>
        </w:tc>
        <w:tc>
          <w:tcPr>
            <w:tcW w:w="1080" w:type="dxa"/>
            <w:vAlign w:val="bottom"/>
            <w:tcBorders>
              <w:top w:val="single" w:sz="8" w:color="auto"/>
              <w:bottom w:val="single" w:sz="8" w:color="auto"/>
            </w:tcBorders>
          </w:tcPr>
          <w:p>
            <w:pPr>
              <w:jc w:val="right"/>
              <w:ind w:right="914"/>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168,280</w:t>
            </w:r>
          </w:p>
        </w:tc>
        <w:tc>
          <w:tcPr>
            <w:tcW w:w="80" w:type="dxa"/>
            <w:vAlign w:val="bottom"/>
          </w:tcPr>
          <w:p>
            <w:pPr>
              <w:spacing w:after="0"/>
              <w:rPr>
                <w:sz w:val="14"/>
                <w:szCs w:val="14"/>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102,667</w:t>
            </w:r>
          </w:p>
        </w:tc>
        <w:tc>
          <w:tcPr>
            <w:tcW w:w="8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(115,493)</w:t>
            </w:r>
          </w:p>
        </w:tc>
      </w:tr>
      <w:tr>
        <w:trPr>
          <w:trHeight w:val="20"/>
        </w:trPr>
        <w:tc>
          <w:tcPr>
            <w:tcW w:w="60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jc w:val="center"/>
        <w:spacing w:after="0"/>
        <w:rPr>
          <w:sz w:val="20"/>
          <w:szCs w:val="20"/>
          <w:color w:val="auto"/>
        </w:rPr>
      </w:pPr>
      <w:r>
        <w:rPr>
          <w:rFonts w:ascii="Arial" w:cs="Arial" w:eastAsia="Arial" w:hAnsi="Arial"/>
          <w:sz w:val="10"/>
          <w:szCs w:val="10"/>
          <w:i w:val="1"/>
          <w:iCs w:val="1"/>
          <w:color w:val="auto"/>
        </w:rPr>
        <w:t>See the accompanying notes which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30" w:right="319" w:bottom="1440" w:gutter="0" w:footer="0" w:header="0"/>
        </w:sectPr>
      </w:pPr>
    </w:p>
    <w:bookmarkStart w:id="74" w:name="page75"/>
    <w:bookmarkEnd w:id="74"/>
    <w:p>
      <w:pPr>
        <w:jc w:val="center"/>
        <w:spacing w:after="0"/>
        <w:rPr>
          <w:sz w:val="20"/>
          <w:szCs w:val="20"/>
          <w:color w:val="auto"/>
        </w:rPr>
      </w:pPr>
      <w:r>
        <w:rPr>
          <w:rFonts w:ascii="Arial" w:cs="Arial" w:eastAsia="Arial" w:hAnsi="Arial"/>
          <w:sz w:val="19"/>
          <w:szCs w:val="19"/>
          <w:color w:val="1D2758"/>
        </w:rPr>
        <w:t>WillScot Mobile Mini Holdings Corp.</w:t>
      </w:r>
    </w:p>
    <w:p>
      <w:pPr>
        <w:jc w:val="center"/>
        <w:spacing w:after="0"/>
        <w:rPr>
          <w:sz w:val="20"/>
          <w:szCs w:val="20"/>
          <w:color w:val="auto"/>
        </w:rPr>
      </w:pPr>
      <w:r>
        <w:rPr>
          <w:rFonts w:ascii="Arial" w:cs="Arial" w:eastAsia="Arial" w:hAnsi="Arial"/>
          <w:sz w:val="19"/>
          <w:szCs w:val="19"/>
          <w:color w:val="1D2758"/>
        </w:rPr>
        <w:t>Consolidated Statements of Changes in Equity</w:t>
      </w:r>
    </w:p>
    <w:p>
      <w:pPr>
        <w:jc w:val="center"/>
        <w:spacing w:after="0"/>
        <w:rPr>
          <w:sz w:val="20"/>
          <w:szCs w:val="20"/>
          <w:color w:val="auto"/>
        </w:rPr>
      </w:pPr>
      <w:r>
        <w:rPr>
          <w:rFonts w:ascii="Arial" w:cs="Arial" w:eastAsia="Arial" w:hAnsi="Arial"/>
          <w:sz w:val="19"/>
          <w:szCs w:val="19"/>
          <w:color w:val="1D2758"/>
        </w:rPr>
        <w:t>(in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3400" w:type="dxa"/>
            <w:vAlign w:val="bottom"/>
            <w:shd w:val="clear" w:color="auto" w:fill="1D2758"/>
          </w:tcPr>
          <w:p>
            <w:pPr>
              <w:spacing w:after="0"/>
              <w:rPr>
                <w:sz w:val="11"/>
                <w:szCs w:val="11"/>
                <w:color w:val="auto"/>
              </w:rPr>
            </w:pPr>
          </w:p>
        </w:tc>
        <w:tc>
          <w:tcPr>
            <w:tcW w:w="1320" w:type="dxa"/>
            <w:vAlign w:val="bottom"/>
            <w:gridSpan w:val="3"/>
            <w:shd w:val="clear" w:color="auto" w:fill="1D2758"/>
          </w:tcPr>
          <w:p>
            <w:pPr>
              <w:jc w:val="right"/>
              <w:ind w:right="175"/>
              <w:spacing w:after="0"/>
              <w:rPr>
                <w:sz w:val="20"/>
                <w:szCs w:val="20"/>
                <w:color w:val="auto"/>
              </w:rPr>
            </w:pPr>
            <w:r>
              <w:rPr>
                <w:rFonts w:ascii="Arial" w:cs="Arial" w:eastAsia="Arial" w:hAnsi="Arial"/>
                <w:sz w:val="10"/>
                <w:szCs w:val="10"/>
                <w:b w:val="1"/>
                <w:bCs w:val="1"/>
                <w:color w:val="FFFFFF"/>
              </w:rPr>
              <w:t>Common Stock(1)</w:t>
            </w:r>
          </w:p>
        </w:tc>
        <w:tc>
          <w:tcPr>
            <w:tcW w:w="1240" w:type="dxa"/>
            <w:vAlign w:val="bottom"/>
            <w:gridSpan w:val="3"/>
            <w:shd w:val="clear" w:color="auto" w:fill="1D2758"/>
          </w:tcPr>
          <w:p>
            <w:pPr>
              <w:jc w:val="right"/>
              <w:spacing w:after="0"/>
              <w:rPr>
                <w:sz w:val="20"/>
                <w:szCs w:val="20"/>
                <w:color w:val="auto"/>
              </w:rPr>
            </w:pPr>
            <w:r>
              <w:rPr>
                <w:rFonts w:ascii="Arial" w:cs="Arial" w:eastAsia="Arial" w:hAnsi="Arial"/>
                <w:sz w:val="10"/>
                <w:szCs w:val="10"/>
                <w:b w:val="1"/>
                <w:bCs w:val="1"/>
                <w:color w:val="FFFFFF"/>
              </w:rPr>
              <w:t>Class B Common Stock</w:t>
            </w:r>
          </w:p>
        </w:tc>
        <w:tc>
          <w:tcPr>
            <w:tcW w:w="140" w:type="dxa"/>
            <w:vAlign w:val="bottom"/>
            <w:shd w:val="clear" w:color="auto" w:fill="1D2758"/>
          </w:tcPr>
          <w:p>
            <w:pPr>
              <w:spacing w:after="0"/>
              <w:rPr>
                <w:sz w:val="11"/>
                <w:szCs w:val="11"/>
                <w:color w:val="auto"/>
              </w:rPr>
            </w:pPr>
          </w:p>
        </w:tc>
        <w:tc>
          <w:tcPr>
            <w:tcW w:w="740" w:type="dxa"/>
            <w:vAlign w:val="bottom"/>
            <w:shd w:val="clear" w:color="auto" w:fill="1D2758"/>
          </w:tcPr>
          <w:p>
            <w:pPr>
              <w:spacing w:after="0"/>
              <w:rPr>
                <w:sz w:val="11"/>
                <w:szCs w:val="11"/>
                <w:color w:val="auto"/>
              </w:rPr>
            </w:pPr>
          </w:p>
        </w:tc>
        <w:tc>
          <w:tcPr>
            <w:tcW w:w="120" w:type="dxa"/>
            <w:vAlign w:val="bottom"/>
            <w:shd w:val="clear" w:color="auto" w:fill="1D2758"/>
          </w:tcPr>
          <w:p>
            <w:pPr>
              <w:spacing w:after="0"/>
              <w:rPr>
                <w:sz w:val="11"/>
                <w:szCs w:val="11"/>
                <w:color w:val="auto"/>
              </w:rPr>
            </w:pPr>
          </w:p>
        </w:tc>
        <w:tc>
          <w:tcPr>
            <w:tcW w:w="960" w:type="dxa"/>
            <w:vAlign w:val="bottom"/>
            <w:shd w:val="clear" w:color="auto" w:fill="1D2758"/>
          </w:tcPr>
          <w:p>
            <w:pPr>
              <w:spacing w:after="0"/>
              <w:rPr>
                <w:sz w:val="11"/>
                <w:szCs w:val="11"/>
                <w:color w:val="auto"/>
              </w:rPr>
            </w:pPr>
          </w:p>
        </w:tc>
        <w:tc>
          <w:tcPr>
            <w:tcW w:w="120" w:type="dxa"/>
            <w:vAlign w:val="bottom"/>
            <w:shd w:val="clear" w:color="auto" w:fill="1D2758"/>
          </w:tcPr>
          <w:p>
            <w:pPr>
              <w:spacing w:after="0"/>
              <w:rPr>
                <w:sz w:val="11"/>
                <w:szCs w:val="11"/>
                <w:color w:val="auto"/>
              </w:rPr>
            </w:pPr>
          </w:p>
        </w:tc>
        <w:tc>
          <w:tcPr>
            <w:tcW w:w="800" w:type="dxa"/>
            <w:vAlign w:val="bottom"/>
            <w:shd w:val="clear" w:color="auto" w:fill="1D2758"/>
          </w:tcPr>
          <w:p>
            <w:pPr>
              <w:spacing w:after="0"/>
              <w:rPr>
                <w:sz w:val="11"/>
                <w:szCs w:val="11"/>
                <w:color w:val="auto"/>
              </w:rPr>
            </w:pPr>
          </w:p>
        </w:tc>
        <w:tc>
          <w:tcPr>
            <w:tcW w:w="120" w:type="dxa"/>
            <w:vAlign w:val="bottom"/>
            <w:shd w:val="clear" w:color="auto" w:fill="1D2758"/>
          </w:tcPr>
          <w:p>
            <w:pPr>
              <w:spacing w:after="0"/>
              <w:rPr>
                <w:sz w:val="11"/>
                <w:szCs w:val="11"/>
                <w:color w:val="auto"/>
              </w:rPr>
            </w:pPr>
          </w:p>
        </w:tc>
        <w:tc>
          <w:tcPr>
            <w:tcW w:w="800" w:type="dxa"/>
            <w:vAlign w:val="bottom"/>
            <w:shd w:val="clear" w:color="auto" w:fill="1D2758"/>
          </w:tcPr>
          <w:p>
            <w:pPr>
              <w:spacing w:after="0"/>
              <w:rPr>
                <w:sz w:val="11"/>
                <w:szCs w:val="11"/>
                <w:color w:val="auto"/>
              </w:rPr>
            </w:pPr>
          </w:p>
        </w:tc>
        <w:tc>
          <w:tcPr>
            <w:tcW w:w="140" w:type="dxa"/>
            <w:vAlign w:val="bottom"/>
            <w:shd w:val="clear" w:color="auto" w:fill="1D2758"/>
          </w:tcPr>
          <w:p>
            <w:pPr>
              <w:spacing w:after="0"/>
              <w:rPr>
                <w:sz w:val="11"/>
                <w:szCs w:val="11"/>
                <w:color w:val="auto"/>
              </w:rPr>
            </w:pPr>
          </w:p>
        </w:tc>
        <w:tc>
          <w:tcPr>
            <w:tcW w:w="580" w:type="dxa"/>
            <w:vAlign w:val="bottom"/>
            <w:shd w:val="clear" w:color="auto" w:fill="1D2758"/>
          </w:tcPr>
          <w:p>
            <w:pPr>
              <w:spacing w:after="0"/>
              <w:rPr>
                <w:sz w:val="11"/>
                <w:szCs w:val="11"/>
                <w:color w:val="auto"/>
              </w:rPr>
            </w:pPr>
          </w:p>
        </w:tc>
        <w:tc>
          <w:tcPr>
            <w:tcW w:w="100" w:type="dxa"/>
            <w:vAlign w:val="bottom"/>
            <w:shd w:val="clear" w:color="auto" w:fill="1D2758"/>
          </w:tcPr>
          <w:p>
            <w:pPr>
              <w:spacing w:after="0"/>
              <w:rPr>
                <w:sz w:val="11"/>
                <w:szCs w:val="11"/>
                <w:color w:val="auto"/>
              </w:rPr>
            </w:pPr>
          </w:p>
        </w:tc>
        <w:tc>
          <w:tcPr>
            <w:tcW w:w="700" w:type="dxa"/>
            <w:vAlign w:val="bottom"/>
            <w:shd w:val="clear" w:color="auto" w:fill="1D2758"/>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3400" w:type="dxa"/>
            <w:vAlign w:val="bottom"/>
            <w:shd w:val="clear" w:color="auto" w:fill="1D2758"/>
          </w:tcPr>
          <w:p>
            <w:pPr>
              <w:spacing w:after="0"/>
              <w:rPr>
                <w:sz w:val="8"/>
                <w:szCs w:val="8"/>
                <w:color w:val="auto"/>
              </w:rPr>
            </w:pPr>
          </w:p>
        </w:tc>
        <w:tc>
          <w:tcPr>
            <w:tcW w:w="640" w:type="dxa"/>
            <w:vAlign w:val="bottom"/>
            <w:shd w:val="clear" w:color="auto" w:fill="1D2758"/>
          </w:tcPr>
          <w:p>
            <w:pPr>
              <w:spacing w:after="0"/>
              <w:rPr>
                <w:sz w:val="8"/>
                <w:szCs w:val="8"/>
                <w:color w:val="auto"/>
              </w:rPr>
            </w:pPr>
          </w:p>
        </w:tc>
        <w:tc>
          <w:tcPr>
            <w:tcW w:w="100" w:type="dxa"/>
            <w:vAlign w:val="bottom"/>
            <w:shd w:val="clear" w:color="auto" w:fill="1D2758"/>
          </w:tcPr>
          <w:p>
            <w:pPr>
              <w:spacing w:after="0"/>
              <w:rPr>
                <w:sz w:val="8"/>
                <w:szCs w:val="8"/>
                <w:color w:val="auto"/>
              </w:rPr>
            </w:pPr>
          </w:p>
        </w:tc>
        <w:tc>
          <w:tcPr>
            <w:tcW w:w="580" w:type="dxa"/>
            <w:vAlign w:val="bottom"/>
            <w:shd w:val="clear" w:color="auto" w:fill="1D2758"/>
          </w:tcPr>
          <w:p>
            <w:pPr>
              <w:spacing w:after="0"/>
              <w:rPr>
                <w:sz w:val="8"/>
                <w:szCs w:val="8"/>
                <w:color w:val="auto"/>
              </w:rPr>
            </w:pPr>
          </w:p>
        </w:tc>
        <w:tc>
          <w:tcPr>
            <w:tcW w:w="600" w:type="dxa"/>
            <w:vAlign w:val="bottom"/>
            <w:shd w:val="clear" w:color="auto" w:fill="1D2758"/>
          </w:tcPr>
          <w:p>
            <w:pPr>
              <w:spacing w:after="0"/>
              <w:rPr>
                <w:sz w:val="8"/>
                <w:szCs w:val="8"/>
                <w:color w:val="auto"/>
              </w:rPr>
            </w:pPr>
          </w:p>
        </w:tc>
        <w:tc>
          <w:tcPr>
            <w:tcW w:w="120" w:type="dxa"/>
            <w:vAlign w:val="bottom"/>
            <w:shd w:val="clear" w:color="auto" w:fill="1D2758"/>
          </w:tcPr>
          <w:p>
            <w:pPr>
              <w:spacing w:after="0"/>
              <w:rPr>
                <w:sz w:val="8"/>
                <w:szCs w:val="8"/>
                <w:color w:val="auto"/>
              </w:rPr>
            </w:pPr>
          </w:p>
        </w:tc>
        <w:tc>
          <w:tcPr>
            <w:tcW w:w="520" w:type="dxa"/>
            <w:vAlign w:val="bottom"/>
            <w:shd w:val="clear" w:color="auto" w:fill="1D2758"/>
          </w:tcPr>
          <w:p>
            <w:pPr>
              <w:spacing w:after="0"/>
              <w:rPr>
                <w:sz w:val="8"/>
                <w:szCs w:val="8"/>
                <w:color w:val="auto"/>
              </w:rPr>
            </w:pPr>
          </w:p>
        </w:tc>
        <w:tc>
          <w:tcPr>
            <w:tcW w:w="880" w:type="dxa"/>
            <w:vAlign w:val="bottom"/>
            <w:gridSpan w:val="2"/>
            <w:vMerge w:val="restart"/>
            <w:shd w:val="clear" w:color="auto" w:fill="1D2758"/>
          </w:tcPr>
          <w:p>
            <w:pPr>
              <w:jc w:val="right"/>
              <w:spacing w:after="0"/>
              <w:rPr>
                <w:sz w:val="20"/>
                <w:szCs w:val="20"/>
                <w:color w:val="auto"/>
              </w:rPr>
            </w:pPr>
            <w:r>
              <w:rPr>
                <w:rFonts w:ascii="Arial" w:cs="Arial" w:eastAsia="Arial" w:hAnsi="Arial"/>
                <w:sz w:val="10"/>
                <w:szCs w:val="10"/>
                <w:b w:val="1"/>
                <w:bCs w:val="1"/>
                <w:color w:val="FFFFFF"/>
              </w:rPr>
              <w:t>Additional Paid-</w:t>
            </w:r>
          </w:p>
        </w:tc>
        <w:tc>
          <w:tcPr>
            <w:tcW w:w="1080" w:type="dxa"/>
            <w:vAlign w:val="bottom"/>
            <w:gridSpan w:val="2"/>
            <w:shd w:val="clear" w:color="auto" w:fill="1D2758"/>
          </w:tcPr>
          <w:p>
            <w:pPr>
              <w:jc w:val="center"/>
              <w:spacing w:after="0" w:line="99" w:lineRule="exact"/>
              <w:rPr>
                <w:sz w:val="20"/>
                <w:szCs w:val="20"/>
                <w:color w:val="auto"/>
              </w:rPr>
            </w:pPr>
            <w:r>
              <w:rPr>
                <w:rFonts w:ascii="Arial" w:cs="Arial" w:eastAsia="Arial" w:hAnsi="Arial"/>
                <w:sz w:val="10"/>
                <w:szCs w:val="10"/>
                <w:b w:val="1"/>
                <w:bCs w:val="1"/>
                <w:color w:val="FFFFFF"/>
              </w:rPr>
              <w:t>Accumulated Other</w:t>
            </w:r>
          </w:p>
        </w:tc>
        <w:tc>
          <w:tcPr>
            <w:tcW w:w="120" w:type="dxa"/>
            <w:vAlign w:val="bottom"/>
            <w:shd w:val="clear" w:color="auto" w:fill="1D2758"/>
          </w:tcPr>
          <w:p>
            <w:pPr>
              <w:spacing w:after="0"/>
              <w:rPr>
                <w:sz w:val="8"/>
                <w:szCs w:val="8"/>
                <w:color w:val="auto"/>
              </w:rPr>
            </w:pPr>
          </w:p>
        </w:tc>
        <w:tc>
          <w:tcPr>
            <w:tcW w:w="800" w:type="dxa"/>
            <w:vAlign w:val="bottom"/>
            <w:vMerge w:val="restart"/>
            <w:shd w:val="clear" w:color="auto" w:fill="1D2758"/>
          </w:tcPr>
          <w:p>
            <w:pPr>
              <w:jc w:val="right"/>
              <w:ind w:right="76"/>
              <w:spacing w:after="0"/>
              <w:rPr>
                <w:sz w:val="20"/>
                <w:szCs w:val="20"/>
                <w:color w:val="auto"/>
              </w:rPr>
            </w:pPr>
            <w:r>
              <w:rPr>
                <w:rFonts w:ascii="Arial" w:cs="Arial" w:eastAsia="Arial" w:hAnsi="Arial"/>
                <w:sz w:val="10"/>
                <w:szCs w:val="10"/>
                <w:b w:val="1"/>
                <w:bCs w:val="1"/>
                <w:color w:val="FFFFFF"/>
              </w:rPr>
              <w:t>Accumulated</w:t>
            </w:r>
          </w:p>
        </w:tc>
        <w:tc>
          <w:tcPr>
            <w:tcW w:w="120" w:type="dxa"/>
            <w:vAlign w:val="bottom"/>
            <w:shd w:val="clear" w:color="auto" w:fill="1D2758"/>
          </w:tcPr>
          <w:p>
            <w:pPr>
              <w:spacing w:after="0"/>
              <w:rPr>
                <w:sz w:val="8"/>
                <w:szCs w:val="8"/>
                <w:color w:val="auto"/>
              </w:rPr>
            </w:pPr>
          </w:p>
        </w:tc>
        <w:tc>
          <w:tcPr>
            <w:tcW w:w="800" w:type="dxa"/>
            <w:vAlign w:val="bottom"/>
            <w:shd w:val="clear" w:color="auto" w:fill="1D2758"/>
          </w:tcPr>
          <w:p>
            <w:pPr>
              <w:jc w:val="center"/>
              <w:ind w:right="36"/>
              <w:spacing w:after="0" w:line="99" w:lineRule="exact"/>
              <w:rPr>
                <w:sz w:val="20"/>
                <w:szCs w:val="20"/>
                <w:color w:val="auto"/>
              </w:rPr>
            </w:pPr>
            <w:r>
              <w:rPr>
                <w:rFonts w:ascii="Arial" w:cs="Arial" w:eastAsia="Arial" w:hAnsi="Arial"/>
                <w:sz w:val="10"/>
                <w:szCs w:val="10"/>
                <w:b w:val="1"/>
                <w:bCs w:val="1"/>
                <w:color w:val="FFFFFF"/>
                <w:w w:val="91"/>
              </w:rPr>
              <w:t>Total</w:t>
            </w:r>
          </w:p>
        </w:tc>
        <w:tc>
          <w:tcPr>
            <w:tcW w:w="140" w:type="dxa"/>
            <w:vAlign w:val="bottom"/>
            <w:shd w:val="clear" w:color="auto" w:fill="1D2758"/>
          </w:tcPr>
          <w:p>
            <w:pPr>
              <w:spacing w:after="0"/>
              <w:rPr>
                <w:sz w:val="8"/>
                <w:szCs w:val="8"/>
                <w:color w:val="auto"/>
              </w:rPr>
            </w:pPr>
          </w:p>
        </w:tc>
        <w:tc>
          <w:tcPr>
            <w:tcW w:w="580" w:type="dxa"/>
            <w:vAlign w:val="bottom"/>
            <w:shd w:val="clear" w:color="auto" w:fill="1D2758"/>
          </w:tcPr>
          <w:p>
            <w:pPr>
              <w:jc w:val="center"/>
              <w:ind w:right="56"/>
              <w:spacing w:after="0" w:line="99" w:lineRule="exact"/>
              <w:rPr>
                <w:sz w:val="20"/>
                <w:szCs w:val="20"/>
                <w:color w:val="auto"/>
              </w:rPr>
            </w:pPr>
            <w:r>
              <w:rPr>
                <w:rFonts w:ascii="Arial" w:cs="Arial" w:eastAsia="Arial" w:hAnsi="Arial"/>
                <w:sz w:val="10"/>
                <w:szCs w:val="10"/>
                <w:b w:val="1"/>
                <w:bCs w:val="1"/>
                <w:color w:val="FFFFFF"/>
                <w:w w:val="96"/>
              </w:rPr>
              <w:t>Non-</w:t>
            </w:r>
          </w:p>
        </w:tc>
        <w:tc>
          <w:tcPr>
            <w:tcW w:w="100" w:type="dxa"/>
            <w:vAlign w:val="bottom"/>
            <w:shd w:val="clear" w:color="auto" w:fill="1D2758"/>
          </w:tcPr>
          <w:p>
            <w:pPr>
              <w:spacing w:after="0"/>
              <w:rPr>
                <w:sz w:val="8"/>
                <w:szCs w:val="8"/>
                <w:color w:val="auto"/>
              </w:rPr>
            </w:pPr>
          </w:p>
        </w:tc>
        <w:tc>
          <w:tcPr>
            <w:tcW w:w="700" w:type="dxa"/>
            <w:vAlign w:val="bottom"/>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400" w:type="dxa"/>
            <w:vAlign w:val="bottom"/>
            <w:shd w:val="clear" w:color="auto" w:fill="1D2758"/>
          </w:tcPr>
          <w:p>
            <w:pPr>
              <w:spacing w:after="0"/>
              <w:rPr>
                <w:sz w:val="8"/>
                <w:szCs w:val="8"/>
                <w:color w:val="auto"/>
              </w:rPr>
            </w:pPr>
          </w:p>
        </w:tc>
        <w:tc>
          <w:tcPr>
            <w:tcW w:w="640" w:type="dxa"/>
            <w:vAlign w:val="bottom"/>
            <w:vMerge w:val="restart"/>
            <w:shd w:val="clear" w:color="auto" w:fill="1D2758"/>
          </w:tcPr>
          <w:p>
            <w:pPr>
              <w:jc w:val="right"/>
              <w:ind w:right="96"/>
              <w:spacing w:after="0"/>
              <w:rPr>
                <w:sz w:val="20"/>
                <w:szCs w:val="20"/>
                <w:color w:val="auto"/>
              </w:rPr>
            </w:pPr>
            <w:r>
              <w:rPr>
                <w:rFonts w:ascii="Arial" w:cs="Arial" w:eastAsia="Arial" w:hAnsi="Arial"/>
                <w:sz w:val="10"/>
                <w:szCs w:val="10"/>
                <w:b w:val="1"/>
                <w:bCs w:val="1"/>
                <w:color w:val="FFFFFF"/>
              </w:rPr>
              <w:t>Shares</w:t>
            </w:r>
          </w:p>
        </w:tc>
        <w:tc>
          <w:tcPr>
            <w:tcW w:w="100" w:type="dxa"/>
            <w:vAlign w:val="bottom"/>
            <w:shd w:val="clear" w:color="auto" w:fill="1D2758"/>
          </w:tcPr>
          <w:p>
            <w:pPr>
              <w:spacing w:after="0"/>
              <w:rPr>
                <w:sz w:val="8"/>
                <w:szCs w:val="8"/>
                <w:color w:val="auto"/>
              </w:rPr>
            </w:pPr>
          </w:p>
        </w:tc>
        <w:tc>
          <w:tcPr>
            <w:tcW w:w="580" w:type="dxa"/>
            <w:vAlign w:val="bottom"/>
            <w:vMerge w:val="restart"/>
            <w:shd w:val="clear" w:color="auto" w:fill="1D2758"/>
          </w:tcPr>
          <w:p>
            <w:pPr>
              <w:jc w:val="right"/>
              <w:ind w:right="95"/>
              <w:spacing w:after="0"/>
              <w:rPr>
                <w:sz w:val="20"/>
                <w:szCs w:val="20"/>
                <w:color w:val="auto"/>
              </w:rPr>
            </w:pPr>
            <w:r>
              <w:rPr>
                <w:rFonts w:ascii="Arial" w:cs="Arial" w:eastAsia="Arial" w:hAnsi="Arial"/>
                <w:sz w:val="10"/>
                <w:szCs w:val="10"/>
                <w:b w:val="1"/>
                <w:bCs w:val="1"/>
                <w:color w:val="FFFFFF"/>
              </w:rPr>
              <w:t>Amount</w:t>
            </w:r>
          </w:p>
        </w:tc>
        <w:tc>
          <w:tcPr>
            <w:tcW w:w="600" w:type="dxa"/>
            <w:vAlign w:val="bottom"/>
            <w:vMerge w:val="restart"/>
            <w:shd w:val="clear" w:color="auto" w:fill="1D2758"/>
          </w:tcPr>
          <w:p>
            <w:pPr>
              <w:jc w:val="right"/>
              <w:ind w:right="76"/>
              <w:spacing w:after="0"/>
              <w:rPr>
                <w:sz w:val="20"/>
                <w:szCs w:val="20"/>
                <w:color w:val="auto"/>
              </w:rPr>
            </w:pPr>
            <w:r>
              <w:rPr>
                <w:rFonts w:ascii="Arial" w:cs="Arial" w:eastAsia="Arial" w:hAnsi="Arial"/>
                <w:sz w:val="10"/>
                <w:szCs w:val="10"/>
                <w:b w:val="1"/>
                <w:bCs w:val="1"/>
                <w:color w:val="FFFFFF"/>
              </w:rPr>
              <w:t>Shares</w:t>
            </w:r>
          </w:p>
        </w:tc>
        <w:tc>
          <w:tcPr>
            <w:tcW w:w="120" w:type="dxa"/>
            <w:vAlign w:val="bottom"/>
            <w:shd w:val="clear" w:color="auto" w:fill="1D2758"/>
          </w:tcPr>
          <w:p>
            <w:pPr>
              <w:spacing w:after="0"/>
              <w:rPr>
                <w:sz w:val="8"/>
                <w:szCs w:val="8"/>
                <w:color w:val="auto"/>
              </w:rPr>
            </w:pPr>
          </w:p>
        </w:tc>
        <w:tc>
          <w:tcPr>
            <w:tcW w:w="520" w:type="dxa"/>
            <w:vAlign w:val="bottom"/>
            <w:vMerge w:val="restart"/>
            <w:shd w:val="clear" w:color="auto" w:fill="1D2758"/>
          </w:tcPr>
          <w:p>
            <w:pPr>
              <w:jc w:val="right"/>
              <w:ind w:right="55"/>
              <w:spacing w:after="0"/>
              <w:rPr>
                <w:sz w:val="20"/>
                <w:szCs w:val="20"/>
                <w:color w:val="auto"/>
              </w:rPr>
            </w:pPr>
            <w:r>
              <w:rPr>
                <w:rFonts w:ascii="Arial" w:cs="Arial" w:eastAsia="Arial" w:hAnsi="Arial"/>
                <w:sz w:val="10"/>
                <w:szCs w:val="10"/>
                <w:b w:val="1"/>
                <w:bCs w:val="1"/>
                <w:color w:val="FFFFFF"/>
              </w:rPr>
              <w:t>Amount</w:t>
            </w:r>
          </w:p>
        </w:tc>
        <w:tc>
          <w:tcPr>
            <w:tcW w:w="880" w:type="dxa"/>
            <w:vAlign w:val="bottom"/>
            <w:gridSpan w:val="2"/>
            <w:vMerge w:val="continue"/>
            <w:shd w:val="clear" w:color="auto" w:fill="1D2758"/>
          </w:tcPr>
          <w:p>
            <w:pPr>
              <w:spacing w:after="0"/>
              <w:rPr>
                <w:sz w:val="8"/>
                <w:szCs w:val="8"/>
                <w:color w:val="auto"/>
              </w:rPr>
            </w:pPr>
          </w:p>
        </w:tc>
        <w:tc>
          <w:tcPr>
            <w:tcW w:w="120" w:type="dxa"/>
            <w:vAlign w:val="bottom"/>
            <w:shd w:val="clear" w:color="auto" w:fill="1D2758"/>
          </w:tcPr>
          <w:p>
            <w:pPr>
              <w:spacing w:after="0"/>
              <w:rPr>
                <w:sz w:val="8"/>
                <w:szCs w:val="8"/>
                <w:color w:val="auto"/>
              </w:rPr>
            </w:pPr>
          </w:p>
        </w:tc>
        <w:tc>
          <w:tcPr>
            <w:tcW w:w="960" w:type="dxa"/>
            <w:vAlign w:val="bottom"/>
            <w:shd w:val="clear" w:color="auto" w:fill="1D2758"/>
          </w:tcPr>
          <w:p>
            <w:pPr>
              <w:jc w:val="center"/>
              <w:ind w:right="56"/>
              <w:spacing w:after="0" w:line="99" w:lineRule="exact"/>
              <w:rPr>
                <w:sz w:val="20"/>
                <w:szCs w:val="20"/>
                <w:color w:val="auto"/>
              </w:rPr>
            </w:pPr>
            <w:r>
              <w:rPr>
                <w:rFonts w:ascii="Arial" w:cs="Arial" w:eastAsia="Arial" w:hAnsi="Arial"/>
                <w:sz w:val="10"/>
                <w:szCs w:val="10"/>
                <w:b w:val="1"/>
                <w:bCs w:val="1"/>
                <w:color w:val="FFFFFF"/>
              </w:rPr>
              <w:t>Comprehensive</w:t>
            </w:r>
          </w:p>
        </w:tc>
        <w:tc>
          <w:tcPr>
            <w:tcW w:w="120" w:type="dxa"/>
            <w:vAlign w:val="bottom"/>
            <w:shd w:val="clear" w:color="auto" w:fill="1D2758"/>
          </w:tcPr>
          <w:p>
            <w:pPr>
              <w:spacing w:after="0"/>
              <w:rPr>
                <w:sz w:val="8"/>
                <w:szCs w:val="8"/>
                <w:color w:val="auto"/>
              </w:rPr>
            </w:pPr>
          </w:p>
        </w:tc>
        <w:tc>
          <w:tcPr>
            <w:tcW w:w="800" w:type="dxa"/>
            <w:vAlign w:val="bottom"/>
            <w:vMerge w:val="continue"/>
            <w:shd w:val="clear" w:color="auto" w:fill="1D2758"/>
          </w:tcPr>
          <w:p>
            <w:pPr>
              <w:spacing w:after="0"/>
              <w:rPr>
                <w:sz w:val="8"/>
                <w:szCs w:val="8"/>
                <w:color w:val="auto"/>
              </w:rPr>
            </w:pPr>
          </w:p>
        </w:tc>
        <w:tc>
          <w:tcPr>
            <w:tcW w:w="120" w:type="dxa"/>
            <w:vAlign w:val="bottom"/>
            <w:shd w:val="clear" w:color="auto" w:fill="1D2758"/>
          </w:tcPr>
          <w:p>
            <w:pPr>
              <w:spacing w:after="0"/>
              <w:rPr>
                <w:sz w:val="8"/>
                <w:szCs w:val="8"/>
                <w:color w:val="auto"/>
              </w:rPr>
            </w:pPr>
          </w:p>
        </w:tc>
        <w:tc>
          <w:tcPr>
            <w:tcW w:w="800" w:type="dxa"/>
            <w:vAlign w:val="bottom"/>
            <w:shd w:val="clear" w:color="auto" w:fill="1D2758"/>
          </w:tcPr>
          <w:p>
            <w:pPr>
              <w:jc w:val="center"/>
              <w:ind w:right="36"/>
              <w:spacing w:after="0" w:line="99" w:lineRule="exact"/>
              <w:rPr>
                <w:sz w:val="20"/>
                <w:szCs w:val="20"/>
                <w:color w:val="auto"/>
              </w:rPr>
            </w:pPr>
            <w:r>
              <w:rPr>
                <w:rFonts w:ascii="Arial" w:cs="Arial" w:eastAsia="Arial" w:hAnsi="Arial"/>
                <w:sz w:val="10"/>
                <w:szCs w:val="10"/>
                <w:b w:val="1"/>
                <w:bCs w:val="1"/>
                <w:color w:val="FFFFFF"/>
                <w:w w:val="99"/>
              </w:rPr>
              <w:t>Shareholders'</w:t>
            </w:r>
          </w:p>
        </w:tc>
        <w:tc>
          <w:tcPr>
            <w:tcW w:w="720" w:type="dxa"/>
            <w:vAlign w:val="bottom"/>
            <w:gridSpan w:val="2"/>
            <w:shd w:val="clear" w:color="auto" w:fill="1D2758"/>
          </w:tcPr>
          <w:p>
            <w:pPr>
              <w:jc w:val="center"/>
              <w:spacing w:after="0" w:line="99" w:lineRule="exact"/>
              <w:rPr>
                <w:sz w:val="20"/>
                <w:szCs w:val="20"/>
                <w:color w:val="auto"/>
              </w:rPr>
            </w:pPr>
            <w:r>
              <w:rPr>
                <w:rFonts w:ascii="Arial" w:cs="Arial" w:eastAsia="Arial" w:hAnsi="Arial"/>
                <w:sz w:val="10"/>
                <w:szCs w:val="10"/>
                <w:b w:val="1"/>
                <w:bCs w:val="1"/>
                <w:color w:val="FFFFFF"/>
              </w:rPr>
              <w:t>Controlling</w:t>
            </w:r>
          </w:p>
        </w:tc>
        <w:tc>
          <w:tcPr>
            <w:tcW w:w="100" w:type="dxa"/>
            <w:vAlign w:val="bottom"/>
            <w:shd w:val="clear" w:color="auto" w:fill="1D2758"/>
          </w:tcPr>
          <w:p>
            <w:pPr>
              <w:spacing w:after="0"/>
              <w:rPr>
                <w:sz w:val="8"/>
                <w:szCs w:val="8"/>
                <w:color w:val="auto"/>
              </w:rPr>
            </w:pPr>
          </w:p>
        </w:tc>
        <w:tc>
          <w:tcPr>
            <w:tcW w:w="700" w:type="dxa"/>
            <w:vAlign w:val="bottom"/>
            <w:vMerge w:val="restart"/>
            <w:shd w:val="clear" w:color="auto" w:fill="1D2758"/>
          </w:tcPr>
          <w:p>
            <w:pPr>
              <w:jc w:val="right"/>
              <w:ind w:right="55"/>
              <w:spacing w:after="0"/>
              <w:rPr>
                <w:sz w:val="20"/>
                <w:szCs w:val="20"/>
                <w:color w:val="auto"/>
              </w:rPr>
            </w:pPr>
            <w:r>
              <w:rPr>
                <w:rFonts w:ascii="Arial" w:cs="Arial" w:eastAsia="Arial" w:hAnsi="Arial"/>
                <w:sz w:val="10"/>
                <w:szCs w:val="10"/>
                <w:b w:val="1"/>
                <w:bCs w:val="1"/>
                <w:color w:val="FFFFFF"/>
                <w:w w:val="97"/>
              </w:rPr>
              <w:t>Total Equity</w:t>
            </w:r>
          </w:p>
        </w:tc>
        <w:tc>
          <w:tcPr>
            <w:tcW w:w="0" w:type="dxa"/>
            <w:vAlign w:val="bottom"/>
          </w:tcPr>
          <w:p>
            <w:pPr>
              <w:spacing w:after="0"/>
              <w:rPr>
                <w:sz w:val="1"/>
                <w:szCs w:val="1"/>
                <w:color w:val="auto"/>
              </w:rPr>
            </w:pPr>
          </w:p>
        </w:tc>
      </w:tr>
      <w:tr>
        <w:trPr>
          <w:trHeight w:val="138"/>
        </w:trPr>
        <w:tc>
          <w:tcPr>
            <w:tcW w:w="3400" w:type="dxa"/>
            <w:vAlign w:val="bottom"/>
            <w:tcBorders>
              <w:bottom w:val="single" w:sz="8" w:color="DBDBDB"/>
            </w:tcBorders>
            <w:shd w:val="clear" w:color="auto" w:fill="1D2758"/>
          </w:tcPr>
          <w:p>
            <w:pPr>
              <w:spacing w:after="0"/>
              <w:rPr>
                <w:sz w:val="12"/>
                <w:szCs w:val="12"/>
                <w:color w:val="auto"/>
              </w:rPr>
            </w:pPr>
          </w:p>
        </w:tc>
        <w:tc>
          <w:tcPr>
            <w:tcW w:w="640" w:type="dxa"/>
            <w:vAlign w:val="bottom"/>
            <w:tcBorders>
              <w:bottom w:val="single" w:sz="8" w:color="auto"/>
            </w:tcBorders>
            <w:vMerge w:val="continue"/>
            <w:shd w:val="clear" w:color="auto" w:fill="1D2758"/>
          </w:tcPr>
          <w:p>
            <w:pPr>
              <w:spacing w:after="0"/>
              <w:rPr>
                <w:sz w:val="12"/>
                <w:szCs w:val="12"/>
                <w:color w:val="auto"/>
              </w:rPr>
            </w:pPr>
          </w:p>
        </w:tc>
        <w:tc>
          <w:tcPr>
            <w:tcW w:w="100" w:type="dxa"/>
            <w:vAlign w:val="bottom"/>
            <w:tcBorders>
              <w:bottom w:val="single" w:sz="8" w:color="auto"/>
            </w:tcBorders>
            <w:shd w:val="clear" w:color="auto" w:fill="1D2758"/>
          </w:tcPr>
          <w:p>
            <w:pPr>
              <w:spacing w:after="0"/>
              <w:rPr>
                <w:sz w:val="12"/>
                <w:szCs w:val="12"/>
                <w:color w:val="auto"/>
              </w:rPr>
            </w:pPr>
          </w:p>
        </w:tc>
        <w:tc>
          <w:tcPr>
            <w:tcW w:w="580" w:type="dxa"/>
            <w:vAlign w:val="bottom"/>
            <w:tcBorders>
              <w:bottom w:val="single" w:sz="8" w:color="auto"/>
            </w:tcBorders>
            <w:vMerge w:val="continue"/>
            <w:shd w:val="clear" w:color="auto" w:fill="1D2758"/>
          </w:tcPr>
          <w:p>
            <w:pPr>
              <w:spacing w:after="0"/>
              <w:rPr>
                <w:sz w:val="12"/>
                <w:szCs w:val="12"/>
                <w:color w:val="auto"/>
              </w:rPr>
            </w:pPr>
          </w:p>
        </w:tc>
        <w:tc>
          <w:tcPr>
            <w:tcW w:w="600" w:type="dxa"/>
            <w:vAlign w:val="bottom"/>
            <w:tcBorders>
              <w:bottom w:val="single" w:sz="8" w:color="auto"/>
            </w:tcBorders>
            <w:vMerge w:val="continue"/>
            <w:shd w:val="clear" w:color="auto" w:fill="1D2758"/>
          </w:tcPr>
          <w:p>
            <w:pPr>
              <w:spacing w:after="0"/>
              <w:rPr>
                <w:sz w:val="12"/>
                <w:szCs w:val="12"/>
                <w:color w:val="auto"/>
              </w:rPr>
            </w:pPr>
          </w:p>
        </w:tc>
        <w:tc>
          <w:tcPr>
            <w:tcW w:w="120" w:type="dxa"/>
            <w:vAlign w:val="bottom"/>
            <w:tcBorders>
              <w:bottom w:val="single" w:sz="8" w:color="auto"/>
            </w:tcBorders>
            <w:shd w:val="clear" w:color="auto" w:fill="1D2758"/>
          </w:tcPr>
          <w:p>
            <w:pPr>
              <w:spacing w:after="0"/>
              <w:rPr>
                <w:sz w:val="12"/>
                <w:szCs w:val="12"/>
                <w:color w:val="auto"/>
              </w:rPr>
            </w:pPr>
          </w:p>
        </w:tc>
        <w:tc>
          <w:tcPr>
            <w:tcW w:w="520" w:type="dxa"/>
            <w:vAlign w:val="bottom"/>
            <w:tcBorders>
              <w:bottom w:val="single" w:sz="8" w:color="auto"/>
            </w:tcBorders>
            <w:vMerge w:val="continue"/>
            <w:shd w:val="clear" w:color="auto" w:fill="1D2758"/>
          </w:tcPr>
          <w:p>
            <w:pPr>
              <w:spacing w:after="0"/>
              <w:rPr>
                <w:sz w:val="12"/>
                <w:szCs w:val="12"/>
                <w:color w:val="auto"/>
              </w:rPr>
            </w:pPr>
          </w:p>
        </w:tc>
        <w:tc>
          <w:tcPr>
            <w:tcW w:w="140" w:type="dxa"/>
            <w:vAlign w:val="bottom"/>
            <w:tcBorders>
              <w:bottom w:val="single" w:sz="8" w:color="auto"/>
            </w:tcBorders>
            <w:shd w:val="clear" w:color="auto" w:fill="1D2758"/>
          </w:tcPr>
          <w:p>
            <w:pPr>
              <w:spacing w:after="0"/>
              <w:rPr>
                <w:sz w:val="12"/>
                <w:szCs w:val="12"/>
                <w:color w:val="auto"/>
              </w:rPr>
            </w:pPr>
          </w:p>
        </w:tc>
        <w:tc>
          <w:tcPr>
            <w:tcW w:w="740" w:type="dxa"/>
            <w:vAlign w:val="bottom"/>
            <w:tcBorders>
              <w:bottom w:val="single" w:sz="8" w:color="auto"/>
            </w:tcBorders>
            <w:shd w:val="clear" w:color="auto" w:fill="1D2758"/>
          </w:tcPr>
          <w:p>
            <w:pPr>
              <w:jc w:val="right"/>
              <w:ind w:right="155"/>
              <w:spacing w:after="0"/>
              <w:rPr>
                <w:sz w:val="20"/>
                <w:szCs w:val="20"/>
                <w:color w:val="auto"/>
              </w:rPr>
            </w:pPr>
            <w:r>
              <w:rPr>
                <w:rFonts w:ascii="Arial" w:cs="Arial" w:eastAsia="Arial" w:hAnsi="Arial"/>
                <w:sz w:val="10"/>
                <w:szCs w:val="10"/>
                <w:b w:val="1"/>
                <w:bCs w:val="1"/>
                <w:color w:val="FFFFFF"/>
              </w:rPr>
              <w:t>in Capital</w:t>
            </w:r>
          </w:p>
        </w:tc>
        <w:tc>
          <w:tcPr>
            <w:tcW w:w="120" w:type="dxa"/>
            <w:vAlign w:val="bottom"/>
            <w:tcBorders>
              <w:bottom w:val="single" w:sz="8" w:color="auto"/>
            </w:tcBorders>
            <w:shd w:val="clear" w:color="auto" w:fill="1D2758"/>
          </w:tcPr>
          <w:p>
            <w:pPr>
              <w:spacing w:after="0"/>
              <w:rPr>
                <w:sz w:val="12"/>
                <w:szCs w:val="12"/>
                <w:color w:val="auto"/>
              </w:rPr>
            </w:pPr>
          </w:p>
        </w:tc>
        <w:tc>
          <w:tcPr>
            <w:tcW w:w="960" w:type="dxa"/>
            <w:vAlign w:val="bottom"/>
            <w:tcBorders>
              <w:bottom w:val="single" w:sz="8" w:color="auto"/>
            </w:tcBorders>
            <w:shd w:val="clear" w:color="auto" w:fill="1D2758"/>
          </w:tcPr>
          <w:p>
            <w:pPr>
              <w:jc w:val="center"/>
              <w:ind w:right="56"/>
              <w:spacing w:after="0"/>
              <w:rPr>
                <w:sz w:val="20"/>
                <w:szCs w:val="20"/>
                <w:color w:val="auto"/>
              </w:rPr>
            </w:pPr>
            <w:r>
              <w:rPr>
                <w:rFonts w:ascii="Arial" w:cs="Arial" w:eastAsia="Arial" w:hAnsi="Arial"/>
                <w:sz w:val="10"/>
                <w:szCs w:val="10"/>
                <w:b w:val="1"/>
                <w:bCs w:val="1"/>
                <w:color w:val="FFFFFF"/>
              </w:rPr>
              <w:t>Income (Loss)</w:t>
            </w:r>
          </w:p>
        </w:tc>
        <w:tc>
          <w:tcPr>
            <w:tcW w:w="120" w:type="dxa"/>
            <w:vAlign w:val="bottom"/>
            <w:tcBorders>
              <w:bottom w:val="single" w:sz="8" w:color="auto"/>
            </w:tcBorders>
            <w:shd w:val="clear" w:color="auto" w:fill="1D2758"/>
          </w:tcPr>
          <w:p>
            <w:pPr>
              <w:spacing w:after="0"/>
              <w:rPr>
                <w:sz w:val="12"/>
                <w:szCs w:val="12"/>
                <w:color w:val="auto"/>
              </w:rPr>
            </w:pPr>
          </w:p>
        </w:tc>
        <w:tc>
          <w:tcPr>
            <w:tcW w:w="800" w:type="dxa"/>
            <w:vAlign w:val="bottom"/>
            <w:tcBorders>
              <w:bottom w:val="single" w:sz="8" w:color="auto"/>
            </w:tcBorders>
            <w:shd w:val="clear" w:color="auto" w:fill="1D2758"/>
          </w:tcPr>
          <w:p>
            <w:pPr>
              <w:jc w:val="right"/>
              <w:ind w:right="236"/>
              <w:spacing w:after="0"/>
              <w:rPr>
                <w:sz w:val="20"/>
                <w:szCs w:val="20"/>
                <w:color w:val="auto"/>
              </w:rPr>
            </w:pPr>
            <w:r>
              <w:rPr>
                <w:rFonts w:ascii="Arial" w:cs="Arial" w:eastAsia="Arial" w:hAnsi="Arial"/>
                <w:sz w:val="10"/>
                <w:szCs w:val="10"/>
                <w:b w:val="1"/>
                <w:bCs w:val="1"/>
                <w:color w:val="FFFFFF"/>
              </w:rPr>
              <w:t>Deficit</w:t>
            </w:r>
          </w:p>
        </w:tc>
        <w:tc>
          <w:tcPr>
            <w:tcW w:w="120" w:type="dxa"/>
            <w:vAlign w:val="bottom"/>
            <w:tcBorders>
              <w:bottom w:val="single" w:sz="8" w:color="auto"/>
            </w:tcBorders>
            <w:shd w:val="clear" w:color="auto" w:fill="1D2758"/>
          </w:tcPr>
          <w:p>
            <w:pPr>
              <w:spacing w:after="0"/>
              <w:rPr>
                <w:sz w:val="12"/>
                <w:szCs w:val="12"/>
                <w:color w:val="auto"/>
              </w:rPr>
            </w:pPr>
          </w:p>
        </w:tc>
        <w:tc>
          <w:tcPr>
            <w:tcW w:w="800" w:type="dxa"/>
            <w:vAlign w:val="bottom"/>
            <w:tcBorders>
              <w:bottom w:val="single" w:sz="8" w:color="auto"/>
            </w:tcBorders>
            <w:shd w:val="clear" w:color="auto" w:fill="1D2758"/>
          </w:tcPr>
          <w:p>
            <w:pPr>
              <w:jc w:val="center"/>
              <w:ind w:right="36"/>
              <w:spacing w:after="0"/>
              <w:rPr>
                <w:sz w:val="20"/>
                <w:szCs w:val="20"/>
                <w:color w:val="auto"/>
              </w:rPr>
            </w:pPr>
            <w:r>
              <w:rPr>
                <w:rFonts w:ascii="Arial" w:cs="Arial" w:eastAsia="Arial" w:hAnsi="Arial"/>
                <w:sz w:val="10"/>
                <w:szCs w:val="10"/>
                <w:b w:val="1"/>
                <w:bCs w:val="1"/>
                <w:color w:val="FFFFFF"/>
                <w:w w:val="98"/>
              </w:rPr>
              <w:t>Equity</w:t>
            </w:r>
          </w:p>
        </w:tc>
        <w:tc>
          <w:tcPr>
            <w:tcW w:w="140" w:type="dxa"/>
            <w:vAlign w:val="bottom"/>
            <w:tcBorders>
              <w:bottom w:val="single" w:sz="8" w:color="auto"/>
            </w:tcBorders>
            <w:shd w:val="clear" w:color="auto" w:fill="1D2758"/>
          </w:tcPr>
          <w:p>
            <w:pPr>
              <w:spacing w:after="0"/>
              <w:rPr>
                <w:sz w:val="12"/>
                <w:szCs w:val="12"/>
                <w:color w:val="auto"/>
              </w:rPr>
            </w:pPr>
          </w:p>
        </w:tc>
        <w:tc>
          <w:tcPr>
            <w:tcW w:w="580" w:type="dxa"/>
            <w:vAlign w:val="bottom"/>
            <w:tcBorders>
              <w:bottom w:val="single" w:sz="8" w:color="auto"/>
            </w:tcBorders>
            <w:shd w:val="clear" w:color="auto" w:fill="1D2758"/>
          </w:tcPr>
          <w:p>
            <w:pPr>
              <w:jc w:val="center"/>
              <w:ind w:right="56"/>
              <w:spacing w:after="0"/>
              <w:rPr>
                <w:sz w:val="20"/>
                <w:szCs w:val="20"/>
                <w:color w:val="auto"/>
              </w:rPr>
            </w:pPr>
            <w:r>
              <w:rPr>
                <w:rFonts w:ascii="Arial" w:cs="Arial" w:eastAsia="Arial" w:hAnsi="Arial"/>
                <w:sz w:val="10"/>
                <w:szCs w:val="10"/>
                <w:b w:val="1"/>
                <w:bCs w:val="1"/>
                <w:color w:val="FFFFFF"/>
              </w:rPr>
              <w:t>Interest</w:t>
            </w:r>
          </w:p>
        </w:tc>
        <w:tc>
          <w:tcPr>
            <w:tcW w:w="100" w:type="dxa"/>
            <w:vAlign w:val="bottom"/>
            <w:tcBorders>
              <w:bottom w:val="single" w:sz="8" w:color="auto"/>
            </w:tcBorders>
            <w:shd w:val="clear" w:color="auto" w:fill="1D2758"/>
          </w:tcPr>
          <w:p>
            <w:pPr>
              <w:spacing w:after="0"/>
              <w:rPr>
                <w:sz w:val="12"/>
                <w:szCs w:val="12"/>
                <w:color w:val="auto"/>
              </w:rPr>
            </w:pPr>
          </w:p>
        </w:tc>
        <w:tc>
          <w:tcPr>
            <w:tcW w:w="700" w:type="dxa"/>
            <w:vAlign w:val="bottom"/>
            <w:tcBorders>
              <w:bottom w:val="single" w:sz="8" w:color="auto"/>
            </w:tcBorders>
            <w:vMerge w:val="continue"/>
            <w:shd w:val="clear" w:color="auto" w:fill="1D2758"/>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400" w:type="dxa"/>
            <w:vAlign w:val="bottom"/>
            <w:shd w:val="clear" w:color="auto" w:fill="DBDBDB"/>
          </w:tcPr>
          <w:p>
            <w:pPr>
              <w:ind w:left="20"/>
              <w:spacing w:after="0"/>
              <w:rPr>
                <w:sz w:val="20"/>
                <w:szCs w:val="20"/>
                <w:color w:val="auto"/>
              </w:rPr>
            </w:pPr>
            <w:r>
              <w:rPr>
                <w:rFonts w:ascii="Arial" w:cs="Arial" w:eastAsia="Arial" w:hAnsi="Arial"/>
                <w:sz w:val="13"/>
                <w:szCs w:val="13"/>
                <w:color w:val="auto"/>
              </w:rPr>
              <w:t>Balance at December 31, 2018</w:t>
            </w:r>
          </w:p>
        </w:tc>
        <w:tc>
          <w:tcPr>
            <w:tcW w:w="6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108,509</w:t>
            </w:r>
          </w:p>
        </w:tc>
        <w:tc>
          <w:tcPr>
            <w:tcW w:w="10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DBDBDB"/>
          </w:tcPr>
          <w:p>
            <w:pPr>
              <w:jc w:val="right"/>
              <w:ind w:right="15"/>
              <w:spacing w:after="0"/>
              <w:rPr>
                <w:sz w:val="20"/>
                <w:szCs w:val="20"/>
                <w:color w:val="auto"/>
              </w:rPr>
            </w:pPr>
            <w:r>
              <w:rPr>
                <w:rFonts w:ascii="Arial" w:cs="Arial" w:eastAsia="Arial" w:hAnsi="Arial"/>
                <w:sz w:val="13"/>
                <w:szCs w:val="13"/>
                <w:color w:val="auto"/>
              </w:rPr>
              <w:t>11</w:t>
            </w:r>
          </w:p>
        </w:tc>
        <w:tc>
          <w:tcPr>
            <w:tcW w:w="6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8,024</w:t>
            </w:r>
          </w:p>
        </w:tc>
        <w:tc>
          <w:tcPr>
            <w:tcW w:w="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w:t>
            </w: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2,371,363</w:t>
            </w:r>
          </w:p>
        </w:tc>
        <w:tc>
          <w:tcPr>
            <w:tcW w:w="12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(68,026)</w:t>
            </w:r>
          </w:p>
        </w:tc>
        <w:tc>
          <w:tcPr>
            <w:tcW w:w="12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(1,709,684)</w:t>
            </w:r>
          </w:p>
        </w:tc>
        <w:tc>
          <w:tcPr>
            <w:tcW w:w="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593,665</w:t>
            </w: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63,982</w:t>
            </w:r>
          </w:p>
        </w:tc>
        <w:tc>
          <w:tcPr>
            <w:tcW w:w="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657,647</w:t>
            </w:r>
          </w:p>
        </w:tc>
        <w:tc>
          <w:tcPr>
            <w:tcW w:w="0" w:type="dxa"/>
            <w:vAlign w:val="bottom"/>
          </w:tcPr>
          <w:p>
            <w:pPr>
              <w:spacing w:after="0"/>
              <w:rPr>
                <w:sz w:val="1"/>
                <w:szCs w:val="1"/>
                <w:color w:val="auto"/>
              </w:rPr>
            </w:pPr>
          </w:p>
        </w:tc>
      </w:tr>
      <w:tr>
        <w:trPr>
          <w:trHeight w:val="172"/>
        </w:trPr>
        <w:tc>
          <w:tcPr>
            <w:tcW w:w="3400" w:type="dxa"/>
            <w:vAlign w:val="bottom"/>
          </w:tcPr>
          <w:p>
            <w:pPr>
              <w:ind w:left="200"/>
              <w:spacing w:after="0"/>
              <w:rPr>
                <w:sz w:val="20"/>
                <w:szCs w:val="20"/>
                <w:color w:val="auto"/>
              </w:rPr>
            </w:pPr>
            <w:r>
              <w:rPr>
                <w:rFonts w:ascii="Arial" w:cs="Arial" w:eastAsia="Arial" w:hAnsi="Arial"/>
                <w:sz w:val="13"/>
                <w:szCs w:val="13"/>
                <w:color w:val="auto"/>
              </w:rPr>
              <w:t>Net loss</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(120,744)</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(120,744)</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(421)</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(121,165)</w:t>
            </w:r>
          </w:p>
        </w:tc>
        <w:tc>
          <w:tcPr>
            <w:tcW w:w="0" w:type="dxa"/>
            <w:vAlign w:val="bottom"/>
          </w:tcPr>
          <w:p>
            <w:pPr>
              <w:spacing w:after="0"/>
              <w:rPr>
                <w:sz w:val="1"/>
                <w:szCs w:val="1"/>
                <w:color w:val="auto"/>
              </w:rPr>
            </w:pPr>
          </w:p>
        </w:tc>
      </w:tr>
      <w:tr>
        <w:trPr>
          <w:trHeight w:val="178"/>
        </w:trPr>
        <w:tc>
          <w:tcPr>
            <w:tcW w:w="3400" w:type="dxa"/>
            <w:vAlign w:val="bottom"/>
            <w:shd w:val="clear" w:color="auto" w:fill="DBDBDB"/>
          </w:tcPr>
          <w:p>
            <w:pPr>
              <w:ind w:left="200"/>
              <w:spacing w:after="0"/>
              <w:rPr>
                <w:sz w:val="20"/>
                <w:szCs w:val="20"/>
                <w:color w:val="auto"/>
              </w:rPr>
            </w:pPr>
            <w:r>
              <w:rPr>
                <w:rFonts w:ascii="Arial" w:cs="Arial" w:eastAsia="Arial" w:hAnsi="Arial"/>
                <w:sz w:val="13"/>
                <w:szCs w:val="13"/>
                <w:color w:val="auto"/>
              </w:rPr>
              <w:t>Other comprehensive income</w:t>
            </w:r>
          </w:p>
        </w:tc>
        <w:tc>
          <w:tcPr>
            <w:tcW w:w="6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5"/>
                <w:szCs w:val="15"/>
                <w:color w:val="auto"/>
              </w:rPr>
            </w:pPr>
          </w:p>
        </w:tc>
        <w:tc>
          <w:tcPr>
            <w:tcW w:w="580" w:type="dxa"/>
            <w:vAlign w:val="bottom"/>
            <w:shd w:val="clear" w:color="auto" w:fill="DBDBDB"/>
          </w:tcPr>
          <w:p>
            <w:pPr>
              <w:jc w:val="right"/>
              <w:ind w:right="15"/>
              <w:spacing w:after="0"/>
              <w:rPr>
                <w:sz w:val="20"/>
                <w:szCs w:val="20"/>
                <w:color w:val="auto"/>
              </w:rPr>
            </w:pPr>
            <w:r>
              <w:rPr>
                <w:rFonts w:ascii="Arial" w:cs="Arial" w:eastAsia="Arial" w:hAnsi="Arial"/>
                <w:sz w:val="13"/>
                <w:szCs w:val="13"/>
                <w:color w:val="auto"/>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BDBDB"/>
          </w:tcPr>
          <w:p>
            <w:pPr>
              <w:spacing w:after="0"/>
              <w:rPr>
                <w:sz w:val="15"/>
                <w:szCs w:val="15"/>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5"/>
                <w:szCs w:val="15"/>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BDBDB"/>
          </w:tcPr>
          <w:p>
            <w:pPr>
              <w:spacing w:after="0"/>
              <w:rPr>
                <w:sz w:val="15"/>
                <w:szCs w:val="15"/>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5,251</w:t>
            </w:r>
          </w:p>
        </w:tc>
        <w:tc>
          <w:tcPr>
            <w:tcW w:w="120" w:type="dxa"/>
            <w:vAlign w:val="bottom"/>
            <w:shd w:val="clear" w:color="auto" w:fill="DBDBDB"/>
          </w:tcPr>
          <w:p>
            <w:pPr>
              <w:spacing w:after="0"/>
              <w:rPr>
                <w:sz w:val="15"/>
                <w:szCs w:val="15"/>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BDBDB"/>
          </w:tcPr>
          <w:p>
            <w:pPr>
              <w:spacing w:after="0"/>
              <w:rPr>
                <w:sz w:val="15"/>
                <w:szCs w:val="15"/>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5,251</w:t>
            </w:r>
          </w:p>
        </w:tc>
        <w:tc>
          <w:tcPr>
            <w:tcW w:w="140" w:type="dxa"/>
            <w:vAlign w:val="bottom"/>
            <w:shd w:val="clear" w:color="auto" w:fill="DBDBDB"/>
          </w:tcPr>
          <w:p>
            <w:pPr>
              <w:spacing w:after="0"/>
              <w:rPr>
                <w:sz w:val="15"/>
                <w:szCs w:val="15"/>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526</w:t>
            </w:r>
          </w:p>
        </w:tc>
        <w:tc>
          <w:tcPr>
            <w:tcW w:w="100" w:type="dxa"/>
            <w:vAlign w:val="bottom"/>
            <w:shd w:val="clear" w:color="auto" w:fill="DBDBDB"/>
          </w:tcPr>
          <w:p>
            <w:pPr>
              <w:spacing w:after="0"/>
              <w:rPr>
                <w:sz w:val="15"/>
                <w:szCs w:val="15"/>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5,777</w:t>
            </w:r>
          </w:p>
        </w:tc>
        <w:tc>
          <w:tcPr>
            <w:tcW w:w="0" w:type="dxa"/>
            <w:vAlign w:val="bottom"/>
          </w:tcPr>
          <w:p>
            <w:pPr>
              <w:spacing w:after="0"/>
              <w:rPr>
                <w:sz w:val="1"/>
                <w:szCs w:val="1"/>
                <w:color w:val="auto"/>
              </w:rPr>
            </w:pPr>
          </w:p>
        </w:tc>
      </w:tr>
      <w:tr>
        <w:trPr>
          <w:trHeight w:val="172"/>
        </w:trPr>
        <w:tc>
          <w:tcPr>
            <w:tcW w:w="3400" w:type="dxa"/>
            <w:vAlign w:val="bottom"/>
          </w:tcPr>
          <w:p>
            <w:pPr>
              <w:ind w:left="200"/>
              <w:spacing w:after="0"/>
              <w:rPr>
                <w:sz w:val="20"/>
                <w:szCs w:val="20"/>
                <w:color w:val="auto"/>
              </w:rPr>
            </w:pPr>
            <w:r>
              <w:rPr>
                <w:rFonts w:ascii="Arial" w:cs="Arial" w:eastAsia="Arial" w:hAnsi="Arial"/>
                <w:sz w:val="13"/>
                <w:szCs w:val="13"/>
                <w:color w:val="auto"/>
              </w:rPr>
              <w:t>Adoption of new accounting standards</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5,067</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5,067</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503</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5,570</w:t>
            </w:r>
          </w:p>
        </w:tc>
        <w:tc>
          <w:tcPr>
            <w:tcW w:w="0" w:type="dxa"/>
            <w:vAlign w:val="bottom"/>
          </w:tcPr>
          <w:p>
            <w:pPr>
              <w:spacing w:after="0"/>
              <w:rPr>
                <w:sz w:val="1"/>
                <w:szCs w:val="1"/>
                <w:color w:val="auto"/>
              </w:rPr>
            </w:pPr>
          </w:p>
        </w:tc>
      </w:tr>
      <w:tr>
        <w:trPr>
          <w:trHeight w:val="146"/>
        </w:trPr>
        <w:tc>
          <w:tcPr>
            <w:tcW w:w="3400" w:type="dxa"/>
            <w:vAlign w:val="bottom"/>
            <w:shd w:val="clear" w:color="auto" w:fill="DBDBDB"/>
          </w:tcPr>
          <w:p>
            <w:pPr>
              <w:ind w:left="200"/>
              <w:spacing w:after="0" w:line="147" w:lineRule="exact"/>
              <w:rPr>
                <w:sz w:val="20"/>
                <w:szCs w:val="20"/>
                <w:color w:val="auto"/>
              </w:rPr>
            </w:pPr>
            <w:r>
              <w:rPr>
                <w:rFonts w:ascii="Arial" w:cs="Arial" w:eastAsia="Arial" w:hAnsi="Arial"/>
                <w:sz w:val="13"/>
                <w:szCs w:val="13"/>
                <w:color w:val="auto"/>
              </w:rPr>
              <w:t>Stock-based compensation and issuance of Common</w:t>
            </w:r>
          </w:p>
        </w:tc>
        <w:tc>
          <w:tcPr>
            <w:tcW w:w="64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580" w:type="dxa"/>
            <w:vAlign w:val="bottom"/>
            <w:shd w:val="clear" w:color="auto" w:fill="DBDBDB"/>
          </w:tcPr>
          <w:p>
            <w:pPr>
              <w:spacing w:after="0"/>
              <w:rPr>
                <w:sz w:val="12"/>
                <w:szCs w:val="12"/>
                <w:color w:val="auto"/>
              </w:rPr>
            </w:pPr>
          </w:p>
        </w:tc>
        <w:tc>
          <w:tcPr>
            <w:tcW w:w="60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52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74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96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80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80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5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7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00" w:type="dxa"/>
            <w:vAlign w:val="bottom"/>
            <w:shd w:val="clear" w:color="auto" w:fill="DBDBDB"/>
          </w:tcPr>
          <w:p>
            <w:pPr>
              <w:ind w:left="200"/>
              <w:spacing w:after="0"/>
              <w:rPr>
                <w:sz w:val="20"/>
                <w:szCs w:val="20"/>
                <w:color w:val="auto"/>
              </w:rPr>
            </w:pPr>
            <w:r>
              <w:rPr>
                <w:rFonts w:ascii="Arial" w:cs="Arial" w:eastAsia="Arial" w:hAnsi="Arial"/>
                <w:sz w:val="13"/>
                <w:szCs w:val="13"/>
                <w:color w:val="auto"/>
              </w:rPr>
              <w:t>Stock from vesting</w:t>
            </w:r>
          </w:p>
        </w:tc>
        <w:tc>
          <w:tcPr>
            <w:tcW w:w="6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229</w:t>
            </w:r>
          </w:p>
        </w:tc>
        <w:tc>
          <w:tcPr>
            <w:tcW w:w="100" w:type="dxa"/>
            <w:vAlign w:val="bottom"/>
            <w:shd w:val="clear" w:color="auto" w:fill="DBDBDB"/>
          </w:tcPr>
          <w:p>
            <w:pPr>
              <w:spacing w:after="0"/>
              <w:rPr>
                <w:sz w:val="14"/>
                <w:szCs w:val="14"/>
                <w:color w:val="auto"/>
              </w:rPr>
            </w:pPr>
          </w:p>
        </w:tc>
        <w:tc>
          <w:tcPr>
            <w:tcW w:w="580" w:type="dxa"/>
            <w:vAlign w:val="bottom"/>
            <w:shd w:val="clear" w:color="auto" w:fill="DBDBDB"/>
          </w:tcPr>
          <w:p>
            <w:pPr>
              <w:jc w:val="right"/>
              <w:ind w:right="15"/>
              <w:spacing w:after="0"/>
              <w:rPr>
                <w:sz w:val="20"/>
                <w:szCs w:val="20"/>
                <w:color w:val="auto"/>
              </w:rPr>
            </w:pPr>
            <w:r>
              <w:rPr>
                <w:rFonts w:ascii="Arial" w:cs="Arial" w:eastAsia="Arial" w:hAnsi="Arial"/>
                <w:sz w:val="13"/>
                <w:szCs w:val="13"/>
                <w:color w:val="auto"/>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BDBDB"/>
          </w:tcPr>
          <w:p>
            <w:pPr>
              <w:spacing w:after="0"/>
              <w:rPr>
                <w:sz w:val="14"/>
                <w:szCs w:val="14"/>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4"/>
                <w:szCs w:val="14"/>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6,032</w:t>
            </w:r>
          </w:p>
        </w:tc>
        <w:tc>
          <w:tcPr>
            <w:tcW w:w="120" w:type="dxa"/>
            <w:vAlign w:val="bottom"/>
            <w:shd w:val="clear" w:color="auto" w:fill="DBDBDB"/>
          </w:tcPr>
          <w:p>
            <w:pPr>
              <w:spacing w:after="0"/>
              <w:rPr>
                <w:sz w:val="14"/>
                <w:szCs w:val="14"/>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BDBDB"/>
          </w:tcPr>
          <w:p>
            <w:pPr>
              <w:spacing w:after="0"/>
              <w:rPr>
                <w:sz w:val="14"/>
                <w:szCs w:val="14"/>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BDBDB"/>
          </w:tcPr>
          <w:p>
            <w:pPr>
              <w:spacing w:after="0"/>
              <w:rPr>
                <w:sz w:val="14"/>
                <w:szCs w:val="14"/>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6,032</w:t>
            </w:r>
          </w:p>
        </w:tc>
        <w:tc>
          <w:tcPr>
            <w:tcW w:w="140" w:type="dxa"/>
            <w:vAlign w:val="bottom"/>
            <w:shd w:val="clear" w:color="auto" w:fill="DBDBDB"/>
          </w:tcPr>
          <w:p>
            <w:pPr>
              <w:spacing w:after="0"/>
              <w:rPr>
                <w:sz w:val="14"/>
                <w:szCs w:val="14"/>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4"/>
                <w:szCs w:val="14"/>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6,032</w:t>
            </w:r>
          </w:p>
        </w:tc>
        <w:tc>
          <w:tcPr>
            <w:tcW w:w="0" w:type="dxa"/>
            <w:vAlign w:val="bottom"/>
          </w:tcPr>
          <w:p>
            <w:pPr>
              <w:spacing w:after="0"/>
              <w:rPr>
                <w:sz w:val="1"/>
                <w:szCs w:val="1"/>
                <w:color w:val="auto"/>
              </w:rPr>
            </w:pPr>
          </w:p>
        </w:tc>
      </w:tr>
      <w:tr>
        <w:trPr>
          <w:trHeight w:val="144"/>
        </w:trPr>
        <w:tc>
          <w:tcPr>
            <w:tcW w:w="3400" w:type="dxa"/>
            <w:vAlign w:val="bottom"/>
          </w:tcPr>
          <w:p>
            <w:pPr>
              <w:ind w:left="200"/>
              <w:spacing w:after="0" w:line="144" w:lineRule="exact"/>
              <w:rPr>
                <w:sz w:val="20"/>
                <w:szCs w:val="20"/>
                <w:color w:val="auto"/>
              </w:rPr>
            </w:pPr>
            <w:r>
              <w:rPr>
                <w:rFonts w:ascii="Arial" w:cs="Arial" w:eastAsia="Arial" w:hAnsi="Arial"/>
                <w:sz w:val="13"/>
                <w:szCs w:val="13"/>
                <w:color w:val="auto"/>
              </w:rPr>
              <w:t>Issuance of Common Stock from the exercise of</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400" w:type="dxa"/>
            <w:vAlign w:val="bottom"/>
            <w:tcBorders>
              <w:bottom w:val="single" w:sz="8" w:color="DBDBDB"/>
            </w:tcBorders>
          </w:tcPr>
          <w:p>
            <w:pPr>
              <w:ind w:left="200"/>
              <w:spacing w:after="0"/>
              <w:rPr>
                <w:sz w:val="20"/>
                <w:szCs w:val="20"/>
                <w:color w:val="auto"/>
              </w:rPr>
            </w:pPr>
            <w:r>
              <w:rPr>
                <w:rFonts w:ascii="Arial" w:cs="Arial" w:eastAsia="Arial" w:hAnsi="Arial"/>
                <w:sz w:val="13"/>
                <w:szCs w:val="13"/>
                <w:color w:val="auto"/>
              </w:rPr>
              <w:t>options and warrants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w:t>
            </w: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1,338</w:t>
            </w: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1,338</w:t>
            </w: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1,338</w:t>
            </w:r>
          </w:p>
        </w:tc>
        <w:tc>
          <w:tcPr>
            <w:tcW w:w="0" w:type="dxa"/>
            <w:vAlign w:val="bottom"/>
          </w:tcPr>
          <w:p>
            <w:pPr>
              <w:spacing w:after="0"/>
              <w:rPr>
                <w:sz w:val="1"/>
                <w:szCs w:val="1"/>
                <w:color w:val="auto"/>
              </w:rPr>
            </w:pPr>
          </w:p>
        </w:tc>
      </w:tr>
      <w:tr>
        <w:trPr>
          <w:trHeight w:val="169"/>
        </w:trPr>
        <w:tc>
          <w:tcPr>
            <w:tcW w:w="3400" w:type="dxa"/>
            <w:vAlign w:val="bottom"/>
            <w:shd w:val="clear" w:color="auto" w:fill="DBDBDB"/>
          </w:tcPr>
          <w:p>
            <w:pPr>
              <w:ind w:left="20"/>
              <w:spacing w:after="0"/>
              <w:rPr>
                <w:sz w:val="20"/>
                <w:szCs w:val="20"/>
                <w:color w:val="auto"/>
              </w:rPr>
            </w:pPr>
            <w:r>
              <w:rPr>
                <w:rFonts w:ascii="Arial" w:cs="Arial" w:eastAsia="Arial" w:hAnsi="Arial"/>
                <w:sz w:val="13"/>
                <w:szCs w:val="13"/>
                <w:color w:val="auto"/>
              </w:rPr>
              <w:t>Balance at December 31, 2019</w:t>
            </w:r>
          </w:p>
        </w:tc>
        <w:tc>
          <w:tcPr>
            <w:tcW w:w="6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108,819</w:t>
            </w:r>
          </w:p>
        </w:tc>
        <w:tc>
          <w:tcPr>
            <w:tcW w:w="10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DBDBDB"/>
          </w:tcPr>
          <w:p>
            <w:pPr>
              <w:jc w:val="right"/>
              <w:ind w:right="15"/>
              <w:spacing w:after="0"/>
              <w:rPr>
                <w:sz w:val="20"/>
                <w:szCs w:val="20"/>
                <w:color w:val="auto"/>
              </w:rPr>
            </w:pPr>
            <w:r>
              <w:rPr>
                <w:rFonts w:ascii="Arial" w:cs="Arial" w:eastAsia="Arial" w:hAnsi="Arial"/>
                <w:sz w:val="13"/>
                <w:szCs w:val="13"/>
                <w:color w:val="auto"/>
              </w:rPr>
              <w:t>11</w:t>
            </w:r>
          </w:p>
        </w:tc>
        <w:tc>
          <w:tcPr>
            <w:tcW w:w="6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8,024</w:t>
            </w:r>
          </w:p>
        </w:tc>
        <w:tc>
          <w:tcPr>
            <w:tcW w:w="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w:t>
            </w: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2,378,733</w:t>
            </w:r>
          </w:p>
        </w:tc>
        <w:tc>
          <w:tcPr>
            <w:tcW w:w="12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(62,775)</w:t>
            </w:r>
          </w:p>
        </w:tc>
        <w:tc>
          <w:tcPr>
            <w:tcW w:w="12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(1,825,361)</w:t>
            </w:r>
          </w:p>
        </w:tc>
        <w:tc>
          <w:tcPr>
            <w:tcW w:w="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490,609</w:t>
            </w: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64,590</w:t>
            </w:r>
          </w:p>
        </w:tc>
        <w:tc>
          <w:tcPr>
            <w:tcW w:w="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555,199</w:t>
            </w:r>
          </w:p>
        </w:tc>
        <w:tc>
          <w:tcPr>
            <w:tcW w:w="0" w:type="dxa"/>
            <w:vAlign w:val="bottom"/>
          </w:tcPr>
          <w:p>
            <w:pPr>
              <w:spacing w:after="0"/>
              <w:rPr>
                <w:sz w:val="1"/>
                <w:szCs w:val="1"/>
                <w:color w:val="auto"/>
              </w:rPr>
            </w:pPr>
          </w:p>
        </w:tc>
      </w:tr>
      <w:tr>
        <w:trPr>
          <w:trHeight w:val="172"/>
        </w:trPr>
        <w:tc>
          <w:tcPr>
            <w:tcW w:w="3400" w:type="dxa"/>
            <w:vAlign w:val="bottom"/>
          </w:tcPr>
          <w:p>
            <w:pPr>
              <w:ind w:left="200"/>
              <w:spacing w:after="0"/>
              <w:rPr>
                <w:sz w:val="20"/>
                <w:szCs w:val="20"/>
                <w:color w:val="auto"/>
              </w:rPr>
            </w:pPr>
            <w:r>
              <w:rPr>
                <w:rFonts w:ascii="Arial" w:cs="Arial" w:eastAsia="Arial" w:hAnsi="Arial"/>
                <w:sz w:val="13"/>
                <w:szCs w:val="13"/>
                <w:color w:val="auto"/>
              </w:rPr>
              <w:t>Net income</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74,127</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74,127</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1,213</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75,340</w:t>
            </w:r>
          </w:p>
        </w:tc>
        <w:tc>
          <w:tcPr>
            <w:tcW w:w="0" w:type="dxa"/>
            <w:vAlign w:val="bottom"/>
          </w:tcPr>
          <w:p>
            <w:pPr>
              <w:spacing w:after="0"/>
              <w:rPr>
                <w:sz w:val="1"/>
                <w:szCs w:val="1"/>
                <w:color w:val="auto"/>
              </w:rPr>
            </w:pPr>
          </w:p>
        </w:tc>
      </w:tr>
      <w:tr>
        <w:trPr>
          <w:trHeight w:val="178"/>
        </w:trPr>
        <w:tc>
          <w:tcPr>
            <w:tcW w:w="3400" w:type="dxa"/>
            <w:vAlign w:val="bottom"/>
            <w:shd w:val="clear" w:color="auto" w:fill="DBDBDB"/>
          </w:tcPr>
          <w:p>
            <w:pPr>
              <w:ind w:left="200"/>
              <w:spacing w:after="0"/>
              <w:rPr>
                <w:sz w:val="20"/>
                <w:szCs w:val="20"/>
                <w:color w:val="auto"/>
              </w:rPr>
            </w:pPr>
            <w:r>
              <w:rPr>
                <w:rFonts w:ascii="Arial" w:cs="Arial" w:eastAsia="Arial" w:hAnsi="Arial"/>
                <w:sz w:val="13"/>
                <w:szCs w:val="13"/>
                <w:color w:val="auto"/>
              </w:rPr>
              <w:t>Other comprehensive income</w:t>
            </w:r>
          </w:p>
        </w:tc>
        <w:tc>
          <w:tcPr>
            <w:tcW w:w="6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5"/>
                <w:szCs w:val="15"/>
                <w:color w:val="auto"/>
              </w:rPr>
            </w:pPr>
          </w:p>
        </w:tc>
        <w:tc>
          <w:tcPr>
            <w:tcW w:w="580" w:type="dxa"/>
            <w:vAlign w:val="bottom"/>
            <w:shd w:val="clear" w:color="auto" w:fill="DBDBDB"/>
          </w:tcPr>
          <w:p>
            <w:pPr>
              <w:jc w:val="right"/>
              <w:ind w:right="15"/>
              <w:spacing w:after="0"/>
              <w:rPr>
                <w:sz w:val="20"/>
                <w:szCs w:val="20"/>
                <w:color w:val="auto"/>
              </w:rPr>
            </w:pPr>
            <w:r>
              <w:rPr>
                <w:rFonts w:ascii="Arial" w:cs="Arial" w:eastAsia="Arial" w:hAnsi="Arial"/>
                <w:sz w:val="13"/>
                <w:szCs w:val="13"/>
                <w:color w:val="auto"/>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BDBDB"/>
          </w:tcPr>
          <w:p>
            <w:pPr>
              <w:spacing w:after="0"/>
              <w:rPr>
                <w:sz w:val="15"/>
                <w:szCs w:val="15"/>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5"/>
                <w:szCs w:val="15"/>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BDBDB"/>
          </w:tcPr>
          <w:p>
            <w:pPr>
              <w:spacing w:after="0"/>
              <w:rPr>
                <w:sz w:val="15"/>
                <w:szCs w:val="15"/>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28,540</w:t>
            </w:r>
          </w:p>
        </w:tc>
        <w:tc>
          <w:tcPr>
            <w:tcW w:w="120" w:type="dxa"/>
            <w:vAlign w:val="bottom"/>
            <w:shd w:val="clear" w:color="auto" w:fill="DBDBDB"/>
          </w:tcPr>
          <w:p>
            <w:pPr>
              <w:spacing w:after="0"/>
              <w:rPr>
                <w:sz w:val="15"/>
                <w:szCs w:val="15"/>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BDBDB"/>
          </w:tcPr>
          <w:p>
            <w:pPr>
              <w:spacing w:after="0"/>
              <w:rPr>
                <w:sz w:val="15"/>
                <w:szCs w:val="15"/>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28,540</w:t>
            </w:r>
          </w:p>
        </w:tc>
        <w:tc>
          <w:tcPr>
            <w:tcW w:w="140" w:type="dxa"/>
            <w:vAlign w:val="bottom"/>
            <w:shd w:val="clear" w:color="auto" w:fill="DBDBDB"/>
          </w:tcPr>
          <w:p>
            <w:pPr>
              <w:spacing w:after="0"/>
              <w:rPr>
                <w:sz w:val="15"/>
                <w:szCs w:val="15"/>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(1,885)</w:t>
            </w:r>
          </w:p>
        </w:tc>
        <w:tc>
          <w:tcPr>
            <w:tcW w:w="100" w:type="dxa"/>
            <w:vAlign w:val="bottom"/>
            <w:shd w:val="clear" w:color="auto" w:fill="DBDBDB"/>
          </w:tcPr>
          <w:p>
            <w:pPr>
              <w:spacing w:after="0"/>
              <w:rPr>
                <w:sz w:val="15"/>
                <w:szCs w:val="15"/>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26,655</w:t>
            </w:r>
          </w:p>
        </w:tc>
        <w:tc>
          <w:tcPr>
            <w:tcW w:w="0" w:type="dxa"/>
            <w:vAlign w:val="bottom"/>
          </w:tcPr>
          <w:p>
            <w:pPr>
              <w:spacing w:after="0"/>
              <w:rPr>
                <w:sz w:val="1"/>
                <w:szCs w:val="1"/>
                <w:color w:val="auto"/>
              </w:rPr>
            </w:pPr>
          </w:p>
        </w:tc>
      </w:tr>
      <w:tr>
        <w:trPr>
          <w:trHeight w:val="172"/>
        </w:trPr>
        <w:tc>
          <w:tcPr>
            <w:tcW w:w="3400" w:type="dxa"/>
            <w:vAlign w:val="bottom"/>
          </w:tcPr>
          <w:p>
            <w:pPr>
              <w:ind w:left="200"/>
              <w:spacing w:after="0"/>
              <w:rPr>
                <w:sz w:val="20"/>
                <w:szCs w:val="20"/>
                <w:color w:val="auto"/>
              </w:rPr>
            </w:pPr>
            <w:r>
              <w:rPr>
                <w:rFonts w:ascii="Arial" w:cs="Arial" w:eastAsia="Arial" w:hAnsi="Arial"/>
                <w:sz w:val="13"/>
                <w:szCs w:val="13"/>
                <w:color w:val="auto"/>
              </w:rPr>
              <w:t>Mobile Mini Merger</w:t>
            </w:r>
          </w:p>
        </w:tc>
        <w:tc>
          <w:tcPr>
            <w:tcW w:w="640" w:type="dxa"/>
            <w:vAlign w:val="bottom"/>
          </w:tcPr>
          <w:p>
            <w:pPr>
              <w:jc w:val="right"/>
              <w:spacing w:after="0"/>
              <w:rPr>
                <w:sz w:val="20"/>
                <w:szCs w:val="20"/>
                <w:color w:val="auto"/>
              </w:rPr>
            </w:pPr>
            <w:r>
              <w:rPr>
                <w:rFonts w:ascii="Arial" w:cs="Arial" w:eastAsia="Arial" w:hAnsi="Arial"/>
                <w:sz w:val="13"/>
                <w:szCs w:val="13"/>
                <w:color w:val="auto"/>
              </w:rPr>
              <w:t>106,427</w:t>
            </w:r>
          </w:p>
        </w:tc>
        <w:tc>
          <w:tcPr>
            <w:tcW w:w="100" w:type="dxa"/>
            <w:vAlign w:val="bottom"/>
          </w:tcPr>
          <w:p>
            <w:pPr>
              <w:spacing w:after="0"/>
              <w:rPr>
                <w:sz w:val="14"/>
                <w:szCs w:val="14"/>
                <w:color w:val="auto"/>
              </w:rPr>
            </w:pPr>
          </w:p>
        </w:tc>
        <w:tc>
          <w:tcPr>
            <w:tcW w:w="580" w:type="dxa"/>
            <w:vAlign w:val="bottom"/>
          </w:tcPr>
          <w:p>
            <w:pPr>
              <w:jc w:val="right"/>
              <w:ind w:right="15"/>
              <w:spacing w:after="0"/>
              <w:rPr>
                <w:sz w:val="20"/>
                <w:szCs w:val="20"/>
                <w:color w:val="auto"/>
              </w:rPr>
            </w:pPr>
            <w:r>
              <w:rPr>
                <w:rFonts w:ascii="Arial" w:cs="Arial" w:eastAsia="Arial" w:hAnsi="Arial"/>
                <w:sz w:val="13"/>
                <w:szCs w:val="13"/>
                <w:color w:val="auto"/>
              </w:rPr>
              <w:t>11</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1,348,619</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1,348,630</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1,348,630</w:t>
            </w:r>
          </w:p>
        </w:tc>
        <w:tc>
          <w:tcPr>
            <w:tcW w:w="0" w:type="dxa"/>
            <w:vAlign w:val="bottom"/>
          </w:tcPr>
          <w:p>
            <w:pPr>
              <w:spacing w:after="0"/>
              <w:rPr>
                <w:sz w:val="1"/>
                <w:szCs w:val="1"/>
                <w:color w:val="auto"/>
              </w:rPr>
            </w:pPr>
          </w:p>
        </w:tc>
      </w:tr>
      <w:tr>
        <w:trPr>
          <w:trHeight w:val="178"/>
        </w:trPr>
        <w:tc>
          <w:tcPr>
            <w:tcW w:w="3400" w:type="dxa"/>
            <w:vAlign w:val="bottom"/>
            <w:shd w:val="clear" w:color="auto" w:fill="DBDBDB"/>
          </w:tcPr>
          <w:p>
            <w:pPr>
              <w:ind w:left="200"/>
              <w:spacing w:after="0"/>
              <w:rPr>
                <w:sz w:val="20"/>
                <w:szCs w:val="20"/>
                <w:color w:val="auto"/>
              </w:rPr>
            </w:pPr>
            <w:r>
              <w:rPr>
                <w:rFonts w:ascii="Arial" w:cs="Arial" w:eastAsia="Arial" w:hAnsi="Arial"/>
                <w:sz w:val="13"/>
                <w:szCs w:val="13"/>
                <w:color w:val="auto"/>
              </w:rPr>
              <w:t>Sapphire Exchange - See Note 10</w:t>
            </w:r>
          </w:p>
        </w:tc>
        <w:tc>
          <w:tcPr>
            <w:tcW w:w="6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10,641</w:t>
            </w:r>
          </w:p>
        </w:tc>
        <w:tc>
          <w:tcPr>
            <w:tcW w:w="100" w:type="dxa"/>
            <w:vAlign w:val="bottom"/>
            <w:shd w:val="clear" w:color="auto" w:fill="DBDBDB"/>
          </w:tcPr>
          <w:p>
            <w:pPr>
              <w:spacing w:after="0"/>
              <w:rPr>
                <w:sz w:val="15"/>
                <w:szCs w:val="15"/>
                <w:color w:val="auto"/>
              </w:rPr>
            </w:pPr>
          </w:p>
        </w:tc>
        <w:tc>
          <w:tcPr>
            <w:tcW w:w="580" w:type="dxa"/>
            <w:vAlign w:val="bottom"/>
            <w:shd w:val="clear" w:color="auto" w:fill="DBDBDB"/>
          </w:tcPr>
          <w:p>
            <w:pPr>
              <w:jc w:val="right"/>
              <w:ind w:right="15"/>
              <w:spacing w:after="0"/>
              <w:rPr>
                <w:sz w:val="20"/>
                <w:szCs w:val="20"/>
                <w:color w:val="auto"/>
              </w:rPr>
            </w:pPr>
            <w:r>
              <w:rPr>
                <w:rFonts w:ascii="Arial" w:cs="Arial" w:eastAsia="Arial" w:hAnsi="Arial"/>
                <w:sz w:val="13"/>
                <w:szCs w:val="13"/>
                <w:color w:val="auto"/>
              </w:rPr>
              <w:t>1</w:t>
            </w:r>
          </w:p>
        </w:tc>
        <w:tc>
          <w:tcPr>
            <w:tcW w:w="6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(8,024)</w:t>
            </w:r>
          </w:p>
        </w:tc>
        <w:tc>
          <w:tcPr>
            <w:tcW w:w="120" w:type="dxa"/>
            <w:vAlign w:val="bottom"/>
            <w:shd w:val="clear" w:color="auto" w:fill="DBDBDB"/>
          </w:tcPr>
          <w:p>
            <w:pPr>
              <w:spacing w:after="0"/>
              <w:rPr>
                <w:sz w:val="15"/>
                <w:szCs w:val="15"/>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w:t>
            </w:r>
          </w:p>
        </w:tc>
        <w:tc>
          <w:tcPr>
            <w:tcW w:w="140" w:type="dxa"/>
            <w:vAlign w:val="bottom"/>
            <w:shd w:val="clear" w:color="auto" w:fill="DBDBDB"/>
          </w:tcPr>
          <w:p>
            <w:pPr>
              <w:spacing w:after="0"/>
              <w:rPr>
                <w:sz w:val="15"/>
                <w:szCs w:val="15"/>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66,890</w:t>
            </w:r>
          </w:p>
        </w:tc>
        <w:tc>
          <w:tcPr>
            <w:tcW w:w="120" w:type="dxa"/>
            <w:vAlign w:val="bottom"/>
            <w:shd w:val="clear" w:color="auto" w:fill="DBDBDB"/>
          </w:tcPr>
          <w:p>
            <w:pPr>
              <w:spacing w:after="0"/>
              <w:rPr>
                <w:sz w:val="15"/>
                <w:szCs w:val="15"/>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(2,972)</w:t>
            </w:r>
          </w:p>
        </w:tc>
        <w:tc>
          <w:tcPr>
            <w:tcW w:w="120" w:type="dxa"/>
            <w:vAlign w:val="bottom"/>
            <w:shd w:val="clear" w:color="auto" w:fill="DBDBDB"/>
          </w:tcPr>
          <w:p>
            <w:pPr>
              <w:spacing w:after="0"/>
              <w:rPr>
                <w:sz w:val="15"/>
                <w:szCs w:val="15"/>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BDBDB"/>
          </w:tcPr>
          <w:p>
            <w:pPr>
              <w:spacing w:after="0"/>
              <w:rPr>
                <w:sz w:val="15"/>
                <w:szCs w:val="15"/>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63,918</w:t>
            </w:r>
          </w:p>
        </w:tc>
        <w:tc>
          <w:tcPr>
            <w:tcW w:w="140" w:type="dxa"/>
            <w:vAlign w:val="bottom"/>
            <w:shd w:val="clear" w:color="auto" w:fill="DBDBDB"/>
          </w:tcPr>
          <w:p>
            <w:pPr>
              <w:spacing w:after="0"/>
              <w:rPr>
                <w:sz w:val="15"/>
                <w:szCs w:val="15"/>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(63,918)</w:t>
            </w:r>
          </w:p>
        </w:tc>
        <w:tc>
          <w:tcPr>
            <w:tcW w:w="100" w:type="dxa"/>
            <w:vAlign w:val="bottom"/>
            <w:shd w:val="clear" w:color="auto" w:fill="DBDBDB"/>
          </w:tcPr>
          <w:p>
            <w:pPr>
              <w:spacing w:after="0"/>
              <w:rPr>
                <w:sz w:val="15"/>
                <w:szCs w:val="15"/>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3400" w:type="dxa"/>
            <w:vAlign w:val="bottom"/>
          </w:tcPr>
          <w:p>
            <w:pPr>
              <w:ind w:left="200"/>
              <w:spacing w:after="0" w:line="144" w:lineRule="exact"/>
              <w:rPr>
                <w:sz w:val="20"/>
                <w:szCs w:val="20"/>
                <w:color w:val="auto"/>
              </w:rPr>
            </w:pPr>
            <w:r>
              <w:rPr>
                <w:rFonts w:ascii="Arial" w:cs="Arial" w:eastAsia="Arial" w:hAnsi="Arial"/>
                <w:sz w:val="13"/>
                <w:szCs w:val="13"/>
                <w:color w:val="auto"/>
              </w:rPr>
              <w:t>Stock-based compensation and issuance of common</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400" w:type="dxa"/>
            <w:vAlign w:val="bottom"/>
          </w:tcPr>
          <w:p>
            <w:pPr>
              <w:ind w:left="200"/>
              <w:spacing w:after="0"/>
              <w:rPr>
                <w:sz w:val="20"/>
                <w:szCs w:val="20"/>
                <w:color w:val="auto"/>
              </w:rPr>
            </w:pPr>
            <w:r>
              <w:rPr>
                <w:rFonts w:ascii="Arial" w:cs="Arial" w:eastAsia="Arial" w:hAnsi="Arial"/>
                <w:sz w:val="13"/>
                <w:szCs w:val="13"/>
                <w:color w:val="auto"/>
              </w:rPr>
              <w:t>stock from vesting</w:t>
            </w:r>
          </w:p>
        </w:tc>
        <w:tc>
          <w:tcPr>
            <w:tcW w:w="640" w:type="dxa"/>
            <w:vAlign w:val="bottom"/>
          </w:tcPr>
          <w:p>
            <w:pPr>
              <w:jc w:val="right"/>
              <w:spacing w:after="0"/>
              <w:rPr>
                <w:sz w:val="20"/>
                <w:szCs w:val="20"/>
                <w:color w:val="auto"/>
              </w:rPr>
            </w:pPr>
            <w:r>
              <w:rPr>
                <w:rFonts w:ascii="Arial" w:cs="Arial" w:eastAsia="Arial" w:hAnsi="Arial"/>
                <w:sz w:val="13"/>
                <w:szCs w:val="13"/>
                <w:color w:val="auto"/>
              </w:rPr>
              <w:t>315</w:t>
            </w:r>
          </w:p>
        </w:tc>
        <w:tc>
          <w:tcPr>
            <w:tcW w:w="100" w:type="dxa"/>
            <w:vAlign w:val="bottom"/>
          </w:tcPr>
          <w:p>
            <w:pPr>
              <w:spacing w:after="0"/>
              <w:rPr>
                <w:sz w:val="13"/>
                <w:szCs w:val="13"/>
                <w:color w:val="auto"/>
              </w:rPr>
            </w:pPr>
          </w:p>
        </w:tc>
        <w:tc>
          <w:tcPr>
            <w:tcW w:w="5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9,879</w:t>
            </w: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9,879</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9,879</w:t>
            </w:r>
          </w:p>
        </w:tc>
        <w:tc>
          <w:tcPr>
            <w:tcW w:w="0" w:type="dxa"/>
            <w:vAlign w:val="bottom"/>
          </w:tcPr>
          <w:p>
            <w:pPr>
              <w:spacing w:after="0"/>
              <w:rPr>
                <w:sz w:val="1"/>
                <w:szCs w:val="1"/>
                <w:color w:val="auto"/>
              </w:rPr>
            </w:pPr>
          </w:p>
        </w:tc>
      </w:tr>
      <w:tr>
        <w:trPr>
          <w:trHeight w:val="178"/>
        </w:trPr>
        <w:tc>
          <w:tcPr>
            <w:tcW w:w="3400" w:type="dxa"/>
            <w:vAlign w:val="bottom"/>
            <w:shd w:val="clear" w:color="auto" w:fill="DBDBDB"/>
          </w:tcPr>
          <w:p>
            <w:pPr>
              <w:ind w:left="200"/>
              <w:spacing w:after="0"/>
              <w:rPr>
                <w:sz w:val="20"/>
                <w:szCs w:val="20"/>
                <w:color w:val="auto"/>
              </w:rPr>
            </w:pPr>
            <w:r>
              <w:rPr>
                <w:rFonts w:ascii="Arial" w:cs="Arial" w:eastAsia="Arial" w:hAnsi="Arial"/>
                <w:sz w:val="13"/>
                <w:szCs w:val="13"/>
                <w:color w:val="auto"/>
              </w:rPr>
              <w:t>Repurchase and cancellation of options and warrants</w:t>
            </w:r>
          </w:p>
        </w:tc>
        <w:tc>
          <w:tcPr>
            <w:tcW w:w="6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5"/>
                <w:szCs w:val="15"/>
                <w:color w:val="auto"/>
              </w:rPr>
            </w:pPr>
          </w:p>
        </w:tc>
        <w:tc>
          <w:tcPr>
            <w:tcW w:w="580" w:type="dxa"/>
            <w:vAlign w:val="bottom"/>
            <w:shd w:val="clear" w:color="auto" w:fill="DBDBDB"/>
          </w:tcPr>
          <w:p>
            <w:pPr>
              <w:jc w:val="right"/>
              <w:ind w:right="15"/>
              <w:spacing w:after="0"/>
              <w:rPr>
                <w:sz w:val="20"/>
                <w:szCs w:val="20"/>
                <w:color w:val="auto"/>
              </w:rPr>
            </w:pPr>
            <w:r>
              <w:rPr>
                <w:rFonts w:ascii="Arial" w:cs="Arial" w:eastAsia="Arial" w:hAnsi="Arial"/>
                <w:sz w:val="13"/>
                <w:szCs w:val="13"/>
                <w:color w:val="auto"/>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BDBDB"/>
          </w:tcPr>
          <w:p>
            <w:pPr>
              <w:spacing w:after="0"/>
              <w:rPr>
                <w:sz w:val="15"/>
                <w:szCs w:val="15"/>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5"/>
                <w:szCs w:val="15"/>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(300)</w:t>
            </w:r>
          </w:p>
        </w:tc>
        <w:tc>
          <w:tcPr>
            <w:tcW w:w="120" w:type="dxa"/>
            <w:vAlign w:val="bottom"/>
            <w:shd w:val="clear" w:color="auto" w:fill="DBDBDB"/>
          </w:tcPr>
          <w:p>
            <w:pPr>
              <w:spacing w:after="0"/>
              <w:rPr>
                <w:sz w:val="15"/>
                <w:szCs w:val="15"/>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BDBDB"/>
          </w:tcPr>
          <w:p>
            <w:pPr>
              <w:spacing w:after="0"/>
              <w:rPr>
                <w:sz w:val="15"/>
                <w:szCs w:val="15"/>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BDBDB"/>
          </w:tcPr>
          <w:p>
            <w:pPr>
              <w:spacing w:after="0"/>
              <w:rPr>
                <w:sz w:val="15"/>
                <w:szCs w:val="15"/>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(300)</w:t>
            </w:r>
          </w:p>
        </w:tc>
        <w:tc>
          <w:tcPr>
            <w:tcW w:w="140" w:type="dxa"/>
            <w:vAlign w:val="bottom"/>
            <w:shd w:val="clear" w:color="auto" w:fill="DBDBDB"/>
          </w:tcPr>
          <w:p>
            <w:pPr>
              <w:spacing w:after="0"/>
              <w:rPr>
                <w:sz w:val="15"/>
                <w:szCs w:val="15"/>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5"/>
                <w:szCs w:val="15"/>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144"/>
        </w:trPr>
        <w:tc>
          <w:tcPr>
            <w:tcW w:w="3400" w:type="dxa"/>
            <w:vAlign w:val="bottom"/>
          </w:tcPr>
          <w:p>
            <w:pPr>
              <w:ind w:left="200"/>
              <w:spacing w:after="0" w:line="144" w:lineRule="exact"/>
              <w:rPr>
                <w:sz w:val="20"/>
                <w:szCs w:val="20"/>
                <w:color w:val="auto"/>
              </w:rPr>
            </w:pPr>
            <w:r>
              <w:rPr>
                <w:rFonts w:ascii="Arial" w:cs="Arial" w:eastAsia="Arial" w:hAnsi="Arial"/>
                <w:sz w:val="13"/>
                <w:szCs w:val="13"/>
                <w:color w:val="auto"/>
              </w:rPr>
              <w:t>Issuance of Common Stock from the exercise of</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400" w:type="dxa"/>
            <w:vAlign w:val="bottom"/>
          </w:tcPr>
          <w:p>
            <w:pPr>
              <w:ind w:left="200"/>
              <w:spacing w:after="0"/>
              <w:rPr>
                <w:sz w:val="20"/>
                <w:szCs w:val="20"/>
                <w:color w:val="auto"/>
              </w:rPr>
            </w:pPr>
            <w:r>
              <w:rPr>
                <w:rFonts w:ascii="Arial" w:cs="Arial" w:eastAsia="Arial" w:hAnsi="Arial"/>
                <w:sz w:val="13"/>
                <w:szCs w:val="13"/>
                <w:color w:val="auto"/>
              </w:rPr>
              <w:t>options and warrants</w:t>
            </w:r>
          </w:p>
        </w:tc>
        <w:tc>
          <w:tcPr>
            <w:tcW w:w="640" w:type="dxa"/>
            <w:vAlign w:val="bottom"/>
          </w:tcPr>
          <w:p>
            <w:pPr>
              <w:jc w:val="right"/>
              <w:spacing w:after="0"/>
              <w:rPr>
                <w:sz w:val="20"/>
                <w:szCs w:val="20"/>
                <w:color w:val="auto"/>
              </w:rPr>
            </w:pPr>
            <w:r>
              <w:rPr>
                <w:rFonts w:ascii="Arial" w:cs="Arial" w:eastAsia="Arial" w:hAnsi="Arial"/>
                <w:sz w:val="13"/>
                <w:szCs w:val="13"/>
                <w:color w:val="auto"/>
              </w:rPr>
              <w:t>2,836</w:t>
            </w:r>
          </w:p>
        </w:tc>
        <w:tc>
          <w:tcPr>
            <w:tcW w:w="100" w:type="dxa"/>
            <w:vAlign w:val="bottom"/>
          </w:tcPr>
          <w:p>
            <w:pPr>
              <w:spacing w:after="0"/>
              <w:rPr>
                <w:sz w:val="13"/>
                <w:szCs w:val="13"/>
                <w:color w:val="auto"/>
              </w:rPr>
            </w:pPr>
          </w:p>
        </w:tc>
        <w:tc>
          <w:tcPr>
            <w:tcW w:w="5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35,727</w:t>
            </w: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35,727</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35,727</w:t>
            </w:r>
          </w:p>
        </w:tc>
        <w:tc>
          <w:tcPr>
            <w:tcW w:w="0" w:type="dxa"/>
            <w:vAlign w:val="bottom"/>
          </w:tcPr>
          <w:p>
            <w:pPr>
              <w:spacing w:after="0"/>
              <w:rPr>
                <w:sz w:val="1"/>
                <w:szCs w:val="1"/>
                <w:color w:val="auto"/>
              </w:rPr>
            </w:pPr>
          </w:p>
        </w:tc>
      </w:tr>
      <w:tr>
        <w:trPr>
          <w:trHeight w:val="146"/>
        </w:trPr>
        <w:tc>
          <w:tcPr>
            <w:tcW w:w="3400" w:type="dxa"/>
            <w:vAlign w:val="bottom"/>
            <w:shd w:val="clear" w:color="auto" w:fill="DBDBDB"/>
          </w:tcPr>
          <w:p>
            <w:pPr>
              <w:ind w:left="200"/>
              <w:spacing w:after="0" w:line="147" w:lineRule="exact"/>
              <w:rPr>
                <w:sz w:val="20"/>
                <w:szCs w:val="20"/>
                <w:color w:val="auto"/>
              </w:rPr>
            </w:pPr>
            <w:r>
              <w:rPr>
                <w:rFonts w:ascii="Arial" w:cs="Arial" w:eastAsia="Arial" w:hAnsi="Arial"/>
                <w:sz w:val="13"/>
                <w:szCs w:val="13"/>
                <w:color w:val="auto"/>
              </w:rPr>
              <w:t>Withholding taxes on net share settlement of stock-</w:t>
            </w:r>
          </w:p>
        </w:tc>
        <w:tc>
          <w:tcPr>
            <w:tcW w:w="64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580" w:type="dxa"/>
            <w:vAlign w:val="bottom"/>
            <w:shd w:val="clear" w:color="auto" w:fill="DBDBDB"/>
          </w:tcPr>
          <w:p>
            <w:pPr>
              <w:spacing w:after="0"/>
              <w:rPr>
                <w:sz w:val="12"/>
                <w:szCs w:val="12"/>
                <w:color w:val="auto"/>
              </w:rPr>
            </w:pPr>
          </w:p>
        </w:tc>
        <w:tc>
          <w:tcPr>
            <w:tcW w:w="60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52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74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96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80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80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5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7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00" w:type="dxa"/>
            <w:vAlign w:val="bottom"/>
            <w:shd w:val="clear" w:color="auto" w:fill="DBDBDB"/>
          </w:tcPr>
          <w:p>
            <w:pPr>
              <w:ind w:left="200"/>
              <w:spacing w:after="0"/>
              <w:rPr>
                <w:sz w:val="20"/>
                <w:szCs w:val="20"/>
                <w:color w:val="auto"/>
              </w:rPr>
            </w:pPr>
            <w:r>
              <w:rPr>
                <w:rFonts w:ascii="Arial" w:cs="Arial" w:eastAsia="Arial" w:hAnsi="Arial"/>
                <w:sz w:val="13"/>
                <w:szCs w:val="13"/>
                <w:color w:val="auto"/>
              </w:rPr>
              <w:t>based compensation and option exercises</w:t>
            </w:r>
          </w:p>
        </w:tc>
        <w:tc>
          <w:tcPr>
            <w:tcW w:w="6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4"/>
                <w:szCs w:val="14"/>
                <w:color w:val="auto"/>
              </w:rPr>
            </w:pPr>
          </w:p>
        </w:tc>
        <w:tc>
          <w:tcPr>
            <w:tcW w:w="580" w:type="dxa"/>
            <w:vAlign w:val="bottom"/>
            <w:shd w:val="clear" w:color="auto" w:fill="DBDBDB"/>
          </w:tcPr>
          <w:p>
            <w:pPr>
              <w:jc w:val="right"/>
              <w:ind w:right="15"/>
              <w:spacing w:after="0"/>
              <w:rPr>
                <w:sz w:val="20"/>
                <w:szCs w:val="20"/>
                <w:color w:val="auto"/>
              </w:rPr>
            </w:pPr>
            <w:r>
              <w:rPr>
                <w:rFonts w:ascii="Arial" w:cs="Arial" w:eastAsia="Arial" w:hAnsi="Arial"/>
                <w:sz w:val="13"/>
                <w:szCs w:val="13"/>
                <w:color w:val="auto"/>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BDBDB"/>
          </w:tcPr>
          <w:p>
            <w:pPr>
              <w:spacing w:after="0"/>
              <w:rPr>
                <w:sz w:val="14"/>
                <w:szCs w:val="14"/>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4"/>
                <w:szCs w:val="14"/>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(13,473)</w:t>
            </w:r>
          </w:p>
        </w:tc>
        <w:tc>
          <w:tcPr>
            <w:tcW w:w="120" w:type="dxa"/>
            <w:vAlign w:val="bottom"/>
            <w:shd w:val="clear" w:color="auto" w:fill="DBDBDB"/>
          </w:tcPr>
          <w:p>
            <w:pPr>
              <w:spacing w:after="0"/>
              <w:rPr>
                <w:sz w:val="14"/>
                <w:szCs w:val="14"/>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BDBDB"/>
          </w:tcPr>
          <w:p>
            <w:pPr>
              <w:spacing w:after="0"/>
              <w:rPr>
                <w:sz w:val="14"/>
                <w:szCs w:val="14"/>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BDBDB"/>
          </w:tcPr>
          <w:p>
            <w:pPr>
              <w:spacing w:after="0"/>
              <w:rPr>
                <w:sz w:val="14"/>
                <w:szCs w:val="14"/>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(13,473)</w:t>
            </w:r>
          </w:p>
        </w:tc>
        <w:tc>
          <w:tcPr>
            <w:tcW w:w="140" w:type="dxa"/>
            <w:vAlign w:val="bottom"/>
            <w:shd w:val="clear" w:color="auto" w:fill="DBDBDB"/>
          </w:tcPr>
          <w:p>
            <w:pPr>
              <w:spacing w:after="0"/>
              <w:rPr>
                <w:sz w:val="14"/>
                <w:szCs w:val="14"/>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4"/>
                <w:szCs w:val="14"/>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(13,473)</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DBDBDB"/>
            </w:tcBorders>
          </w:tcPr>
          <w:p>
            <w:pPr>
              <w:ind w:left="200"/>
              <w:spacing w:after="0"/>
              <w:rPr>
                <w:sz w:val="20"/>
                <w:szCs w:val="20"/>
                <w:color w:val="auto"/>
              </w:rPr>
            </w:pPr>
            <w:r>
              <w:rPr>
                <w:rFonts w:ascii="Arial" w:cs="Arial" w:eastAsia="Arial" w:hAnsi="Arial"/>
                <w:sz w:val="13"/>
                <w:szCs w:val="13"/>
                <w:color w:val="auto"/>
              </w:rPr>
              <w:t>Reclassification of 2018 Warrants</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26,216</w:t>
            </w: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26,216</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26,216</w:t>
            </w:r>
          </w:p>
        </w:tc>
        <w:tc>
          <w:tcPr>
            <w:tcW w:w="0" w:type="dxa"/>
            <w:vAlign w:val="bottom"/>
          </w:tcPr>
          <w:p>
            <w:pPr>
              <w:spacing w:after="0"/>
              <w:rPr>
                <w:sz w:val="1"/>
                <w:szCs w:val="1"/>
                <w:color w:val="auto"/>
              </w:rPr>
            </w:pPr>
          </w:p>
        </w:tc>
      </w:tr>
      <w:tr>
        <w:trPr>
          <w:trHeight w:val="169"/>
        </w:trPr>
        <w:tc>
          <w:tcPr>
            <w:tcW w:w="3400" w:type="dxa"/>
            <w:vAlign w:val="bottom"/>
            <w:shd w:val="clear" w:color="auto" w:fill="DBDBDB"/>
          </w:tcPr>
          <w:p>
            <w:pPr>
              <w:ind w:left="20"/>
              <w:spacing w:after="0"/>
              <w:rPr>
                <w:sz w:val="20"/>
                <w:szCs w:val="20"/>
                <w:color w:val="auto"/>
              </w:rPr>
            </w:pPr>
            <w:r>
              <w:rPr>
                <w:rFonts w:ascii="Arial" w:cs="Arial" w:eastAsia="Arial" w:hAnsi="Arial"/>
                <w:sz w:val="13"/>
                <w:szCs w:val="13"/>
                <w:color w:val="auto"/>
              </w:rPr>
              <w:t>Balance at December 31, 2020</w:t>
            </w:r>
          </w:p>
        </w:tc>
        <w:tc>
          <w:tcPr>
            <w:tcW w:w="6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229,038</w:t>
            </w:r>
          </w:p>
        </w:tc>
        <w:tc>
          <w:tcPr>
            <w:tcW w:w="10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DBDBDB"/>
          </w:tcPr>
          <w:p>
            <w:pPr>
              <w:jc w:val="right"/>
              <w:ind w:right="15"/>
              <w:spacing w:after="0"/>
              <w:rPr>
                <w:sz w:val="20"/>
                <w:szCs w:val="20"/>
                <w:color w:val="auto"/>
              </w:rPr>
            </w:pPr>
            <w:r>
              <w:rPr>
                <w:rFonts w:ascii="Arial" w:cs="Arial" w:eastAsia="Arial" w:hAnsi="Arial"/>
                <w:sz w:val="13"/>
                <w:szCs w:val="13"/>
                <w:color w:val="auto"/>
              </w:rPr>
              <w:t>23</w:t>
            </w:r>
          </w:p>
        </w:tc>
        <w:tc>
          <w:tcPr>
            <w:tcW w:w="72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 $</w:t>
            </w:r>
          </w:p>
        </w:tc>
        <w:tc>
          <w:tcPr>
            <w:tcW w:w="66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 $</w:t>
            </w:r>
          </w:p>
        </w:tc>
        <w:tc>
          <w:tcPr>
            <w:tcW w:w="7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3,852,291</w:t>
            </w:r>
          </w:p>
        </w:tc>
        <w:tc>
          <w:tcPr>
            <w:tcW w:w="12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(37,207)</w:t>
            </w:r>
          </w:p>
        </w:tc>
        <w:tc>
          <w:tcPr>
            <w:tcW w:w="12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(1,751,234)</w:t>
            </w:r>
          </w:p>
        </w:tc>
        <w:tc>
          <w:tcPr>
            <w:tcW w:w="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2,063,873</w:t>
            </w: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 $</w:t>
            </w:r>
          </w:p>
        </w:tc>
        <w:tc>
          <w:tcPr>
            <w:tcW w:w="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2,063,873</w:t>
            </w:r>
          </w:p>
        </w:tc>
        <w:tc>
          <w:tcPr>
            <w:tcW w:w="0" w:type="dxa"/>
            <w:vAlign w:val="bottom"/>
          </w:tcPr>
          <w:p>
            <w:pPr>
              <w:spacing w:after="0"/>
              <w:rPr>
                <w:sz w:val="1"/>
                <w:szCs w:val="1"/>
                <w:color w:val="auto"/>
              </w:rPr>
            </w:pPr>
          </w:p>
        </w:tc>
      </w:tr>
      <w:tr>
        <w:trPr>
          <w:trHeight w:val="183"/>
        </w:trPr>
        <w:tc>
          <w:tcPr>
            <w:tcW w:w="3400" w:type="dxa"/>
            <w:vAlign w:val="bottom"/>
          </w:tcPr>
          <w:p>
            <w:pPr>
              <w:ind w:left="200"/>
              <w:spacing w:after="0"/>
              <w:rPr>
                <w:sz w:val="20"/>
                <w:szCs w:val="20"/>
                <w:color w:val="auto"/>
              </w:rPr>
            </w:pPr>
            <w:r>
              <w:rPr>
                <w:rFonts w:ascii="Arial" w:cs="Arial" w:eastAsia="Arial" w:hAnsi="Arial"/>
                <w:sz w:val="13"/>
                <w:szCs w:val="13"/>
                <w:color w:val="auto"/>
              </w:rPr>
              <w:t>Net Income</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160,144</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160,144</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160,144</w:t>
            </w:r>
          </w:p>
        </w:tc>
        <w:tc>
          <w:tcPr>
            <w:tcW w:w="0" w:type="dxa"/>
            <w:vAlign w:val="bottom"/>
          </w:tcPr>
          <w:p>
            <w:pPr>
              <w:spacing w:after="0"/>
              <w:rPr>
                <w:sz w:val="1"/>
                <w:szCs w:val="1"/>
                <w:color w:val="auto"/>
              </w:rPr>
            </w:pPr>
          </w:p>
        </w:tc>
      </w:tr>
      <w:tr>
        <w:trPr>
          <w:trHeight w:val="178"/>
        </w:trPr>
        <w:tc>
          <w:tcPr>
            <w:tcW w:w="3400" w:type="dxa"/>
            <w:vAlign w:val="bottom"/>
            <w:shd w:val="clear" w:color="auto" w:fill="DBDBDB"/>
          </w:tcPr>
          <w:p>
            <w:pPr>
              <w:ind w:left="200"/>
              <w:spacing w:after="0"/>
              <w:rPr>
                <w:sz w:val="20"/>
                <w:szCs w:val="20"/>
                <w:color w:val="auto"/>
              </w:rPr>
            </w:pPr>
            <w:r>
              <w:rPr>
                <w:rFonts w:ascii="Arial" w:cs="Arial" w:eastAsia="Arial" w:hAnsi="Arial"/>
                <w:sz w:val="13"/>
                <w:szCs w:val="13"/>
                <w:color w:val="auto"/>
              </w:rPr>
              <w:t>Other Comprehensive Income</w:t>
            </w:r>
          </w:p>
        </w:tc>
        <w:tc>
          <w:tcPr>
            <w:tcW w:w="6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5"/>
                <w:szCs w:val="15"/>
                <w:color w:val="auto"/>
              </w:rPr>
            </w:pPr>
          </w:p>
        </w:tc>
        <w:tc>
          <w:tcPr>
            <w:tcW w:w="580" w:type="dxa"/>
            <w:vAlign w:val="bottom"/>
            <w:shd w:val="clear" w:color="auto" w:fill="DBDBDB"/>
          </w:tcPr>
          <w:p>
            <w:pPr>
              <w:jc w:val="right"/>
              <w:ind w:right="15"/>
              <w:spacing w:after="0"/>
              <w:rPr>
                <w:sz w:val="20"/>
                <w:szCs w:val="20"/>
                <w:color w:val="auto"/>
              </w:rPr>
            </w:pPr>
            <w:r>
              <w:rPr>
                <w:rFonts w:ascii="Arial" w:cs="Arial" w:eastAsia="Arial" w:hAnsi="Arial"/>
                <w:sz w:val="13"/>
                <w:szCs w:val="13"/>
                <w:color w:val="auto"/>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BDBDB"/>
          </w:tcPr>
          <w:p>
            <w:pPr>
              <w:spacing w:after="0"/>
              <w:rPr>
                <w:sz w:val="15"/>
                <w:szCs w:val="15"/>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5"/>
                <w:szCs w:val="15"/>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BDBDB"/>
          </w:tcPr>
          <w:p>
            <w:pPr>
              <w:spacing w:after="0"/>
              <w:rPr>
                <w:sz w:val="15"/>
                <w:szCs w:val="15"/>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8,136</w:t>
            </w:r>
          </w:p>
        </w:tc>
        <w:tc>
          <w:tcPr>
            <w:tcW w:w="120" w:type="dxa"/>
            <w:vAlign w:val="bottom"/>
            <w:shd w:val="clear" w:color="auto" w:fill="DBDBDB"/>
          </w:tcPr>
          <w:p>
            <w:pPr>
              <w:spacing w:after="0"/>
              <w:rPr>
                <w:sz w:val="15"/>
                <w:szCs w:val="15"/>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BDBDB"/>
          </w:tcPr>
          <w:p>
            <w:pPr>
              <w:spacing w:after="0"/>
              <w:rPr>
                <w:sz w:val="15"/>
                <w:szCs w:val="15"/>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8,136</w:t>
            </w:r>
          </w:p>
        </w:tc>
        <w:tc>
          <w:tcPr>
            <w:tcW w:w="140" w:type="dxa"/>
            <w:vAlign w:val="bottom"/>
            <w:shd w:val="clear" w:color="auto" w:fill="DBDBDB"/>
          </w:tcPr>
          <w:p>
            <w:pPr>
              <w:spacing w:after="0"/>
              <w:rPr>
                <w:sz w:val="15"/>
                <w:szCs w:val="15"/>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5"/>
                <w:szCs w:val="15"/>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8,136</w:t>
            </w:r>
          </w:p>
        </w:tc>
        <w:tc>
          <w:tcPr>
            <w:tcW w:w="0" w:type="dxa"/>
            <w:vAlign w:val="bottom"/>
          </w:tcPr>
          <w:p>
            <w:pPr>
              <w:spacing w:after="0"/>
              <w:rPr>
                <w:sz w:val="1"/>
                <w:szCs w:val="1"/>
                <w:color w:val="auto"/>
              </w:rPr>
            </w:pPr>
          </w:p>
        </w:tc>
      </w:tr>
      <w:tr>
        <w:trPr>
          <w:trHeight w:val="154"/>
        </w:trPr>
        <w:tc>
          <w:tcPr>
            <w:tcW w:w="3400" w:type="dxa"/>
            <w:vAlign w:val="bottom"/>
          </w:tcPr>
          <w:p>
            <w:pPr>
              <w:ind w:left="200"/>
              <w:spacing w:after="0"/>
              <w:rPr>
                <w:sz w:val="20"/>
                <w:szCs w:val="20"/>
                <w:color w:val="auto"/>
              </w:rPr>
            </w:pPr>
            <w:r>
              <w:rPr>
                <w:rFonts w:ascii="Arial" w:cs="Arial" w:eastAsia="Arial" w:hAnsi="Arial"/>
                <w:sz w:val="13"/>
                <w:szCs w:val="13"/>
                <w:color w:val="auto"/>
              </w:rPr>
              <w:t>Stock-based compensation and issuance of Common</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400" w:type="dxa"/>
            <w:vAlign w:val="bottom"/>
          </w:tcPr>
          <w:p>
            <w:pPr>
              <w:ind w:left="200"/>
              <w:spacing w:after="0"/>
              <w:rPr>
                <w:sz w:val="20"/>
                <w:szCs w:val="20"/>
                <w:color w:val="auto"/>
              </w:rPr>
            </w:pPr>
            <w:r>
              <w:rPr>
                <w:rFonts w:ascii="Arial" w:cs="Arial" w:eastAsia="Arial" w:hAnsi="Arial"/>
                <w:sz w:val="13"/>
                <w:szCs w:val="13"/>
                <w:color w:val="auto"/>
              </w:rPr>
              <w:t>Stock from vesting</w:t>
            </w:r>
          </w:p>
        </w:tc>
        <w:tc>
          <w:tcPr>
            <w:tcW w:w="640" w:type="dxa"/>
            <w:vAlign w:val="bottom"/>
          </w:tcPr>
          <w:p>
            <w:pPr>
              <w:jc w:val="right"/>
              <w:spacing w:after="0"/>
              <w:rPr>
                <w:sz w:val="20"/>
                <w:szCs w:val="20"/>
                <w:color w:val="auto"/>
              </w:rPr>
            </w:pPr>
            <w:r>
              <w:rPr>
                <w:rFonts w:ascii="Arial" w:cs="Arial" w:eastAsia="Arial" w:hAnsi="Arial"/>
                <w:sz w:val="13"/>
                <w:szCs w:val="13"/>
                <w:color w:val="auto"/>
              </w:rPr>
              <w:t>485</w:t>
            </w:r>
          </w:p>
        </w:tc>
        <w:tc>
          <w:tcPr>
            <w:tcW w:w="100" w:type="dxa"/>
            <w:vAlign w:val="bottom"/>
          </w:tcPr>
          <w:p>
            <w:pPr>
              <w:spacing w:after="0"/>
              <w:rPr>
                <w:sz w:val="14"/>
                <w:szCs w:val="14"/>
                <w:color w:val="auto"/>
              </w:rPr>
            </w:pPr>
          </w:p>
        </w:tc>
        <w:tc>
          <w:tcPr>
            <w:tcW w:w="5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26,184</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26,184</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26,184</w:t>
            </w:r>
          </w:p>
        </w:tc>
        <w:tc>
          <w:tcPr>
            <w:tcW w:w="0" w:type="dxa"/>
            <w:vAlign w:val="bottom"/>
          </w:tcPr>
          <w:p>
            <w:pPr>
              <w:spacing w:after="0"/>
              <w:rPr>
                <w:sz w:val="1"/>
                <w:szCs w:val="1"/>
                <w:color w:val="auto"/>
              </w:rPr>
            </w:pPr>
          </w:p>
        </w:tc>
      </w:tr>
      <w:tr>
        <w:trPr>
          <w:trHeight w:val="146"/>
        </w:trPr>
        <w:tc>
          <w:tcPr>
            <w:tcW w:w="3400" w:type="dxa"/>
            <w:vAlign w:val="bottom"/>
            <w:shd w:val="clear" w:color="auto" w:fill="DBDBDB"/>
          </w:tcPr>
          <w:p>
            <w:pPr>
              <w:ind w:left="200"/>
              <w:spacing w:after="0" w:line="147" w:lineRule="exact"/>
              <w:rPr>
                <w:sz w:val="20"/>
                <w:szCs w:val="20"/>
                <w:color w:val="auto"/>
              </w:rPr>
            </w:pPr>
            <w:r>
              <w:rPr>
                <w:rFonts w:ascii="Arial" w:cs="Arial" w:eastAsia="Arial" w:hAnsi="Arial"/>
                <w:sz w:val="13"/>
                <w:szCs w:val="13"/>
                <w:color w:val="auto"/>
              </w:rPr>
              <w:t>Repurchase and cancellation of Common Stock and</w:t>
            </w:r>
          </w:p>
        </w:tc>
        <w:tc>
          <w:tcPr>
            <w:tcW w:w="64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580" w:type="dxa"/>
            <w:vAlign w:val="bottom"/>
            <w:shd w:val="clear" w:color="auto" w:fill="DBDBDB"/>
          </w:tcPr>
          <w:p>
            <w:pPr>
              <w:spacing w:after="0"/>
              <w:rPr>
                <w:sz w:val="12"/>
                <w:szCs w:val="12"/>
                <w:color w:val="auto"/>
              </w:rPr>
            </w:pPr>
          </w:p>
        </w:tc>
        <w:tc>
          <w:tcPr>
            <w:tcW w:w="60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52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74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96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80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80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5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7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00" w:type="dxa"/>
            <w:vAlign w:val="bottom"/>
            <w:shd w:val="clear" w:color="auto" w:fill="DBDBDB"/>
          </w:tcPr>
          <w:p>
            <w:pPr>
              <w:ind w:left="200"/>
              <w:spacing w:after="0"/>
              <w:rPr>
                <w:sz w:val="20"/>
                <w:szCs w:val="20"/>
                <w:color w:val="auto"/>
              </w:rPr>
            </w:pPr>
            <w:r>
              <w:rPr>
                <w:rFonts w:ascii="Arial" w:cs="Arial" w:eastAsia="Arial" w:hAnsi="Arial"/>
                <w:sz w:val="13"/>
                <w:szCs w:val="13"/>
                <w:color w:val="auto"/>
              </w:rPr>
              <w:t>warrants</w:t>
            </w:r>
          </w:p>
        </w:tc>
        <w:tc>
          <w:tcPr>
            <w:tcW w:w="6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(11,851)</w:t>
            </w:r>
          </w:p>
        </w:tc>
        <w:tc>
          <w:tcPr>
            <w:tcW w:w="100" w:type="dxa"/>
            <w:vAlign w:val="bottom"/>
            <w:shd w:val="clear" w:color="auto" w:fill="DBDBDB"/>
          </w:tcPr>
          <w:p>
            <w:pPr>
              <w:spacing w:after="0"/>
              <w:rPr>
                <w:sz w:val="14"/>
                <w:szCs w:val="14"/>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w:t>
            </w:r>
          </w:p>
        </w:tc>
        <w:tc>
          <w:tcPr>
            <w:tcW w:w="6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BDBDB"/>
          </w:tcPr>
          <w:p>
            <w:pPr>
              <w:spacing w:after="0"/>
              <w:rPr>
                <w:sz w:val="14"/>
                <w:szCs w:val="14"/>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4"/>
                <w:szCs w:val="14"/>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(340,375)</w:t>
            </w:r>
          </w:p>
        </w:tc>
        <w:tc>
          <w:tcPr>
            <w:tcW w:w="120" w:type="dxa"/>
            <w:vAlign w:val="bottom"/>
            <w:shd w:val="clear" w:color="auto" w:fill="DBDBDB"/>
          </w:tcPr>
          <w:p>
            <w:pPr>
              <w:spacing w:after="0"/>
              <w:rPr>
                <w:sz w:val="14"/>
                <w:szCs w:val="14"/>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BDBDB"/>
          </w:tcPr>
          <w:p>
            <w:pPr>
              <w:spacing w:after="0"/>
              <w:rPr>
                <w:sz w:val="14"/>
                <w:szCs w:val="14"/>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BDBDB"/>
          </w:tcPr>
          <w:p>
            <w:pPr>
              <w:spacing w:after="0"/>
              <w:rPr>
                <w:sz w:val="14"/>
                <w:szCs w:val="14"/>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(340,376)</w:t>
            </w:r>
          </w:p>
        </w:tc>
        <w:tc>
          <w:tcPr>
            <w:tcW w:w="140" w:type="dxa"/>
            <w:vAlign w:val="bottom"/>
            <w:shd w:val="clear" w:color="auto" w:fill="DBDBDB"/>
          </w:tcPr>
          <w:p>
            <w:pPr>
              <w:spacing w:after="0"/>
              <w:rPr>
                <w:sz w:val="14"/>
                <w:szCs w:val="14"/>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4"/>
                <w:szCs w:val="14"/>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(340,376)</w:t>
            </w:r>
          </w:p>
        </w:tc>
        <w:tc>
          <w:tcPr>
            <w:tcW w:w="0" w:type="dxa"/>
            <w:vAlign w:val="bottom"/>
          </w:tcPr>
          <w:p>
            <w:pPr>
              <w:spacing w:after="0"/>
              <w:rPr>
                <w:sz w:val="1"/>
                <w:szCs w:val="1"/>
                <w:color w:val="auto"/>
              </w:rPr>
            </w:pPr>
          </w:p>
        </w:tc>
      </w:tr>
      <w:tr>
        <w:trPr>
          <w:trHeight w:val="144"/>
        </w:trPr>
        <w:tc>
          <w:tcPr>
            <w:tcW w:w="3400" w:type="dxa"/>
            <w:vAlign w:val="bottom"/>
          </w:tcPr>
          <w:p>
            <w:pPr>
              <w:ind w:left="200"/>
              <w:spacing w:after="0" w:line="144" w:lineRule="exact"/>
              <w:rPr>
                <w:sz w:val="20"/>
                <w:szCs w:val="20"/>
                <w:color w:val="auto"/>
              </w:rPr>
            </w:pPr>
            <w:r>
              <w:rPr>
                <w:rFonts w:ascii="Arial" w:cs="Arial" w:eastAsia="Arial" w:hAnsi="Arial"/>
                <w:sz w:val="13"/>
                <w:szCs w:val="13"/>
                <w:color w:val="auto"/>
              </w:rPr>
              <w:t>Issuance of Common Stock from the exercise of</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400" w:type="dxa"/>
            <w:vAlign w:val="bottom"/>
          </w:tcPr>
          <w:p>
            <w:pPr>
              <w:ind w:left="200"/>
              <w:spacing w:after="0"/>
              <w:rPr>
                <w:sz w:val="20"/>
                <w:szCs w:val="20"/>
                <w:color w:val="auto"/>
              </w:rPr>
            </w:pPr>
            <w:r>
              <w:rPr>
                <w:rFonts w:ascii="Arial" w:cs="Arial" w:eastAsia="Arial" w:hAnsi="Arial"/>
                <w:sz w:val="13"/>
                <w:szCs w:val="13"/>
                <w:color w:val="auto"/>
              </w:rPr>
              <w:t>options and warrants</w:t>
            </w:r>
          </w:p>
        </w:tc>
        <w:tc>
          <w:tcPr>
            <w:tcW w:w="640" w:type="dxa"/>
            <w:vAlign w:val="bottom"/>
          </w:tcPr>
          <w:p>
            <w:pPr>
              <w:jc w:val="right"/>
              <w:spacing w:after="0"/>
              <w:rPr>
                <w:sz w:val="20"/>
                <w:szCs w:val="20"/>
                <w:color w:val="auto"/>
              </w:rPr>
            </w:pPr>
            <w:r>
              <w:rPr>
                <w:rFonts w:ascii="Arial" w:cs="Arial" w:eastAsia="Arial" w:hAnsi="Arial"/>
                <w:sz w:val="13"/>
                <w:szCs w:val="13"/>
                <w:color w:val="auto"/>
              </w:rPr>
              <w:t>6,268</w:t>
            </w:r>
          </w:p>
        </w:tc>
        <w:tc>
          <w:tcPr>
            <w:tcW w:w="100" w:type="dxa"/>
            <w:vAlign w:val="bottom"/>
          </w:tcPr>
          <w:p>
            <w:pPr>
              <w:spacing w:after="0"/>
              <w:rPr>
                <w:sz w:val="13"/>
                <w:szCs w:val="13"/>
                <w:color w:val="auto"/>
              </w:rPr>
            </w:pPr>
          </w:p>
        </w:tc>
        <w:tc>
          <w:tcPr>
            <w:tcW w:w="5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85,979</w:t>
            </w: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85,979</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85,979</w:t>
            </w:r>
          </w:p>
        </w:tc>
        <w:tc>
          <w:tcPr>
            <w:tcW w:w="0" w:type="dxa"/>
            <w:vAlign w:val="bottom"/>
          </w:tcPr>
          <w:p>
            <w:pPr>
              <w:spacing w:after="0"/>
              <w:rPr>
                <w:sz w:val="1"/>
                <w:szCs w:val="1"/>
                <w:color w:val="auto"/>
              </w:rPr>
            </w:pPr>
          </w:p>
        </w:tc>
      </w:tr>
      <w:tr>
        <w:trPr>
          <w:trHeight w:val="146"/>
        </w:trPr>
        <w:tc>
          <w:tcPr>
            <w:tcW w:w="3400" w:type="dxa"/>
            <w:vAlign w:val="bottom"/>
            <w:shd w:val="clear" w:color="auto" w:fill="DBDBDB"/>
          </w:tcPr>
          <w:p>
            <w:pPr>
              <w:ind w:left="200"/>
              <w:spacing w:after="0" w:line="147" w:lineRule="exact"/>
              <w:rPr>
                <w:sz w:val="20"/>
                <w:szCs w:val="20"/>
                <w:color w:val="auto"/>
              </w:rPr>
            </w:pPr>
            <w:r>
              <w:rPr>
                <w:rFonts w:ascii="Arial" w:cs="Arial" w:eastAsia="Arial" w:hAnsi="Arial"/>
                <w:sz w:val="13"/>
                <w:szCs w:val="13"/>
                <w:color w:val="auto"/>
              </w:rPr>
              <w:t>Withholding taxes on net share settlement of stock-</w:t>
            </w:r>
          </w:p>
        </w:tc>
        <w:tc>
          <w:tcPr>
            <w:tcW w:w="64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580" w:type="dxa"/>
            <w:vAlign w:val="bottom"/>
            <w:shd w:val="clear" w:color="auto" w:fill="DBDBDB"/>
          </w:tcPr>
          <w:p>
            <w:pPr>
              <w:spacing w:after="0"/>
              <w:rPr>
                <w:sz w:val="12"/>
                <w:szCs w:val="12"/>
                <w:color w:val="auto"/>
              </w:rPr>
            </w:pPr>
          </w:p>
        </w:tc>
        <w:tc>
          <w:tcPr>
            <w:tcW w:w="60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52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74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96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80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80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5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7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400" w:type="dxa"/>
            <w:vAlign w:val="bottom"/>
            <w:shd w:val="clear" w:color="auto" w:fill="DBDBDB"/>
          </w:tcPr>
          <w:p>
            <w:pPr>
              <w:ind w:left="200"/>
              <w:spacing w:after="0"/>
              <w:rPr>
                <w:sz w:val="20"/>
                <w:szCs w:val="20"/>
                <w:color w:val="auto"/>
              </w:rPr>
            </w:pPr>
            <w:r>
              <w:rPr>
                <w:rFonts w:ascii="Arial" w:cs="Arial" w:eastAsia="Arial" w:hAnsi="Arial"/>
                <w:sz w:val="13"/>
                <w:szCs w:val="13"/>
                <w:color w:val="auto"/>
              </w:rPr>
              <w:t>based compensation and option exercises</w:t>
            </w: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DBDBDB"/>
          </w:tcPr>
          <w:p>
            <w:pPr>
              <w:spacing w:after="0"/>
              <w:rPr>
                <w:sz w:val="13"/>
                <w:szCs w:val="13"/>
                <w:color w:val="auto"/>
              </w:rPr>
            </w:pPr>
          </w:p>
        </w:tc>
        <w:tc>
          <w:tcPr>
            <w:tcW w:w="580" w:type="dxa"/>
            <w:vAlign w:val="bottom"/>
            <w:tcBorders>
              <w:bottom w:val="single" w:sz="8" w:color="auto"/>
            </w:tcBorders>
            <w:shd w:val="clear" w:color="auto" w:fill="DBDBDB"/>
          </w:tcPr>
          <w:p>
            <w:pPr>
              <w:jc w:val="right"/>
              <w:ind w:right="15"/>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DBDBDB"/>
          </w:tcPr>
          <w:p>
            <w:pPr>
              <w:spacing w:after="0"/>
              <w:rPr>
                <w:sz w:val="13"/>
                <w:szCs w:val="13"/>
                <w:color w:val="auto"/>
              </w:rPr>
            </w:pP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DBDBDB"/>
          </w:tcPr>
          <w:p>
            <w:pPr>
              <w:spacing w:after="0"/>
              <w:rPr>
                <w:sz w:val="13"/>
                <w:szCs w:val="13"/>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(7,177)</w:t>
            </w:r>
          </w:p>
        </w:tc>
        <w:tc>
          <w:tcPr>
            <w:tcW w:w="120" w:type="dxa"/>
            <w:vAlign w:val="bottom"/>
            <w:tcBorders>
              <w:bottom w:val="single" w:sz="8" w:color="auto"/>
            </w:tcBorders>
            <w:shd w:val="clear" w:color="auto" w:fill="DBDBDB"/>
          </w:tcPr>
          <w:p>
            <w:pPr>
              <w:spacing w:after="0"/>
              <w:rPr>
                <w:sz w:val="13"/>
                <w:szCs w:val="13"/>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DBDBDB"/>
          </w:tcPr>
          <w:p>
            <w:pPr>
              <w:spacing w:after="0"/>
              <w:rPr>
                <w:sz w:val="13"/>
                <w:szCs w:val="13"/>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DBDBDB"/>
          </w:tcPr>
          <w:p>
            <w:pPr>
              <w:spacing w:after="0"/>
              <w:rPr>
                <w:sz w:val="13"/>
                <w:szCs w:val="13"/>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(7,177)</w:t>
            </w:r>
          </w:p>
        </w:tc>
        <w:tc>
          <w:tcPr>
            <w:tcW w:w="140" w:type="dxa"/>
            <w:vAlign w:val="bottom"/>
            <w:tcBorders>
              <w:bottom w:val="single" w:sz="8" w:color="auto"/>
            </w:tcBorders>
            <w:shd w:val="clear" w:color="auto" w:fill="DBDBDB"/>
          </w:tcPr>
          <w:p>
            <w:pPr>
              <w:spacing w:after="0"/>
              <w:rPr>
                <w:sz w:val="13"/>
                <w:szCs w:val="13"/>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DBDBDB"/>
          </w:tcPr>
          <w:p>
            <w:pPr>
              <w:spacing w:after="0"/>
              <w:rPr>
                <w:sz w:val="13"/>
                <w:szCs w:val="13"/>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(7,177)</w:t>
            </w:r>
          </w:p>
        </w:tc>
        <w:tc>
          <w:tcPr>
            <w:tcW w:w="0" w:type="dxa"/>
            <w:vAlign w:val="bottom"/>
          </w:tcPr>
          <w:p>
            <w:pPr>
              <w:spacing w:after="0"/>
              <w:rPr>
                <w:sz w:val="1"/>
                <w:szCs w:val="1"/>
                <w:color w:val="auto"/>
              </w:rPr>
            </w:pPr>
          </w:p>
        </w:tc>
      </w:tr>
      <w:tr>
        <w:trPr>
          <w:trHeight w:val="169"/>
        </w:trPr>
        <w:tc>
          <w:tcPr>
            <w:tcW w:w="3400" w:type="dxa"/>
            <w:vAlign w:val="bottom"/>
          </w:tcPr>
          <w:p>
            <w:pPr>
              <w:ind w:left="20"/>
              <w:spacing w:after="0"/>
              <w:rPr>
                <w:sz w:val="20"/>
                <w:szCs w:val="20"/>
                <w:color w:val="auto"/>
              </w:rPr>
            </w:pPr>
            <w:r>
              <w:rPr>
                <w:rFonts w:ascii="Arial" w:cs="Arial" w:eastAsia="Arial" w:hAnsi="Arial"/>
                <w:sz w:val="13"/>
                <w:szCs w:val="13"/>
                <w:color w:val="auto"/>
              </w:rPr>
              <w:t>Balance at December 31, 2021</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223,940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22</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 $</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 $</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3,616,902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(29,071)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(1,591,090)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1,996,763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 $</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1,996,763</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(1) See Note 1 for information regarding the Company's conversion of Class A Common Stock to Common Stock on July 1, 2020 concurrent with the Merger.</w:t>
      </w:r>
    </w:p>
    <w:p>
      <w:pPr>
        <w:spacing w:after="0" w:line="71" w:lineRule="exact"/>
        <w:rPr>
          <w:sz w:val="20"/>
          <w:szCs w:val="20"/>
          <w:color w:val="auto"/>
        </w:rPr>
      </w:pPr>
    </w:p>
    <w:p>
      <w:pPr>
        <w:ind w:left="3420"/>
        <w:spacing w:after="0"/>
        <w:rPr>
          <w:sz w:val="20"/>
          <w:szCs w:val="20"/>
          <w:color w:val="auto"/>
        </w:rPr>
      </w:pPr>
      <w:r>
        <w:rPr>
          <w:rFonts w:ascii="Arial" w:cs="Arial" w:eastAsia="Arial" w:hAnsi="Arial"/>
          <w:sz w:val="10"/>
          <w:szCs w:val="10"/>
          <w:i w:val="1"/>
          <w:iCs w:val="1"/>
          <w:color w:val="auto"/>
        </w:rPr>
        <w:t>See the accompanying notes which are an integral part of these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340" w:right="319" w:bottom="1440" w:gutter="0" w:footer="0" w:header="0"/>
        </w:sectPr>
      </w:pPr>
    </w:p>
    <w:bookmarkStart w:id="75" w:name="page76"/>
    <w:bookmarkEnd w:id="75"/>
    <w:p>
      <w:pPr>
        <w:jc w:val="center"/>
        <w:spacing w:after="0"/>
        <w:rPr>
          <w:sz w:val="20"/>
          <w:szCs w:val="20"/>
          <w:color w:val="auto"/>
        </w:rPr>
      </w:pPr>
      <w:r>
        <w:rPr>
          <w:rFonts w:ascii="Arial" w:cs="Arial" w:eastAsia="Arial" w:hAnsi="Arial"/>
          <w:sz w:val="19"/>
          <w:szCs w:val="19"/>
          <w:color w:val="1D2758"/>
        </w:rPr>
        <w:t>WillScot Mobile Mini Holdings Corp.</w:t>
      </w:r>
    </w:p>
    <w:p>
      <w:pPr>
        <w:jc w:val="center"/>
        <w:spacing w:after="0"/>
        <w:rPr>
          <w:sz w:val="20"/>
          <w:szCs w:val="20"/>
          <w:color w:val="auto"/>
        </w:rPr>
      </w:pPr>
      <w:r>
        <w:rPr>
          <w:rFonts w:ascii="Arial" w:cs="Arial" w:eastAsia="Arial" w:hAnsi="Arial"/>
          <w:sz w:val="19"/>
          <w:szCs w:val="19"/>
          <w:color w:val="1D2758"/>
        </w:rPr>
        <w:t>Consolidated Statements of Cash Flows</w:t>
      </w:r>
    </w:p>
    <w:p>
      <w:pPr>
        <w:jc w:val="center"/>
        <w:spacing w:after="0"/>
        <w:rPr>
          <w:sz w:val="20"/>
          <w:szCs w:val="20"/>
          <w:color w:val="auto"/>
        </w:rPr>
      </w:pPr>
      <w:r>
        <w:rPr>
          <w:rFonts w:ascii="Arial" w:cs="Arial" w:eastAsia="Arial" w:hAnsi="Arial"/>
          <w:sz w:val="19"/>
          <w:szCs w:val="19"/>
          <w:color w:val="1D2758"/>
        </w:rPr>
        <w:t>(in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020" w:type="dxa"/>
            <w:vAlign w:val="bottom"/>
            <w:shd w:val="clear" w:color="auto" w:fill="1D2758"/>
          </w:tcPr>
          <w:p>
            <w:pPr>
              <w:spacing w:after="0"/>
              <w:rPr>
                <w:sz w:val="14"/>
                <w:szCs w:val="14"/>
                <w:color w:val="auto"/>
              </w:rPr>
            </w:pPr>
          </w:p>
        </w:tc>
        <w:tc>
          <w:tcPr>
            <w:tcW w:w="1060" w:type="dxa"/>
            <w:vAlign w:val="bottom"/>
            <w:shd w:val="clear" w:color="auto" w:fill="1D2758"/>
          </w:tcPr>
          <w:p>
            <w:pPr>
              <w:spacing w:after="0"/>
              <w:rPr>
                <w:sz w:val="14"/>
                <w:szCs w:val="14"/>
                <w:color w:val="auto"/>
              </w:rPr>
            </w:pPr>
          </w:p>
        </w:tc>
        <w:tc>
          <w:tcPr>
            <w:tcW w:w="680" w:type="dxa"/>
            <w:vAlign w:val="bottom"/>
            <w:shd w:val="clear" w:color="auto" w:fill="1D2758"/>
          </w:tcPr>
          <w:p>
            <w:pPr>
              <w:spacing w:after="0"/>
              <w:rPr>
                <w:sz w:val="14"/>
                <w:szCs w:val="14"/>
                <w:color w:val="auto"/>
              </w:rPr>
            </w:pPr>
          </w:p>
        </w:tc>
        <w:tc>
          <w:tcPr>
            <w:tcW w:w="1820" w:type="dxa"/>
            <w:vAlign w:val="bottom"/>
            <w:gridSpan w:val="3"/>
            <w:shd w:val="clear" w:color="auto" w:fill="1D2758"/>
          </w:tcPr>
          <w:p>
            <w:pPr>
              <w:ind w:left="60"/>
              <w:spacing w:after="0"/>
              <w:rPr>
                <w:sz w:val="20"/>
                <w:szCs w:val="20"/>
                <w:color w:val="auto"/>
              </w:rPr>
            </w:pPr>
            <w:r>
              <w:rPr>
                <w:rFonts w:ascii="Arial" w:cs="Arial" w:eastAsia="Arial" w:hAnsi="Arial"/>
                <w:sz w:val="13"/>
                <w:szCs w:val="13"/>
                <w:b w:val="1"/>
                <w:bCs w:val="1"/>
                <w:color w:val="FFFFFF"/>
              </w:rPr>
              <w:t>Years Ended December 31,</w:t>
            </w:r>
          </w:p>
        </w:tc>
        <w:tc>
          <w:tcPr>
            <w:tcW w:w="400" w:type="dxa"/>
            <w:vAlign w:val="bottom"/>
            <w:shd w:val="clear" w:color="auto" w:fill="1D2758"/>
          </w:tcPr>
          <w:p>
            <w:pPr>
              <w:spacing w:after="0"/>
              <w:rPr>
                <w:sz w:val="14"/>
                <w:szCs w:val="14"/>
                <w:color w:val="auto"/>
              </w:rPr>
            </w:pPr>
          </w:p>
        </w:tc>
        <w:tc>
          <w:tcPr>
            <w:tcW w:w="1300" w:type="dxa"/>
            <w:vAlign w:val="bottom"/>
            <w:shd w:val="clear" w:color="auto" w:fill="1D2758"/>
          </w:tcPr>
          <w:p>
            <w:pPr>
              <w:spacing w:after="0"/>
              <w:rPr>
                <w:sz w:val="14"/>
                <w:szCs w:val="14"/>
                <w:color w:val="auto"/>
              </w:rPr>
            </w:pPr>
          </w:p>
        </w:tc>
      </w:tr>
      <w:tr>
        <w:trPr>
          <w:trHeight w:val="175"/>
        </w:trPr>
        <w:tc>
          <w:tcPr>
            <w:tcW w:w="6020" w:type="dxa"/>
            <w:vAlign w:val="bottom"/>
            <w:shd w:val="clear" w:color="auto" w:fill="1D2758"/>
          </w:tcPr>
          <w:p>
            <w:pPr>
              <w:spacing w:after="0"/>
              <w:rPr>
                <w:sz w:val="15"/>
                <w:szCs w:val="15"/>
                <w:color w:val="auto"/>
              </w:rPr>
            </w:pPr>
          </w:p>
        </w:tc>
        <w:tc>
          <w:tcPr>
            <w:tcW w:w="1060" w:type="dxa"/>
            <w:vAlign w:val="bottom"/>
            <w:shd w:val="clear" w:color="auto" w:fill="1D2758"/>
          </w:tcPr>
          <w:p>
            <w:pPr>
              <w:jc w:val="right"/>
              <w:spacing w:after="0"/>
              <w:rPr>
                <w:sz w:val="20"/>
                <w:szCs w:val="20"/>
                <w:color w:val="auto"/>
              </w:rPr>
            </w:pPr>
            <w:r>
              <w:rPr>
                <w:rFonts w:ascii="Arial" w:cs="Arial" w:eastAsia="Arial" w:hAnsi="Arial"/>
                <w:sz w:val="13"/>
                <w:szCs w:val="13"/>
                <w:b w:val="1"/>
                <w:bCs w:val="1"/>
                <w:color w:val="FFFFFF"/>
              </w:rPr>
              <w:t>2021</w:t>
            </w:r>
          </w:p>
        </w:tc>
        <w:tc>
          <w:tcPr>
            <w:tcW w:w="680" w:type="dxa"/>
            <w:vAlign w:val="bottom"/>
            <w:shd w:val="clear" w:color="auto" w:fill="1D2758"/>
          </w:tcPr>
          <w:p>
            <w:pPr>
              <w:spacing w:after="0"/>
              <w:rPr>
                <w:sz w:val="15"/>
                <w:szCs w:val="15"/>
                <w:color w:val="auto"/>
              </w:rPr>
            </w:pPr>
          </w:p>
        </w:tc>
        <w:tc>
          <w:tcPr>
            <w:tcW w:w="440" w:type="dxa"/>
            <w:vAlign w:val="bottom"/>
            <w:shd w:val="clear" w:color="auto" w:fill="1D2758"/>
          </w:tcPr>
          <w:p>
            <w:pPr>
              <w:spacing w:after="0"/>
              <w:rPr>
                <w:sz w:val="15"/>
                <w:szCs w:val="15"/>
                <w:color w:val="auto"/>
              </w:rPr>
            </w:pPr>
          </w:p>
        </w:tc>
        <w:tc>
          <w:tcPr>
            <w:tcW w:w="1300" w:type="dxa"/>
            <w:vAlign w:val="bottom"/>
            <w:shd w:val="clear" w:color="auto" w:fill="1D2758"/>
          </w:tcPr>
          <w:p>
            <w:pPr>
              <w:jc w:val="right"/>
              <w:ind w:right="634"/>
              <w:spacing w:after="0"/>
              <w:rPr>
                <w:sz w:val="20"/>
                <w:szCs w:val="20"/>
                <w:color w:val="auto"/>
              </w:rPr>
            </w:pPr>
            <w:r>
              <w:rPr>
                <w:rFonts w:ascii="Arial" w:cs="Arial" w:eastAsia="Arial" w:hAnsi="Arial"/>
                <w:sz w:val="13"/>
                <w:szCs w:val="13"/>
                <w:b w:val="1"/>
                <w:bCs w:val="1"/>
                <w:color w:val="FFFFFF"/>
              </w:rPr>
              <w:t>2020</w:t>
            </w:r>
          </w:p>
        </w:tc>
        <w:tc>
          <w:tcPr>
            <w:tcW w:w="80" w:type="dxa"/>
            <w:vAlign w:val="bottom"/>
            <w:shd w:val="clear" w:color="auto" w:fill="1D2758"/>
          </w:tcPr>
          <w:p>
            <w:pPr>
              <w:spacing w:after="0"/>
              <w:rPr>
                <w:sz w:val="15"/>
                <w:szCs w:val="15"/>
                <w:color w:val="auto"/>
              </w:rPr>
            </w:pPr>
          </w:p>
        </w:tc>
        <w:tc>
          <w:tcPr>
            <w:tcW w:w="400" w:type="dxa"/>
            <w:vAlign w:val="bottom"/>
            <w:shd w:val="clear" w:color="auto" w:fill="1D2758"/>
          </w:tcPr>
          <w:p>
            <w:pPr>
              <w:spacing w:after="0"/>
              <w:rPr>
                <w:sz w:val="15"/>
                <w:szCs w:val="15"/>
                <w:color w:val="auto"/>
              </w:rPr>
            </w:pPr>
          </w:p>
        </w:tc>
        <w:tc>
          <w:tcPr>
            <w:tcW w:w="1300" w:type="dxa"/>
            <w:vAlign w:val="bottom"/>
            <w:shd w:val="clear" w:color="auto" w:fill="1D2758"/>
          </w:tcPr>
          <w:p>
            <w:pPr>
              <w:jc w:val="right"/>
              <w:ind w:right="634"/>
              <w:spacing w:after="0"/>
              <w:rPr>
                <w:sz w:val="20"/>
                <w:szCs w:val="20"/>
                <w:color w:val="auto"/>
              </w:rPr>
            </w:pPr>
            <w:r>
              <w:rPr>
                <w:rFonts w:ascii="Arial" w:cs="Arial" w:eastAsia="Arial" w:hAnsi="Arial"/>
                <w:sz w:val="13"/>
                <w:szCs w:val="13"/>
                <w:b w:val="1"/>
                <w:bCs w:val="1"/>
                <w:color w:val="FFFFFF"/>
              </w:rPr>
              <w:t>2019</w:t>
            </w:r>
          </w:p>
        </w:tc>
      </w:tr>
      <w:tr>
        <w:trPr>
          <w:trHeight w:val="175"/>
        </w:trPr>
        <w:tc>
          <w:tcPr>
            <w:tcW w:w="6020" w:type="dxa"/>
            <w:vAlign w:val="bottom"/>
            <w:shd w:val="clear" w:color="auto" w:fill="DBDBDB"/>
          </w:tcPr>
          <w:p>
            <w:pPr>
              <w:ind w:left="20"/>
              <w:spacing w:after="0"/>
              <w:rPr>
                <w:sz w:val="20"/>
                <w:szCs w:val="20"/>
                <w:color w:val="auto"/>
              </w:rPr>
            </w:pPr>
            <w:r>
              <w:rPr>
                <w:rFonts w:ascii="Arial" w:cs="Arial" w:eastAsia="Arial" w:hAnsi="Arial"/>
                <w:sz w:val="13"/>
                <w:szCs w:val="13"/>
                <w:color w:val="auto"/>
              </w:rPr>
              <w:t>Operating activities:</w:t>
            </w:r>
          </w:p>
        </w:tc>
        <w:tc>
          <w:tcPr>
            <w:tcW w:w="106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r>
      <w:tr>
        <w:trPr>
          <w:trHeight w:val="172"/>
        </w:trPr>
        <w:tc>
          <w:tcPr>
            <w:tcW w:w="602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1060" w:type="dxa"/>
            <w:vAlign w:val="bottom"/>
          </w:tcPr>
          <w:p>
            <w:pPr>
              <w:jc w:val="right"/>
              <w:ind w:right="894"/>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4"/>
              <w:spacing w:after="0"/>
              <w:rPr>
                <w:sz w:val="20"/>
                <w:szCs w:val="20"/>
                <w:color w:val="auto"/>
              </w:rPr>
            </w:pPr>
            <w:r>
              <w:rPr>
                <w:rFonts w:ascii="Arial" w:cs="Arial" w:eastAsia="Arial" w:hAnsi="Arial"/>
                <w:sz w:val="13"/>
                <w:szCs w:val="13"/>
                <w:color w:val="auto"/>
              </w:rPr>
              <w:t>160,144</w:t>
            </w:r>
          </w:p>
        </w:tc>
        <w:tc>
          <w:tcPr>
            <w:tcW w:w="440" w:type="dxa"/>
            <w:vAlign w:val="bottom"/>
          </w:tcPr>
          <w:p>
            <w:pPr>
              <w:ind w:left="60"/>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75,340</w:t>
            </w:r>
          </w:p>
        </w:tc>
        <w:tc>
          <w:tcPr>
            <w:tcW w:w="80" w:type="dxa"/>
            <w:vAlign w:val="bottom"/>
          </w:tcPr>
          <w:p>
            <w:pPr>
              <w:spacing w:after="0"/>
              <w:rPr>
                <w:sz w:val="14"/>
                <w:szCs w:val="14"/>
                <w:color w:val="auto"/>
              </w:rPr>
            </w:pPr>
          </w:p>
        </w:tc>
        <w:tc>
          <w:tcPr>
            <w:tcW w:w="400" w:type="dxa"/>
            <w:vAlign w:val="bottom"/>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(121,165)</w:t>
            </w:r>
          </w:p>
        </w:tc>
      </w:tr>
      <w:tr>
        <w:trPr>
          <w:trHeight w:val="178"/>
        </w:trPr>
        <w:tc>
          <w:tcPr>
            <w:tcW w:w="6020" w:type="dxa"/>
            <w:vAlign w:val="bottom"/>
            <w:shd w:val="clear" w:color="auto" w:fill="DBDBDB"/>
          </w:tcPr>
          <w:p>
            <w:pPr>
              <w:ind w:left="200"/>
              <w:spacing w:after="0"/>
              <w:rPr>
                <w:sz w:val="20"/>
                <w:szCs w:val="20"/>
                <w:color w:val="auto"/>
              </w:rPr>
            </w:pPr>
            <w:r>
              <w:rPr>
                <w:rFonts w:ascii="Arial" w:cs="Arial" w:eastAsia="Arial" w:hAnsi="Arial"/>
                <w:sz w:val="13"/>
                <w:szCs w:val="13"/>
                <w:color w:val="auto"/>
              </w:rPr>
              <w:t>Adjustments to reconcile net income (loss) to net cash provided by operating activities:</w:t>
            </w:r>
          </w:p>
        </w:tc>
        <w:tc>
          <w:tcPr>
            <w:tcW w:w="106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r>
      <w:tr>
        <w:trPr>
          <w:trHeight w:val="172"/>
        </w:trPr>
        <w:tc>
          <w:tcPr>
            <w:tcW w:w="6020" w:type="dxa"/>
            <w:vAlign w:val="bottom"/>
          </w:tcPr>
          <w:p>
            <w:pPr>
              <w:ind w:left="380"/>
              <w:spacing w:after="0"/>
              <w:rPr>
                <w:sz w:val="20"/>
                <w:szCs w:val="20"/>
                <w:color w:val="auto"/>
              </w:rPr>
            </w:pPr>
            <w:r>
              <w:rPr>
                <w:rFonts w:ascii="Arial" w:cs="Arial" w:eastAsia="Arial" w:hAnsi="Arial"/>
                <w:sz w:val="13"/>
                <w:szCs w:val="13"/>
                <w:color w:val="auto"/>
              </w:rPr>
              <w:t>Depreciation and amortization</w:t>
            </w:r>
          </w:p>
        </w:tc>
        <w:tc>
          <w:tcPr>
            <w:tcW w:w="1060" w:type="dxa"/>
            <w:vAlign w:val="bottom"/>
          </w:tcPr>
          <w:p>
            <w:pPr>
              <w:spacing w:after="0"/>
              <w:rPr>
                <w:sz w:val="14"/>
                <w:szCs w:val="14"/>
                <w:color w:val="auto"/>
              </w:rPr>
            </w:pPr>
          </w:p>
        </w:tc>
        <w:tc>
          <w:tcPr>
            <w:tcW w:w="680" w:type="dxa"/>
            <w:vAlign w:val="bottom"/>
          </w:tcPr>
          <w:p>
            <w:pPr>
              <w:jc w:val="right"/>
              <w:ind w:right="34"/>
              <w:spacing w:after="0"/>
              <w:rPr>
                <w:sz w:val="20"/>
                <w:szCs w:val="20"/>
                <w:color w:val="auto"/>
              </w:rPr>
            </w:pPr>
            <w:r>
              <w:rPr>
                <w:rFonts w:ascii="Arial" w:cs="Arial" w:eastAsia="Arial" w:hAnsi="Arial"/>
                <w:sz w:val="13"/>
                <w:szCs w:val="13"/>
                <w:color w:val="auto"/>
              </w:rPr>
              <w:t>318,202</w:t>
            </w:r>
          </w:p>
        </w:tc>
        <w:tc>
          <w:tcPr>
            <w:tcW w:w="4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246,948</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189,436</w:t>
            </w:r>
          </w:p>
        </w:tc>
      </w:tr>
      <w:tr>
        <w:trPr>
          <w:trHeight w:val="178"/>
        </w:trPr>
        <w:tc>
          <w:tcPr>
            <w:tcW w:w="6020" w:type="dxa"/>
            <w:vAlign w:val="bottom"/>
            <w:shd w:val="clear" w:color="auto" w:fill="DBDBDB"/>
          </w:tcPr>
          <w:p>
            <w:pPr>
              <w:ind w:left="380"/>
              <w:spacing w:after="0"/>
              <w:rPr>
                <w:sz w:val="20"/>
                <w:szCs w:val="20"/>
                <w:color w:val="auto"/>
              </w:rPr>
            </w:pPr>
            <w:r>
              <w:rPr>
                <w:rFonts w:ascii="Arial" w:cs="Arial" w:eastAsia="Arial" w:hAnsi="Arial"/>
                <w:sz w:val="13"/>
                <w:szCs w:val="13"/>
                <w:color w:val="auto"/>
              </w:rPr>
              <w:t>Provision for credit losses</w:t>
            </w:r>
          </w:p>
        </w:tc>
        <w:tc>
          <w:tcPr>
            <w:tcW w:w="1060" w:type="dxa"/>
            <w:vAlign w:val="bottom"/>
            <w:shd w:val="clear" w:color="auto" w:fill="DBDBDB"/>
          </w:tcPr>
          <w:p>
            <w:pPr>
              <w:spacing w:after="0"/>
              <w:rPr>
                <w:sz w:val="15"/>
                <w:szCs w:val="15"/>
                <w:color w:val="auto"/>
              </w:rPr>
            </w:pPr>
          </w:p>
        </w:tc>
        <w:tc>
          <w:tcPr>
            <w:tcW w:w="680" w:type="dxa"/>
            <w:vAlign w:val="bottom"/>
            <w:shd w:val="clear" w:color="auto" w:fill="DBDBDB"/>
          </w:tcPr>
          <w:p>
            <w:pPr>
              <w:jc w:val="right"/>
              <w:ind w:right="34"/>
              <w:spacing w:after="0"/>
              <w:rPr>
                <w:sz w:val="20"/>
                <w:szCs w:val="20"/>
                <w:color w:val="auto"/>
              </w:rPr>
            </w:pPr>
            <w:r>
              <w:rPr>
                <w:rFonts w:ascii="Arial" w:cs="Arial" w:eastAsia="Arial" w:hAnsi="Arial"/>
                <w:sz w:val="13"/>
                <w:szCs w:val="13"/>
                <w:color w:val="auto"/>
              </w:rPr>
              <w:t>38,191</w:t>
            </w:r>
          </w:p>
        </w:tc>
        <w:tc>
          <w:tcPr>
            <w:tcW w:w="44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32,593</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14,496</w:t>
            </w:r>
          </w:p>
        </w:tc>
      </w:tr>
      <w:tr>
        <w:trPr>
          <w:trHeight w:val="172"/>
        </w:trPr>
        <w:tc>
          <w:tcPr>
            <w:tcW w:w="6020" w:type="dxa"/>
            <w:vAlign w:val="bottom"/>
          </w:tcPr>
          <w:p>
            <w:pPr>
              <w:ind w:left="380"/>
              <w:spacing w:after="0"/>
              <w:rPr>
                <w:sz w:val="20"/>
                <w:szCs w:val="20"/>
                <w:color w:val="auto"/>
              </w:rPr>
            </w:pPr>
            <w:r>
              <w:rPr>
                <w:rFonts w:ascii="Arial" w:cs="Arial" w:eastAsia="Arial" w:hAnsi="Arial"/>
                <w:sz w:val="13"/>
                <w:szCs w:val="13"/>
                <w:color w:val="auto"/>
              </w:rPr>
              <w:t>Impairment losses on long-lived assets</w:t>
            </w:r>
          </w:p>
        </w:tc>
        <w:tc>
          <w:tcPr>
            <w:tcW w:w="1060" w:type="dxa"/>
            <w:vAlign w:val="bottom"/>
          </w:tcPr>
          <w:p>
            <w:pPr>
              <w:spacing w:after="0"/>
              <w:rPr>
                <w:sz w:val="14"/>
                <w:szCs w:val="14"/>
                <w:color w:val="auto"/>
              </w:rPr>
            </w:pPr>
          </w:p>
        </w:tc>
        <w:tc>
          <w:tcPr>
            <w:tcW w:w="68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2,848</w:t>
            </w:r>
          </w:p>
        </w:tc>
      </w:tr>
      <w:tr>
        <w:trPr>
          <w:trHeight w:val="178"/>
        </w:trPr>
        <w:tc>
          <w:tcPr>
            <w:tcW w:w="6020" w:type="dxa"/>
            <w:vAlign w:val="bottom"/>
            <w:shd w:val="clear" w:color="auto" w:fill="DBDBDB"/>
          </w:tcPr>
          <w:p>
            <w:pPr>
              <w:ind w:left="380"/>
              <w:spacing w:after="0"/>
              <w:rPr>
                <w:sz w:val="20"/>
                <w:szCs w:val="20"/>
                <w:color w:val="auto"/>
              </w:rPr>
            </w:pPr>
            <w:r>
              <w:rPr>
                <w:rFonts w:ascii="Arial" w:cs="Arial" w:eastAsia="Arial" w:hAnsi="Arial"/>
                <w:sz w:val="13"/>
                <w:szCs w:val="13"/>
                <w:color w:val="auto"/>
              </w:rPr>
              <w:t>Impairment losses on right of use assets</w:t>
            </w:r>
          </w:p>
        </w:tc>
        <w:tc>
          <w:tcPr>
            <w:tcW w:w="1060" w:type="dxa"/>
            <w:vAlign w:val="bottom"/>
            <w:shd w:val="clear" w:color="auto" w:fill="DBDBDB"/>
          </w:tcPr>
          <w:p>
            <w:pPr>
              <w:spacing w:after="0"/>
              <w:rPr>
                <w:sz w:val="15"/>
                <w:szCs w:val="15"/>
                <w:color w:val="auto"/>
              </w:rPr>
            </w:pPr>
          </w:p>
        </w:tc>
        <w:tc>
          <w:tcPr>
            <w:tcW w:w="680" w:type="dxa"/>
            <w:vAlign w:val="bottom"/>
            <w:shd w:val="clear" w:color="auto" w:fill="DBDBDB"/>
          </w:tcPr>
          <w:p>
            <w:pPr>
              <w:jc w:val="right"/>
              <w:ind w:right="34"/>
              <w:spacing w:after="0"/>
              <w:rPr>
                <w:sz w:val="20"/>
                <w:szCs w:val="20"/>
                <w:color w:val="auto"/>
              </w:rPr>
            </w:pPr>
            <w:r>
              <w:rPr>
                <w:rFonts w:ascii="Arial" w:cs="Arial" w:eastAsia="Arial" w:hAnsi="Arial"/>
                <w:sz w:val="13"/>
                <w:szCs w:val="13"/>
                <w:color w:val="auto"/>
              </w:rPr>
              <w:t>—</w:t>
            </w:r>
          </w:p>
        </w:tc>
        <w:tc>
          <w:tcPr>
            <w:tcW w:w="44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57</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4,160</w:t>
            </w:r>
          </w:p>
        </w:tc>
      </w:tr>
      <w:tr>
        <w:trPr>
          <w:trHeight w:val="172"/>
        </w:trPr>
        <w:tc>
          <w:tcPr>
            <w:tcW w:w="6020" w:type="dxa"/>
            <w:vAlign w:val="bottom"/>
          </w:tcPr>
          <w:p>
            <w:pPr>
              <w:ind w:left="380"/>
              <w:spacing w:after="0"/>
              <w:rPr>
                <w:sz w:val="20"/>
                <w:szCs w:val="20"/>
                <w:color w:val="auto"/>
              </w:rPr>
            </w:pPr>
            <w:r>
              <w:rPr>
                <w:rFonts w:ascii="Arial" w:cs="Arial" w:eastAsia="Arial" w:hAnsi="Arial"/>
                <w:sz w:val="13"/>
                <w:szCs w:val="13"/>
                <w:color w:val="auto"/>
              </w:rPr>
              <w:t>Gain on sale of rental equipment and other property, plant and equipment</w:t>
            </w:r>
          </w:p>
        </w:tc>
        <w:tc>
          <w:tcPr>
            <w:tcW w:w="10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(26,175)</w:t>
            </w:r>
          </w:p>
        </w:tc>
        <w:tc>
          <w:tcPr>
            <w:tcW w:w="4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(14,124)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(11,660)</w:t>
            </w:r>
          </w:p>
        </w:tc>
      </w:tr>
      <w:tr>
        <w:trPr>
          <w:trHeight w:val="178"/>
        </w:trPr>
        <w:tc>
          <w:tcPr>
            <w:tcW w:w="6020" w:type="dxa"/>
            <w:vAlign w:val="bottom"/>
            <w:shd w:val="clear" w:color="auto" w:fill="DBDBDB"/>
          </w:tcPr>
          <w:p>
            <w:pPr>
              <w:ind w:left="380"/>
              <w:spacing w:after="0"/>
              <w:rPr>
                <w:sz w:val="20"/>
                <w:szCs w:val="20"/>
                <w:color w:val="auto"/>
              </w:rPr>
            </w:pPr>
            <w:r>
              <w:rPr>
                <w:rFonts w:ascii="Arial" w:cs="Arial" w:eastAsia="Arial" w:hAnsi="Arial"/>
                <w:sz w:val="13"/>
                <w:szCs w:val="13"/>
                <w:color w:val="auto"/>
              </w:rPr>
              <w:t>Amortization of debt discounts and debt issuance costs</w:t>
            </w:r>
          </w:p>
        </w:tc>
        <w:tc>
          <w:tcPr>
            <w:tcW w:w="1060" w:type="dxa"/>
            <w:vAlign w:val="bottom"/>
            <w:shd w:val="clear" w:color="auto" w:fill="DBDBDB"/>
          </w:tcPr>
          <w:p>
            <w:pPr>
              <w:spacing w:after="0"/>
              <w:rPr>
                <w:sz w:val="15"/>
                <w:szCs w:val="15"/>
                <w:color w:val="auto"/>
              </w:rPr>
            </w:pPr>
          </w:p>
        </w:tc>
        <w:tc>
          <w:tcPr>
            <w:tcW w:w="680" w:type="dxa"/>
            <w:vAlign w:val="bottom"/>
            <w:shd w:val="clear" w:color="auto" w:fill="DBDBDB"/>
          </w:tcPr>
          <w:p>
            <w:pPr>
              <w:jc w:val="right"/>
              <w:ind w:right="34"/>
              <w:spacing w:after="0"/>
              <w:rPr>
                <w:sz w:val="20"/>
                <w:szCs w:val="20"/>
                <w:color w:val="auto"/>
              </w:rPr>
            </w:pPr>
            <w:r>
              <w:rPr>
                <w:rFonts w:ascii="Arial" w:cs="Arial" w:eastAsia="Arial" w:hAnsi="Arial"/>
                <w:sz w:val="13"/>
                <w:szCs w:val="13"/>
                <w:color w:val="auto"/>
              </w:rPr>
              <w:t>14,033</w:t>
            </w:r>
          </w:p>
        </w:tc>
        <w:tc>
          <w:tcPr>
            <w:tcW w:w="44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13,085</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11,450</w:t>
            </w:r>
          </w:p>
        </w:tc>
      </w:tr>
      <w:tr>
        <w:trPr>
          <w:trHeight w:val="172"/>
        </w:trPr>
        <w:tc>
          <w:tcPr>
            <w:tcW w:w="6020" w:type="dxa"/>
            <w:vAlign w:val="bottom"/>
          </w:tcPr>
          <w:p>
            <w:pPr>
              <w:ind w:left="380"/>
              <w:spacing w:after="0"/>
              <w:rPr>
                <w:sz w:val="20"/>
                <w:szCs w:val="20"/>
                <w:color w:val="auto"/>
              </w:rPr>
            </w:pPr>
            <w:r>
              <w:rPr>
                <w:rFonts w:ascii="Arial" w:cs="Arial" w:eastAsia="Arial" w:hAnsi="Arial"/>
                <w:sz w:val="13"/>
                <w:szCs w:val="13"/>
                <w:color w:val="auto"/>
              </w:rPr>
              <w:t>Fair value loss (gain) on common stock warrant liabilities</w:t>
            </w:r>
          </w:p>
        </w:tc>
        <w:tc>
          <w:tcPr>
            <w:tcW w:w="1060" w:type="dxa"/>
            <w:vAlign w:val="bottom"/>
          </w:tcPr>
          <w:p>
            <w:pPr>
              <w:spacing w:after="0"/>
              <w:rPr>
                <w:sz w:val="14"/>
                <w:szCs w:val="14"/>
                <w:color w:val="auto"/>
              </w:rPr>
            </w:pPr>
          </w:p>
        </w:tc>
        <w:tc>
          <w:tcPr>
            <w:tcW w:w="680" w:type="dxa"/>
            <w:vAlign w:val="bottom"/>
          </w:tcPr>
          <w:p>
            <w:pPr>
              <w:jc w:val="right"/>
              <w:ind w:right="34"/>
              <w:spacing w:after="0"/>
              <w:rPr>
                <w:sz w:val="20"/>
                <w:szCs w:val="20"/>
                <w:color w:val="auto"/>
              </w:rPr>
            </w:pPr>
            <w:r>
              <w:rPr>
                <w:rFonts w:ascii="Arial" w:cs="Arial" w:eastAsia="Arial" w:hAnsi="Arial"/>
                <w:sz w:val="13"/>
                <w:szCs w:val="13"/>
                <w:color w:val="auto"/>
              </w:rPr>
              <w:t>26,597</w:t>
            </w:r>
          </w:p>
        </w:tc>
        <w:tc>
          <w:tcPr>
            <w:tcW w:w="4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(3,461)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109,622</w:t>
            </w:r>
          </w:p>
        </w:tc>
      </w:tr>
      <w:tr>
        <w:trPr>
          <w:trHeight w:val="178"/>
        </w:trPr>
        <w:tc>
          <w:tcPr>
            <w:tcW w:w="6020" w:type="dxa"/>
            <w:vAlign w:val="bottom"/>
            <w:shd w:val="clear" w:color="auto" w:fill="DBDBDB"/>
          </w:tcPr>
          <w:p>
            <w:pPr>
              <w:ind w:left="380"/>
              <w:spacing w:after="0"/>
              <w:rPr>
                <w:sz w:val="20"/>
                <w:szCs w:val="20"/>
                <w:color w:val="auto"/>
              </w:rPr>
            </w:pPr>
            <w:r>
              <w:rPr>
                <w:rFonts w:ascii="Arial" w:cs="Arial" w:eastAsia="Arial" w:hAnsi="Arial"/>
                <w:sz w:val="13"/>
                <w:szCs w:val="13"/>
                <w:color w:val="auto"/>
              </w:rPr>
              <w:t>Loss on extinguishment of debt</w:t>
            </w:r>
          </w:p>
        </w:tc>
        <w:tc>
          <w:tcPr>
            <w:tcW w:w="1060" w:type="dxa"/>
            <w:vAlign w:val="bottom"/>
            <w:shd w:val="clear" w:color="auto" w:fill="DBDBDB"/>
          </w:tcPr>
          <w:p>
            <w:pPr>
              <w:spacing w:after="0"/>
              <w:rPr>
                <w:sz w:val="15"/>
                <w:szCs w:val="15"/>
                <w:color w:val="auto"/>
              </w:rPr>
            </w:pPr>
          </w:p>
        </w:tc>
        <w:tc>
          <w:tcPr>
            <w:tcW w:w="680" w:type="dxa"/>
            <w:vAlign w:val="bottom"/>
            <w:shd w:val="clear" w:color="auto" w:fill="DBDBDB"/>
          </w:tcPr>
          <w:p>
            <w:pPr>
              <w:jc w:val="right"/>
              <w:ind w:right="34"/>
              <w:spacing w:after="0"/>
              <w:rPr>
                <w:sz w:val="20"/>
                <w:szCs w:val="20"/>
                <w:color w:val="auto"/>
              </w:rPr>
            </w:pPr>
            <w:r>
              <w:rPr>
                <w:rFonts w:ascii="Arial" w:cs="Arial" w:eastAsia="Arial" w:hAnsi="Arial"/>
                <w:sz w:val="13"/>
                <w:szCs w:val="13"/>
                <w:color w:val="auto"/>
              </w:rPr>
              <w:t>5,999</w:t>
            </w:r>
          </w:p>
        </w:tc>
        <w:tc>
          <w:tcPr>
            <w:tcW w:w="44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42,401</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8,755</w:t>
            </w:r>
          </w:p>
        </w:tc>
      </w:tr>
      <w:tr>
        <w:trPr>
          <w:trHeight w:val="172"/>
        </w:trPr>
        <w:tc>
          <w:tcPr>
            <w:tcW w:w="6020" w:type="dxa"/>
            <w:vAlign w:val="bottom"/>
          </w:tcPr>
          <w:p>
            <w:pPr>
              <w:ind w:left="380"/>
              <w:spacing w:after="0"/>
              <w:rPr>
                <w:sz w:val="20"/>
                <w:szCs w:val="20"/>
                <w:color w:val="auto"/>
              </w:rPr>
            </w:pPr>
            <w:r>
              <w:rPr>
                <w:rFonts w:ascii="Arial" w:cs="Arial" w:eastAsia="Arial" w:hAnsi="Arial"/>
                <w:sz w:val="13"/>
                <w:szCs w:val="13"/>
                <w:color w:val="auto"/>
              </w:rPr>
              <w:t>Stock-based compensation expense</w:t>
            </w:r>
          </w:p>
        </w:tc>
        <w:tc>
          <w:tcPr>
            <w:tcW w:w="1060" w:type="dxa"/>
            <w:vAlign w:val="bottom"/>
          </w:tcPr>
          <w:p>
            <w:pPr>
              <w:spacing w:after="0"/>
              <w:rPr>
                <w:sz w:val="14"/>
                <w:szCs w:val="14"/>
                <w:color w:val="auto"/>
              </w:rPr>
            </w:pPr>
          </w:p>
        </w:tc>
        <w:tc>
          <w:tcPr>
            <w:tcW w:w="680" w:type="dxa"/>
            <w:vAlign w:val="bottom"/>
          </w:tcPr>
          <w:p>
            <w:pPr>
              <w:jc w:val="right"/>
              <w:ind w:right="34"/>
              <w:spacing w:after="0"/>
              <w:rPr>
                <w:sz w:val="20"/>
                <w:szCs w:val="20"/>
                <w:color w:val="auto"/>
              </w:rPr>
            </w:pPr>
            <w:r>
              <w:rPr>
                <w:rFonts w:ascii="Arial" w:cs="Arial" w:eastAsia="Arial" w:hAnsi="Arial"/>
                <w:sz w:val="13"/>
                <w:szCs w:val="13"/>
                <w:color w:val="auto"/>
              </w:rPr>
              <w:t>26,184</w:t>
            </w:r>
          </w:p>
        </w:tc>
        <w:tc>
          <w:tcPr>
            <w:tcW w:w="4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9,879</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6,686</w:t>
            </w:r>
          </w:p>
        </w:tc>
      </w:tr>
      <w:tr>
        <w:trPr>
          <w:trHeight w:val="178"/>
        </w:trPr>
        <w:tc>
          <w:tcPr>
            <w:tcW w:w="6020" w:type="dxa"/>
            <w:vAlign w:val="bottom"/>
            <w:shd w:val="clear" w:color="auto" w:fill="DBDBDB"/>
          </w:tcPr>
          <w:p>
            <w:pPr>
              <w:ind w:left="380"/>
              <w:spacing w:after="0"/>
              <w:rPr>
                <w:sz w:val="20"/>
                <w:szCs w:val="20"/>
                <w:color w:val="auto"/>
              </w:rPr>
            </w:pPr>
            <w:r>
              <w:rPr>
                <w:rFonts w:ascii="Arial" w:cs="Arial" w:eastAsia="Arial" w:hAnsi="Arial"/>
                <w:sz w:val="13"/>
                <w:szCs w:val="13"/>
                <w:color w:val="auto"/>
              </w:rPr>
              <w:t>Deferred income tax expense (benefit)</w:t>
            </w:r>
          </w:p>
        </w:tc>
        <w:tc>
          <w:tcPr>
            <w:tcW w:w="1060" w:type="dxa"/>
            <w:vAlign w:val="bottom"/>
            <w:shd w:val="clear" w:color="auto" w:fill="DBDBDB"/>
          </w:tcPr>
          <w:p>
            <w:pPr>
              <w:spacing w:after="0"/>
              <w:rPr>
                <w:sz w:val="15"/>
                <w:szCs w:val="15"/>
                <w:color w:val="auto"/>
              </w:rPr>
            </w:pPr>
          </w:p>
        </w:tc>
        <w:tc>
          <w:tcPr>
            <w:tcW w:w="680" w:type="dxa"/>
            <w:vAlign w:val="bottom"/>
            <w:shd w:val="clear" w:color="auto" w:fill="DBDBDB"/>
          </w:tcPr>
          <w:p>
            <w:pPr>
              <w:jc w:val="right"/>
              <w:ind w:right="34"/>
              <w:spacing w:after="0"/>
              <w:rPr>
                <w:sz w:val="20"/>
                <w:szCs w:val="20"/>
                <w:color w:val="auto"/>
              </w:rPr>
            </w:pPr>
            <w:r>
              <w:rPr>
                <w:rFonts w:ascii="Arial" w:cs="Arial" w:eastAsia="Arial" w:hAnsi="Arial"/>
                <w:sz w:val="13"/>
                <w:szCs w:val="13"/>
                <w:color w:val="auto"/>
              </w:rPr>
              <w:t>36,563</w:t>
            </w:r>
          </w:p>
        </w:tc>
        <w:tc>
          <w:tcPr>
            <w:tcW w:w="44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(55,155)</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(2,624)</w:t>
            </w:r>
          </w:p>
        </w:tc>
      </w:tr>
      <w:tr>
        <w:trPr>
          <w:trHeight w:val="172"/>
        </w:trPr>
        <w:tc>
          <w:tcPr>
            <w:tcW w:w="6020" w:type="dxa"/>
            <w:vAlign w:val="bottom"/>
          </w:tcPr>
          <w:p>
            <w:pPr>
              <w:ind w:left="380"/>
              <w:spacing w:after="0"/>
              <w:rPr>
                <w:sz w:val="20"/>
                <w:szCs w:val="20"/>
                <w:color w:val="auto"/>
              </w:rPr>
            </w:pPr>
            <w:r>
              <w:rPr>
                <w:rFonts w:ascii="Arial" w:cs="Arial" w:eastAsia="Arial" w:hAnsi="Arial"/>
                <w:sz w:val="13"/>
                <w:szCs w:val="13"/>
                <w:color w:val="auto"/>
              </w:rPr>
              <w:t>Unrealized currency losses (gains), net</w:t>
            </w:r>
          </w:p>
        </w:tc>
        <w:tc>
          <w:tcPr>
            <w:tcW w:w="1060" w:type="dxa"/>
            <w:vAlign w:val="bottom"/>
          </w:tcPr>
          <w:p>
            <w:pPr>
              <w:spacing w:after="0"/>
              <w:rPr>
                <w:sz w:val="14"/>
                <w:szCs w:val="14"/>
                <w:color w:val="auto"/>
              </w:rPr>
            </w:pPr>
          </w:p>
        </w:tc>
        <w:tc>
          <w:tcPr>
            <w:tcW w:w="680" w:type="dxa"/>
            <w:vAlign w:val="bottom"/>
          </w:tcPr>
          <w:p>
            <w:pPr>
              <w:jc w:val="right"/>
              <w:ind w:right="34"/>
              <w:spacing w:after="0"/>
              <w:rPr>
                <w:sz w:val="20"/>
                <w:szCs w:val="20"/>
                <w:color w:val="auto"/>
              </w:rPr>
            </w:pPr>
            <w:r>
              <w:rPr>
                <w:rFonts w:ascii="Arial" w:cs="Arial" w:eastAsia="Arial" w:hAnsi="Arial"/>
                <w:sz w:val="13"/>
                <w:szCs w:val="13"/>
                <w:color w:val="auto"/>
              </w:rPr>
              <w:t>295</w:t>
            </w:r>
          </w:p>
        </w:tc>
        <w:tc>
          <w:tcPr>
            <w:tcW w:w="4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424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(745)</w:t>
            </w:r>
          </w:p>
        </w:tc>
      </w:tr>
      <w:tr>
        <w:trPr>
          <w:trHeight w:val="178"/>
        </w:trPr>
        <w:tc>
          <w:tcPr>
            <w:tcW w:w="6020" w:type="dxa"/>
            <w:vAlign w:val="bottom"/>
            <w:shd w:val="clear" w:color="auto" w:fill="DBDBDB"/>
          </w:tcPr>
          <w:p>
            <w:pPr>
              <w:ind w:left="200"/>
              <w:spacing w:after="0"/>
              <w:rPr>
                <w:sz w:val="20"/>
                <w:szCs w:val="20"/>
                <w:color w:val="auto"/>
              </w:rPr>
            </w:pPr>
            <w:r>
              <w:rPr>
                <w:rFonts w:ascii="Arial" w:cs="Arial" w:eastAsia="Arial" w:hAnsi="Arial"/>
                <w:sz w:val="13"/>
                <w:szCs w:val="13"/>
                <w:color w:val="auto"/>
              </w:rPr>
              <w:t>Changes in operating assets and liabilities, net of effect of businesses acquired:</w:t>
            </w:r>
          </w:p>
        </w:tc>
        <w:tc>
          <w:tcPr>
            <w:tcW w:w="106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r>
      <w:tr>
        <w:trPr>
          <w:trHeight w:val="172"/>
        </w:trPr>
        <w:tc>
          <w:tcPr>
            <w:tcW w:w="6020" w:type="dxa"/>
            <w:vAlign w:val="bottom"/>
          </w:tcPr>
          <w:p>
            <w:pPr>
              <w:ind w:left="380"/>
              <w:spacing w:after="0"/>
              <w:rPr>
                <w:sz w:val="20"/>
                <w:szCs w:val="20"/>
                <w:color w:val="auto"/>
              </w:rPr>
            </w:pPr>
            <w:r>
              <w:rPr>
                <w:rFonts w:ascii="Arial" w:cs="Arial" w:eastAsia="Arial" w:hAnsi="Arial"/>
                <w:sz w:val="13"/>
                <w:szCs w:val="13"/>
                <w:color w:val="auto"/>
              </w:rPr>
              <w:t>Trade receivables</w:t>
            </w:r>
          </w:p>
        </w:tc>
        <w:tc>
          <w:tcPr>
            <w:tcW w:w="10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(105,053)</w:t>
            </w:r>
          </w:p>
        </w:tc>
        <w:tc>
          <w:tcPr>
            <w:tcW w:w="4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(26,723)</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(63,648)</w:t>
            </w:r>
          </w:p>
        </w:tc>
      </w:tr>
      <w:tr>
        <w:trPr>
          <w:trHeight w:val="178"/>
        </w:trPr>
        <w:tc>
          <w:tcPr>
            <w:tcW w:w="6020" w:type="dxa"/>
            <w:vAlign w:val="bottom"/>
            <w:shd w:val="clear" w:color="auto" w:fill="DBDBDB"/>
          </w:tcPr>
          <w:p>
            <w:pPr>
              <w:ind w:left="380"/>
              <w:spacing w:after="0"/>
              <w:rPr>
                <w:sz w:val="20"/>
                <w:szCs w:val="20"/>
                <w:color w:val="auto"/>
              </w:rPr>
            </w:pPr>
            <w:r>
              <w:rPr>
                <w:rFonts w:ascii="Arial" w:cs="Arial" w:eastAsia="Arial" w:hAnsi="Arial"/>
                <w:sz w:val="13"/>
                <w:szCs w:val="13"/>
                <w:color w:val="auto"/>
              </w:rPr>
              <w:t>Inventories</w:t>
            </w:r>
          </w:p>
        </w:tc>
        <w:tc>
          <w:tcPr>
            <w:tcW w:w="1060" w:type="dxa"/>
            <w:vAlign w:val="bottom"/>
            <w:shd w:val="clear" w:color="auto" w:fill="DBDBDB"/>
          </w:tcPr>
          <w:p>
            <w:pPr>
              <w:spacing w:after="0"/>
              <w:rPr>
                <w:sz w:val="15"/>
                <w:szCs w:val="15"/>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(9,083)</w:t>
            </w:r>
          </w:p>
        </w:tc>
        <w:tc>
          <w:tcPr>
            <w:tcW w:w="44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2,775</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869</w:t>
            </w:r>
          </w:p>
        </w:tc>
      </w:tr>
      <w:tr>
        <w:trPr>
          <w:trHeight w:val="172"/>
        </w:trPr>
        <w:tc>
          <w:tcPr>
            <w:tcW w:w="6020" w:type="dxa"/>
            <w:vAlign w:val="bottom"/>
          </w:tcPr>
          <w:p>
            <w:pPr>
              <w:ind w:left="380"/>
              <w:spacing w:after="0"/>
              <w:rPr>
                <w:sz w:val="20"/>
                <w:szCs w:val="20"/>
                <w:color w:val="auto"/>
              </w:rPr>
            </w:pPr>
            <w:r>
              <w:rPr>
                <w:rFonts w:ascii="Arial" w:cs="Arial" w:eastAsia="Arial" w:hAnsi="Arial"/>
                <w:sz w:val="13"/>
                <w:szCs w:val="13"/>
                <w:color w:val="auto"/>
              </w:rPr>
              <w:t>Prepaid expenses and other assets</w:t>
            </w:r>
          </w:p>
        </w:tc>
        <w:tc>
          <w:tcPr>
            <w:tcW w:w="1060" w:type="dxa"/>
            <w:vAlign w:val="bottom"/>
          </w:tcPr>
          <w:p>
            <w:pPr>
              <w:spacing w:after="0"/>
              <w:rPr>
                <w:sz w:val="14"/>
                <w:szCs w:val="14"/>
                <w:color w:val="auto"/>
              </w:rPr>
            </w:pPr>
          </w:p>
        </w:tc>
        <w:tc>
          <w:tcPr>
            <w:tcW w:w="680" w:type="dxa"/>
            <w:vAlign w:val="bottom"/>
          </w:tcPr>
          <w:p>
            <w:pPr>
              <w:jc w:val="right"/>
              <w:ind w:right="34"/>
              <w:spacing w:after="0"/>
              <w:rPr>
                <w:sz w:val="20"/>
                <w:szCs w:val="20"/>
                <w:color w:val="auto"/>
              </w:rPr>
            </w:pPr>
            <w:r>
              <w:rPr>
                <w:rFonts w:ascii="Arial" w:cs="Arial" w:eastAsia="Arial" w:hAnsi="Arial"/>
                <w:sz w:val="13"/>
                <w:szCs w:val="13"/>
                <w:color w:val="auto"/>
              </w:rPr>
              <w:t>3,324</w:t>
            </w:r>
          </w:p>
        </w:tc>
        <w:tc>
          <w:tcPr>
            <w:tcW w:w="4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(4,547)</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8,237</w:t>
            </w:r>
          </w:p>
        </w:tc>
      </w:tr>
      <w:tr>
        <w:trPr>
          <w:trHeight w:val="178"/>
        </w:trPr>
        <w:tc>
          <w:tcPr>
            <w:tcW w:w="6020" w:type="dxa"/>
            <w:vAlign w:val="bottom"/>
            <w:shd w:val="clear" w:color="auto" w:fill="DBDBDB"/>
          </w:tcPr>
          <w:p>
            <w:pPr>
              <w:ind w:left="380"/>
              <w:spacing w:after="0"/>
              <w:rPr>
                <w:sz w:val="20"/>
                <w:szCs w:val="20"/>
                <w:color w:val="auto"/>
              </w:rPr>
            </w:pPr>
            <w:r>
              <w:rPr>
                <w:rFonts w:ascii="Arial" w:cs="Arial" w:eastAsia="Arial" w:hAnsi="Arial"/>
                <w:sz w:val="13"/>
                <w:szCs w:val="13"/>
                <w:color w:val="auto"/>
              </w:rPr>
              <w:t>Operating lease assets and liabilities</w:t>
            </w:r>
          </w:p>
        </w:tc>
        <w:tc>
          <w:tcPr>
            <w:tcW w:w="1060" w:type="dxa"/>
            <w:vAlign w:val="bottom"/>
            <w:shd w:val="clear" w:color="auto" w:fill="DBDBDB"/>
          </w:tcPr>
          <w:p>
            <w:pPr>
              <w:spacing w:after="0"/>
              <w:rPr>
                <w:sz w:val="15"/>
                <w:szCs w:val="15"/>
                <w:color w:val="auto"/>
              </w:rPr>
            </w:pPr>
          </w:p>
        </w:tc>
        <w:tc>
          <w:tcPr>
            <w:tcW w:w="680" w:type="dxa"/>
            <w:vAlign w:val="bottom"/>
            <w:shd w:val="clear" w:color="auto" w:fill="DBDBDB"/>
          </w:tcPr>
          <w:p>
            <w:pPr>
              <w:jc w:val="right"/>
              <w:ind w:right="34"/>
              <w:spacing w:after="0"/>
              <w:rPr>
                <w:sz w:val="20"/>
                <w:szCs w:val="20"/>
                <w:color w:val="auto"/>
              </w:rPr>
            </w:pPr>
            <w:r>
              <w:rPr>
                <w:rFonts w:ascii="Arial" w:cs="Arial" w:eastAsia="Arial" w:hAnsi="Arial"/>
                <w:sz w:val="13"/>
                <w:szCs w:val="13"/>
                <w:color w:val="auto"/>
              </w:rPr>
              <w:t>473</w:t>
            </w:r>
          </w:p>
        </w:tc>
        <w:tc>
          <w:tcPr>
            <w:tcW w:w="44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789</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(438)</w:t>
            </w:r>
          </w:p>
        </w:tc>
      </w:tr>
      <w:tr>
        <w:trPr>
          <w:trHeight w:val="172"/>
        </w:trPr>
        <w:tc>
          <w:tcPr>
            <w:tcW w:w="6020" w:type="dxa"/>
            <w:vAlign w:val="bottom"/>
          </w:tcPr>
          <w:p>
            <w:pPr>
              <w:ind w:left="380"/>
              <w:spacing w:after="0"/>
              <w:rPr>
                <w:sz w:val="20"/>
                <w:szCs w:val="20"/>
                <w:color w:val="auto"/>
              </w:rPr>
            </w:pPr>
            <w:r>
              <w:rPr>
                <w:rFonts w:ascii="Arial" w:cs="Arial" w:eastAsia="Arial" w:hAnsi="Arial"/>
                <w:sz w:val="13"/>
                <w:szCs w:val="13"/>
                <w:color w:val="auto"/>
              </w:rPr>
              <w:t>Accrued interest</w:t>
            </w:r>
          </w:p>
        </w:tc>
        <w:tc>
          <w:tcPr>
            <w:tcW w:w="1060" w:type="dxa"/>
            <w:vAlign w:val="bottom"/>
          </w:tcPr>
          <w:p>
            <w:pPr>
              <w:spacing w:after="0"/>
              <w:rPr>
                <w:sz w:val="14"/>
                <w:szCs w:val="14"/>
                <w:color w:val="auto"/>
              </w:rPr>
            </w:pPr>
          </w:p>
        </w:tc>
        <w:tc>
          <w:tcPr>
            <w:tcW w:w="680" w:type="dxa"/>
            <w:vAlign w:val="bottom"/>
          </w:tcPr>
          <w:p>
            <w:pPr>
              <w:jc w:val="right"/>
              <w:ind w:right="34"/>
              <w:spacing w:after="0"/>
              <w:rPr>
                <w:sz w:val="20"/>
                <w:szCs w:val="20"/>
                <w:color w:val="auto"/>
              </w:rPr>
            </w:pPr>
            <w:r>
              <w:rPr>
                <w:rFonts w:ascii="Arial" w:cs="Arial" w:eastAsia="Arial" w:hAnsi="Arial"/>
                <w:sz w:val="13"/>
                <w:szCs w:val="13"/>
                <w:color w:val="auto"/>
              </w:rPr>
              <w:t>217</w:t>
            </w:r>
          </w:p>
        </w:tc>
        <w:tc>
          <w:tcPr>
            <w:tcW w:w="4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(11,877)</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(4,217)</w:t>
            </w:r>
          </w:p>
        </w:tc>
      </w:tr>
      <w:tr>
        <w:trPr>
          <w:trHeight w:val="178"/>
        </w:trPr>
        <w:tc>
          <w:tcPr>
            <w:tcW w:w="6020" w:type="dxa"/>
            <w:vAlign w:val="bottom"/>
            <w:shd w:val="clear" w:color="auto" w:fill="DBDBDB"/>
          </w:tcPr>
          <w:p>
            <w:pPr>
              <w:ind w:left="380"/>
              <w:spacing w:after="0"/>
              <w:rPr>
                <w:sz w:val="20"/>
                <w:szCs w:val="20"/>
                <w:color w:val="auto"/>
              </w:rPr>
            </w:pPr>
            <w:r>
              <w:rPr>
                <w:rFonts w:ascii="Arial" w:cs="Arial" w:eastAsia="Arial" w:hAnsi="Arial"/>
                <w:sz w:val="13"/>
                <w:szCs w:val="13"/>
                <w:color w:val="auto"/>
              </w:rPr>
              <w:t>Accounts payable and other accrued expenses</w:t>
            </w:r>
          </w:p>
        </w:tc>
        <w:tc>
          <w:tcPr>
            <w:tcW w:w="1060" w:type="dxa"/>
            <w:vAlign w:val="bottom"/>
            <w:shd w:val="clear" w:color="auto" w:fill="DBDBDB"/>
          </w:tcPr>
          <w:p>
            <w:pPr>
              <w:spacing w:after="0"/>
              <w:rPr>
                <w:sz w:val="15"/>
                <w:szCs w:val="15"/>
                <w:color w:val="auto"/>
              </w:rPr>
            </w:pPr>
          </w:p>
        </w:tc>
        <w:tc>
          <w:tcPr>
            <w:tcW w:w="680" w:type="dxa"/>
            <w:vAlign w:val="bottom"/>
            <w:shd w:val="clear" w:color="auto" w:fill="DBDBDB"/>
          </w:tcPr>
          <w:p>
            <w:pPr>
              <w:jc w:val="right"/>
              <w:ind w:right="34"/>
              <w:spacing w:after="0"/>
              <w:rPr>
                <w:sz w:val="20"/>
                <w:szCs w:val="20"/>
                <w:color w:val="auto"/>
              </w:rPr>
            </w:pPr>
            <w:r>
              <w:rPr>
                <w:rFonts w:ascii="Arial" w:cs="Arial" w:eastAsia="Arial" w:hAnsi="Arial"/>
                <w:sz w:val="13"/>
                <w:szCs w:val="13"/>
                <w:color w:val="auto"/>
              </w:rPr>
              <w:t>27,308</w:t>
            </w:r>
          </w:p>
        </w:tc>
        <w:tc>
          <w:tcPr>
            <w:tcW w:w="44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(16,046)</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4,865</w:t>
            </w:r>
          </w:p>
        </w:tc>
      </w:tr>
      <w:tr>
        <w:trPr>
          <w:trHeight w:val="172"/>
        </w:trPr>
        <w:tc>
          <w:tcPr>
            <w:tcW w:w="6020" w:type="dxa"/>
            <w:vAlign w:val="bottom"/>
            <w:tcBorders>
              <w:bottom w:val="single" w:sz="8" w:color="DBDBDB"/>
            </w:tcBorders>
          </w:tcPr>
          <w:p>
            <w:pPr>
              <w:ind w:left="380"/>
              <w:spacing w:after="0"/>
              <w:rPr>
                <w:sz w:val="20"/>
                <w:szCs w:val="20"/>
                <w:color w:val="auto"/>
              </w:rPr>
            </w:pPr>
            <w:r>
              <w:rPr>
                <w:rFonts w:ascii="Arial" w:cs="Arial" w:eastAsia="Arial" w:hAnsi="Arial"/>
                <w:sz w:val="13"/>
                <w:szCs w:val="13"/>
                <w:color w:val="auto"/>
              </w:rPr>
              <w:t>Deferred revenue and customer deposits</w:t>
            </w:r>
          </w:p>
        </w:tc>
        <w:tc>
          <w:tcPr>
            <w:tcW w:w="10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22,683</w:t>
            </w:r>
          </w:p>
        </w:tc>
        <w:tc>
          <w:tcPr>
            <w:tcW w:w="4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12,454</w:t>
            </w:r>
          </w:p>
        </w:tc>
        <w:tc>
          <w:tcPr>
            <w:tcW w:w="80" w:type="dxa"/>
            <w:vAlign w:val="bottom"/>
            <w:tcBorders>
              <w:bottom w:val="single" w:sz="8" w:color="DBDBDB"/>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15,639</w:t>
            </w:r>
          </w:p>
        </w:tc>
      </w:tr>
      <w:tr>
        <w:trPr>
          <w:trHeight w:val="169"/>
        </w:trPr>
        <w:tc>
          <w:tcPr>
            <w:tcW w:w="6020" w:type="dxa"/>
            <w:vAlign w:val="bottom"/>
            <w:shd w:val="clear" w:color="auto" w:fill="DBDBDB"/>
          </w:tcPr>
          <w:p>
            <w:pPr>
              <w:ind w:left="540"/>
              <w:spacing w:after="0"/>
              <w:rPr>
                <w:sz w:val="20"/>
                <w:szCs w:val="20"/>
                <w:color w:val="auto"/>
              </w:rPr>
            </w:pPr>
            <w:r>
              <w:rPr>
                <w:rFonts w:ascii="Arial" w:cs="Arial" w:eastAsia="Arial" w:hAnsi="Arial"/>
                <w:sz w:val="13"/>
                <w:szCs w:val="13"/>
                <w:color w:val="auto"/>
              </w:rPr>
              <w:t>Net cash provided by operating activities</w:t>
            </w:r>
          </w:p>
        </w:tc>
        <w:tc>
          <w:tcPr>
            <w:tcW w:w="1060" w:type="dxa"/>
            <w:vAlign w:val="bottom"/>
            <w:shd w:val="clear" w:color="auto" w:fill="DBDBDB"/>
          </w:tcPr>
          <w:p>
            <w:pPr>
              <w:spacing w:after="0"/>
              <w:rPr>
                <w:sz w:val="14"/>
                <w:szCs w:val="14"/>
                <w:color w:val="auto"/>
              </w:rPr>
            </w:pPr>
          </w:p>
        </w:tc>
        <w:tc>
          <w:tcPr>
            <w:tcW w:w="680" w:type="dxa"/>
            <w:vAlign w:val="bottom"/>
            <w:shd w:val="clear" w:color="auto" w:fill="DBDBDB"/>
          </w:tcPr>
          <w:p>
            <w:pPr>
              <w:jc w:val="right"/>
              <w:ind w:right="34"/>
              <w:spacing w:after="0"/>
              <w:rPr>
                <w:sz w:val="20"/>
                <w:szCs w:val="20"/>
                <w:color w:val="auto"/>
              </w:rPr>
            </w:pPr>
            <w:r>
              <w:rPr>
                <w:rFonts w:ascii="Arial" w:cs="Arial" w:eastAsia="Arial" w:hAnsi="Arial"/>
                <w:sz w:val="13"/>
                <w:szCs w:val="13"/>
                <w:color w:val="auto"/>
              </w:rPr>
              <w:t>539,902</w:t>
            </w:r>
          </w:p>
        </w:tc>
        <w:tc>
          <w:tcPr>
            <w:tcW w:w="44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304,812</w:t>
            </w:r>
          </w:p>
        </w:tc>
        <w:tc>
          <w:tcPr>
            <w:tcW w:w="8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172,566</w:t>
            </w:r>
          </w:p>
        </w:tc>
      </w:tr>
      <w:tr>
        <w:trPr>
          <w:trHeight w:val="172"/>
        </w:trPr>
        <w:tc>
          <w:tcPr>
            <w:tcW w:w="6020" w:type="dxa"/>
            <w:vAlign w:val="bottom"/>
          </w:tcPr>
          <w:p>
            <w:pPr>
              <w:ind w:left="20"/>
              <w:spacing w:after="0"/>
              <w:rPr>
                <w:sz w:val="20"/>
                <w:szCs w:val="20"/>
                <w:color w:val="auto"/>
              </w:rPr>
            </w:pPr>
            <w:r>
              <w:rPr>
                <w:rFonts w:ascii="Arial" w:cs="Arial" w:eastAsia="Arial" w:hAnsi="Arial"/>
                <w:sz w:val="13"/>
                <w:szCs w:val="13"/>
                <w:color w:val="auto"/>
              </w:rPr>
              <w:t>Investing activities:</w:t>
            </w: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8"/>
        </w:trPr>
        <w:tc>
          <w:tcPr>
            <w:tcW w:w="6020" w:type="dxa"/>
            <w:vAlign w:val="bottom"/>
            <w:shd w:val="clear" w:color="auto" w:fill="DBDBDB"/>
          </w:tcPr>
          <w:p>
            <w:pPr>
              <w:ind w:left="380"/>
              <w:spacing w:after="0"/>
              <w:rPr>
                <w:sz w:val="20"/>
                <w:szCs w:val="20"/>
                <w:color w:val="auto"/>
              </w:rPr>
            </w:pPr>
            <w:r>
              <w:rPr>
                <w:rFonts w:ascii="Arial" w:cs="Arial" w:eastAsia="Arial" w:hAnsi="Arial"/>
                <w:sz w:val="13"/>
                <w:szCs w:val="13"/>
                <w:color w:val="auto"/>
              </w:rPr>
              <w:t>Acquisitions, net of cash acquired</w:t>
            </w:r>
          </w:p>
        </w:tc>
        <w:tc>
          <w:tcPr>
            <w:tcW w:w="1060" w:type="dxa"/>
            <w:vAlign w:val="bottom"/>
            <w:shd w:val="clear" w:color="auto" w:fill="DBDBDB"/>
          </w:tcPr>
          <w:p>
            <w:pPr>
              <w:spacing w:after="0"/>
              <w:rPr>
                <w:sz w:val="15"/>
                <w:szCs w:val="15"/>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(147,172)</w:t>
            </w:r>
          </w:p>
        </w:tc>
        <w:tc>
          <w:tcPr>
            <w:tcW w:w="44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17,173</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6020" w:type="dxa"/>
            <w:vAlign w:val="bottom"/>
          </w:tcPr>
          <w:p>
            <w:pPr>
              <w:ind w:left="380"/>
              <w:spacing w:after="0"/>
              <w:rPr>
                <w:sz w:val="20"/>
                <w:szCs w:val="20"/>
                <w:color w:val="auto"/>
              </w:rPr>
            </w:pPr>
            <w:r>
              <w:rPr>
                <w:rFonts w:ascii="Arial" w:cs="Arial" w:eastAsia="Arial" w:hAnsi="Arial"/>
                <w:sz w:val="13"/>
                <w:szCs w:val="13"/>
                <w:color w:val="auto"/>
              </w:rPr>
              <w:t>Proceeds from sale of rental equipment</w:t>
            </w:r>
          </w:p>
        </w:tc>
        <w:tc>
          <w:tcPr>
            <w:tcW w:w="1060" w:type="dxa"/>
            <w:vAlign w:val="bottom"/>
          </w:tcPr>
          <w:p>
            <w:pPr>
              <w:spacing w:after="0"/>
              <w:rPr>
                <w:sz w:val="14"/>
                <w:szCs w:val="14"/>
                <w:color w:val="auto"/>
              </w:rPr>
            </w:pPr>
          </w:p>
        </w:tc>
        <w:tc>
          <w:tcPr>
            <w:tcW w:w="680" w:type="dxa"/>
            <w:vAlign w:val="bottom"/>
          </w:tcPr>
          <w:p>
            <w:pPr>
              <w:jc w:val="right"/>
              <w:ind w:right="34"/>
              <w:spacing w:after="0"/>
              <w:rPr>
                <w:sz w:val="20"/>
                <w:szCs w:val="20"/>
                <w:color w:val="auto"/>
              </w:rPr>
            </w:pPr>
            <w:r>
              <w:rPr>
                <w:rFonts w:ascii="Arial" w:cs="Arial" w:eastAsia="Arial" w:hAnsi="Arial"/>
                <w:sz w:val="13"/>
                <w:szCs w:val="13"/>
                <w:color w:val="auto"/>
              </w:rPr>
              <w:t>55,210</w:t>
            </w:r>
          </w:p>
        </w:tc>
        <w:tc>
          <w:tcPr>
            <w:tcW w:w="4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38,949</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42,101</w:t>
            </w:r>
          </w:p>
        </w:tc>
      </w:tr>
      <w:tr>
        <w:trPr>
          <w:trHeight w:val="178"/>
        </w:trPr>
        <w:tc>
          <w:tcPr>
            <w:tcW w:w="6020" w:type="dxa"/>
            <w:vAlign w:val="bottom"/>
            <w:shd w:val="clear" w:color="auto" w:fill="DBDBDB"/>
          </w:tcPr>
          <w:p>
            <w:pPr>
              <w:ind w:left="380"/>
              <w:spacing w:after="0"/>
              <w:rPr>
                <w:sz w:val="20"/>
                <w:szCs w:val="20"/>
                <w:color w:val="auto"/>
              </w:rPr>
            </w:pPr>
            <w:r>
              <w:rPr>
                <w:rFonts w:ascii="Arial" w:cs="Arial" w:eastAsia="Arial" w:hAnsi="Arial"/>
                <w:sz w:val="13"/>
                <w:szCs w:val="13"/>
                <w:color w:val="auto"/>
              </w:rPr>
              <w:t>Purchase of rental equipment and refurbishments</w:t>
            </w:r>
          </w:p>
        </w:tc>
        <w:tc>
          <w:tcPr>
            <w:tcW w:w="1060" w:type="dxa"/>
            <w:vAlign w:val="bottom"/>
            <w:shd w:val="clear" w:color="auto" w:fill="DBDBDB"/>
          </w:tcPr>
          <w:p>
            <w:pPr>
              <w:spacing w:after="0"/>
              <w:rPr>
                <w:sz w:val="15"/>
                <w:szCs w:val="15"/>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(278,498)</w:t>
            </w:r>
          </w:p>
        </w:tc>
        <w:tc>
          <w:tcPr>
            <w:tcW w:w="44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(172,383)</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(205,106)</w:t>
            </w:r>
          </w:p>
        </w:tc>
      </w:tr>
      <w:tr>
        <w:trPr>
          <w:trHeight w:val="172"/>
        </w:trPr>
        <w:tc>
          <w:tcPr>
            <w:tcW w:w="6020" w:type="dxa"/>
            <w:vAlign w:val="bottom"/>
          </w:tcPr>
          <w:p>
            <w:pPr>
              <w:ind w:left="380"/>
              <w:spacing w:after="0"/>
              <w:rPr>
                <w:sz w:val="20"/>
                <w:szCs w:val="20"/>
                <w:color w:val="auto"/>
              </w:rPr>
            </w:pPr>
            <w:r>
              <w:rPr>
                <w:rFonts w:ascii="Arial" w:cs="Arial" w:eastAsia="Arial" w:hAnsi="Arial"/>
                <w:sz w:val="13"/>
                <w:szCs w:val="13"/>
                <w:color w:val="auto"/>
              </w:rPr>
              <w:t>Proceeds from the sale of property, plant and equipment</w:t>
            </w:r>
          </w:p>
        </w:tc>
        <w:tc>
          <w:tcPr>
            <w:tcW w:w="1060" w:type="dxa"/>
            <w:vAlign w:val="bottom"/>
          </w:tcPr>
          <w:p>
            <w:pPr>
              <w:spacing w:after="0"/>
              <w:rPr>
                <w:sz w:val="14"/>
                <w:szCs w:val="14"/>
                <w:color w:val="auto"/>
              </w:rPr>
            </w:pPr>
          </w:p>
        </w:tc>
        <w:tc>
          <w:tcPr>
            <w:tcW w:w="680" w:type="dxa"/>
            <w:vAlign w:val="bottom"/>
          </w:tcPr>
          <w:p>
            <w:pPr>
              <w:jc w:val="right"/>
              <w:ind w:right="34"/>
              <w:spacing w:after="0"/>
              <w:rPr>
                <w:sz w:val="20"/>
                <w:szCs w:val="20"/>
                <w:color w:val="auto"/>
              </w:rPr>
            </w:pPr>
            <w:r>
              <w:rPr>
                <w:rFonts w:ascii="Arial" w:cs="Arial" w:eastAsia="Arial" w:hAnsi="Arial"/>
                <w:sz w:val="13"/>
                <w:szCs w:val="13"/>
                <w:color w:val="auto"/>
              </w:rPr>
              <w:t>16,911</w:t>
            </w:r>
          </w:p>
        </w:tc>
        <w:tc>
          <w:tcPr>
            <w:tcW w:w="4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7,355</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18,763</w:t>
            </w:r>
          </w:p>
        </w:tc>
      </w:tr>
      <w:tr>
        <w:trPr>
          <w:trHeight w:val="175"/>
        </w:trPr>
        <w:tc>
          <w:tcPr>
            <w:tcW w:w="6020" w:type="dxa"/>
            <w:vAlign w:val="bottom"/>
            <w:shd w:val="clear" w:color="auto" w:fill="DBDBDB"/>
          </w:tcPr>
          <w:p>
            <w:pPr>
              <w:ind w:left="380"/>
              <w:spacing w:after="0"/>
              <w:rPr>
                <w:sz w:val="20"/>
                <w:szCs w:val="20"/>
                <w:color w:val="auto"/>
              </w:rPr>
            </w:pPr>
            <w:r>
              <w:rPr>
                <w:rFonts w:ascii="Arial" w:cs="Arial" w:eastAsia="Arial" w:hAnsi="Arial"/>
                <w:sz w:val="13"/>
                <w:szCs w:val="13"/>
                <w:color w:val="auto"/>
              </w:rPr>
              <w:t>Purchase of property, plant and equipment</w:t>
            </w:r>
          </w:p>
        </w:tc>
        <w:tc>
          <w:tcPr>
            <w:tcW w:w="1060" w:type="dxa"/>
            <w:vAlign w:val="bottom"/>
            <w:tcBorders>
              <w:bottom w:val="single" w:sz="8" w:color="auto"/>
            </w:tcBorders>
            <w:shd w:val="clear" w:color="auto" w:fill="DBDBDB"/>
          </w:tcPr>
          <w:p>
            <w:pPr>
              <w:spacing w:after="0"/>
              <w:rPr>
                <w:sz w:val="15"/>
                <w:szCs w:val="15"/>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(30,498)</w:t>
            </w:r>
          </w:p>
        </w:tc>
        <w:tc>
          <w:tcPr>
            <w:tcW w:w="440" w:type="dxa"/>
            <w:vAlign w:val="bottom"/>
            <w:tcBorders>
              <w:bottom w:val="single" w:sz="8" w:color="auto"/>
            </w:tcBorders>
            <w:shd w:val="clear" w:color="auto" w:fill="DBDBDB"/>
          </w:tcPr>
          <w:p>
            <w:pPr>
              <w:spacing w:after="0"/>
              <w:rPr>
                <w:sz w:val="15"/>
                <w:szCs w:val="15"/>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(16,454)</w:t>
            </w:r>
          </w:p>
        </w:tc>
        <w:tc>
          <w:tcPr>
            <w:tcW w:w="80" w:type="dxa"/>
            <w:vAlign w:val="bottom"/>
            <w:shd w:val="clear" w:color="auto" w:fill="DBDBDB"/>
          </w:tcPr>
          <w:p>
            <w:pPr>
              <w:spacing w:after="0"/>
              <w:rPr>
                <w:sz w:val="15"/>
                <w:szCs w:val="15"/>
                <w:color w:val="auto"/>
              </w:rPr>
            </w:pPr>
          </w:p>
        </w:tc>
        <w:tc>
          <w:tcPr>
            <w:tcW w:w="400" w:type="dxa"/>
            <w:vAlign w:val="bottom"/>
            <w:tcBorders>
              <w:bottom w:val="single" w:sz="8" w:color="auto"/>
            </w:tcBorders>
            <w:shd w:val="clear" w:color="auto" w:fill="DBDBDB"/>
          </w:tcPr>
          <w:p>
            <w:pPr>
              <w:spacing w:after="0"/>
              <w:rPr>
                <w:sz w:val="15"/>
                <w:szCs w:val="15"/>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(8,340)</w:t>
            </w:r>
          </w:p>
        </w:tc>
      </w:tr>
      <w:tr>
        <w:trPr>
          <w:trHeight w:val="166"/>
        </w:trPr>
        <w:tc>
          <w:tcPr>
            <w:tcW w:w="6020" w:type="dxa"/>
            <w:vAlign w:val="bottom"/>
          </w:tcPr>
          <w:p>
            <w:pPr>
              <w:ind w:left="540"/>
              <w:spacing w:after="0"/>
              <w:rPr>
                <w:sz w:val="20"/>
                <w:szCs w:val="20"/>
                <w:color w:val="auto"/>
              </w:rPr>
            </w:pPr>
            <w:r>
              <w:rPr>
                <w:rFonts w:ascii="Arial" w:cs="Arial" w:eastAsia="Arial" w:hAnsi="Arial"/>
                <w:sz w:val="13"/>
                <w:szCs w:val="13"/>
                <w:color w:val="auto"/>
              </w:rPr>
              <w:t>Net cash used in investing activities</w:t>
            </w:r>
          </w:p>
        </w:tc>
        <w:tc>
          <w:tcPr>
            <w:tcW w:w="10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(384,047)</w:t>
            </w:r>
          </w:p>
        </w:tc>
        <w:tc>
          <w:tcPr>
            <w:tcW w:w="4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(125,360)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(152,582)</w:t>
            </w:r>
          </w:p>
        </w:tc>
      </w:tr>
      <w:tr>
        <w:trPr>
          <w:trHeight w:val="178"/>
        </w:trPr>
        <w:tc>
          <w:tcPr>
            <w:tcW w:w="6020" w:type="dxa"/>
            <w:vAlign w:val="bottom"/>
            <w:shd w:val="clear" w:color="auto" w:fill="DBDBDB"/>
          </w:tcPr>
          <w:p>
            <w:pPr>
              <w:ind w:left="20"/>
              <w:spacing w:after="0"/>
              <w:rPr>
                <w:sz w:val="20"/>
                <w:szCs w:val="20"/>
                <w:color w:val="auto"/>
              </w:rPr>
            </w:pPr>
            <w:r>
              <w:rPr>
                <w:rFonts w:ascii="Arial" w:cs="Arial" w:eastAsia="Arial" w:hAnsi="Arial"/>
                <w:sz w:val="13"/>
                <w:szCs w:val="13"/>
                <w:color w:val="auto"/>
              </w:rPr>
              <w:t>Financing activities:</w:t>
            </w:r>
          </w:p>
        </w:tc>
        <w:tc>
          <w:tcPr>
            <w:tcW w:w="106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r>
      <w:tr>
        <w:trPr>
          <w:trHeight w:val="172"/>
        </w:trPr>
        <w:tc>
          <w:tcPr>
            <w:tcW w:w="6020" w:type="dxa"/>
            <w:vAlign w:val="bottom"/>
          </w:tcPr>
          <w:p>
            <w:pPr>
              <w:ind w:left="380"/>
              <w:spacing w:after="0"/>
              <w:rPr>
                <w:sz w:val="20"/>
                <w:szCs w:val="20"/>
                <w:color w:val="auto"/>
              </w:rPr>
            </w:pPr>
            <w:r>
              <w:rPr>
                <w:rFonts w:ascii="Arial" w:cs="Arial" w:eastAsia="Arial" w:hAnsi="Arial"/>
                <w:sz w:val="13"/>
                <w:szCs w:val="13"/>
                <w:color w:val="auto"/>
              </w:rPr>
              <w:t>Receipts from issuance of Common Stock from the exercise of options</w:t>
            </w:r>
          </w:p>
        </w:tc>
        <w:tc>
          <w:tcPr>
            <w:tcW w:w="1060" w:type="dxa"/>
            <w:vAlign w:val="bottom"/>
          </w:tcPr>
          <w:p>
            <w:pPr>
              <w:spacing w:after="0"/>
              <w:rPr>
                <w:sz w:val="14"/>
                <w:szCs w:val="14"/>
                <w:color w:val="auto"/>
              </w:rPr>
            </w:pPr>
          </w:p>
        </w:tc>
        <w:tc>
          <w:tcPr>
            <w:tcW w:w="680" w:type="dxa"/>
            <w:vAlign w:val="bottom"/>
          </w:tcPr>
          <w:p>
            <w:pPr>
              <w:jc w:val="right"/>
              <w:ind w:right="34"/>
              <w:spacing w:after="0"/>
              <w:rPr>
                <w:sz w:val="20"/>
                <w:szCs w:val="20"/>
                <w:color w:val="auto"/>
              </w:rPr>
            </w:pPr>
            <w:r>
              <w:rPr>
                <w:rFonts w:ascii="Arial" w:cs="Arial" w:eastAsia="Arial" w:hAnsi="Arial"/>
                <w:sz w:val="13"/>
                <w:szCs w:val="13"/>
                <w:color w:val="auto"/>
              </w:rPr>
              <w:t>7,484</w:t>
            </w:r>
          </w:p>
        </w:tc>
        <w:tc>
          <w:tcPr>
            <w:tcW w:w="4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10,616</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921</w:t>
            </w:r>
          </w:p>
        </w:tc>
      </w:tr>
      <w:tr>
        <w:trPr>
          <w:trHeight w:val="178"/>
        </w:trPr>
        <w:tc>
          <w:tcPr>
            <w:tcW w:w="6020" w:type="dxa"/>
            <w:vAlign w:val="bottom"/>
            <w:shd w:val="clear" w:color="auto" w:fill="DBDBDB"/>
          </w:tcPr>
          <w:p>
            <w:pPr>
              <w:ind w:left="380"/>
              <w:spacing w:after="0"/>
              <w:rPr>
                <w:sz w:val="20"/>
                <w:szCs w:val="20"/>
                <w:color w:val="auto"/>
              </w:rPr>
            </w:pPr>
            <w:r>
              <w:rPr>
                <w:rFonts w:ascii="Arial" w:cs="Arial" w:eastAsia="Arial" w:hAnsi="Arial"/>
                <w:sz w:val="13"/>
                <w:szCs w:val="13"/>
                <w:color w:val="auto"/>
              </w:rPr>
              <w:t>Repurchase and cancellation of Common Stock and warrants</w:t>
            </w:r>
          </w:p>
        </w:tc>
        <w:tc>
          <w:tcPr>
            <w:tcW w:w="1060" w:type="dxa"/>
            <w:vAlign w:val="bottom"/>
            <w:shd w:val="clear" w:color="auto" w:fill="DBDBDB"/>
          </w:tcPr>
          <w:p>
            <w:pPr>
              <w:spacing w:after="0"/>
              <w:rPr>
                <w:sz w:val="15"/>
                <w:szCs w:val="15"/>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(363,586)</w:t>
            </w:r>
          </w:p>
        </w:tc>
        <w:tc>
          <w:tcPr>
            <w:tcW w:w="44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(21,777)</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6020" w:type="dxa"/>
            <w:vAlign w:val="bottom"/>
          </w:tcPr>
          <w:p>
            <w:pPr>
              <w:ind w:left="380"/>
              <w:spacing w:after="0"/>
              <w:rPr>
                <w:sz w:val="20"/>
                <w:szCs w:val="20"/>
                <w:color w:val="auto"/>
              </w:rPr>
            </w:pPr>
            <w:r>
              <w:rPr>
                <w:rFonts w:ascii="Arial" w:cs="Arial" w:eastAsia="Arial" w:hAnsi="Arial"/>
                <w:sz w:val="13"/>
                <w:szCs w:val="13"/>
                <w:color w:val="auto"/>
              </w:rPr>
              <w:t>Payment of Common Stock issuance costs</w:t>
            </w:r>
          </w:p>
        </w:tc>
        <w:tc>
          <w:tcPr>
            <w:tcW w:w="1060" w:type="dxa"/>
            <w:vAlign w:val="bottom"/>
          </w:tcPr>
          <w:p>
            <w:pPr>
              <w:spacing w:after="0"/>
              <w:rPr>
                <w:sz w:val="14"/>
                <w:szCs w:val="14"/>
                <w:color w:val="auto"/>
              </w:rPr>
            </w:pPr>
          </w:p>
        </w:tc>
        <w:tc>
          <w:tcPr>
            <w:tcW w:w="68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(4,222)</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8"/>
        </w:trPr>
        <w:tc>
          <w:tcPr>
            <w:tcW w:w="6020" w:type="dxa"/>
            <w:vAlign w:val="bottom"/>
            <w:shd w:val="clear" w:color="auto" w:fill="DBDBDB"/>
          </w:tcPr>
          <w:p>
            <w:pPr>
              <w:ind w:left="380"/>
              <w:spacing w:after="0"/>
              <w:rPr>
                <w:sz w:val="20"/>
                <w:szCs w:val="20"/>
                <w:color w:val="auto"/>
              </w:rPr>
            </w:pPr>
            <w:r>
              <w:rPr>
                <w:rFonts w:ascii="Arial" w:cs="Arial" w:eastAsia="Arial" w:hAnsi="Arial"/>
                <w:sz w:val="13"/>
                <w:szCs w:val="13"/>
                <w:color w:val="auto"/>
              </w:rPr>
              <w:t>Receipts from borrowings</w:t>
            </w:r>
          </w:p>
        </w:tc>
        <w:tc>
          <w:tcPr>
            <w:tcW w:w="1060" w:type="dxa"/>
            <w:vAlign w:val="bottom"/>
            <w:shd w:val="clear" w:color="auto" w:fill="DBDBDB"/>
          </w:tcPr>
          <w:p>
            <w:pPr>
              <w:spacing w:after="0"/>
              <w:rPr>
                <w:sz w:val="15"/>
                <w:szCs w:val="15"/>
                <w:color w:val="auto"/>
              </w:rPr>
            </w:pPr>
          </w:p>
        </w:tc>
        <w:tc>
          <w:tcPr>
            <w:tcW w:w="680" w:type="dxa"/>
            <w:vAlign w:val="bottom"/>
            <w:shd w:val="clear" w:color="auto" w:fill="DBDBDB"/>
          </w:tcPr>
          <w:p>
            <w:pPr>
              <w:jc w:val="right"/>
              <w:ind w:right="34"/>
              <w:spacing w:after="0"/>
              <w:rPr>
                <w:sz w:val="20"/>
                <w:szCs w:val="20"/>
                <w:color w:val="auto"/>
              </w:rPr>
            </w:pPr>
            <w:r>
              <w:rPr>
                <w:rFonts w:ascii="Arial" w:cs="Arial" w:eastAsia="Arial" w:hAnsi="Arial"/>
                <w:sz w:val="13"/>
                <w:szCs w:val="13"/>
                <w:color w:val="auto"/>
              </w:rPr>
              <w:t>728,677</w:t>
            </w:r>
          </w:p>
        </w:tc>
        <w:tc>
          <w:tcPr>
            <w:tcW w:w="44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2,786,793</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552,230</w:t>
            </w:r>
          </w:p>
        </w:tc>
      </w:tr>
      <w:tr>
        <w:trPr>
          <w:trHeight w:val="172"/>
        </w:trPr>
        <w:tc>
          <w:tcPr>
            <w:tcW w:w="6020" w:type="dxa"/>
            <w:vAlign w:val="bottom"/>
          </w:tcPr>
          <w:p>
            <w:pPr>
              <w:ind w:left="380"/>
              <w:spacing w:after="0"/>
              <w:rPr>
                <w:sz w:val="20"/>
                <w:szCs w:val="20"/>
                <w:color w:val="auto"/>
              </w:rPr>
            </w:pPr>
            <w:r>
              <w:rPr>
                <w:rFonts w:ascii="Arial" w:cs="Arial" w:eastAsia="Arial" w:hAnsi="Arial"/>
                <w:sz w:val="13"/>
                <w:szCs w:val="13"/>
                <w:color w:val="auto"/>
              </w:rPr>
              <w:t>Payment of financing costs</w:t>
            </w:r>
          </w:p>
        </w:tc>
        <w:tc>
          <w:tcPr>
            <w:tcW w:w="1060" w:type="dxa"/>
            <w:vAlign w:val="bottom"/>
          </w:tcPr>
          <w:p>
            <w:pPr>
              <w:spacing w:after="0"/>
              <w:rPr>
                <w:sz w:val="14"/>
                <w:szCs w:val="14"/>
                <w:color w:val="auto"/>
              </w:rPr>
            </w:pPr>
          </w:p>
        </w:tc>
        <w:tc>
          <w:tcPr>
            <w:tcW w:w="68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(65,475)</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(2,623)</w:t>
            </w:r>
          </w:p>
        </w:tc>
      </w:tr>
      <w:tr>
        <w:trPr>
          <w:trHeight w:val="178"/>
        </w:trPr>
        <w:tc>
          <w:tcPr>
            <w:tcW w:w="6020" w:type="dxa"/>
            <w:vAlign w:val="bottom"/>
            <w:shd w:val="clear" w:color="auto" w:fill="DBDBDB"/>
          </w:tcPr>
          <w:p>
            <w:pPr>
              <w:ind w:left="380"/>
              <w:spacing w:after="0"/>
              <w:rPr>
                <w:sz w:val="20"/>
                <w:szCs w:val="20"/>
                <w:color w:val="auto"/>
              </w:rPr>
            </w:pPr>
            <w:r>
              <w:rPr>
                <w:rFonts w:ascii="Arial" w:cs="Arial" w:eastAsia="Arial" w:hAnsi="Arial"/>
                <w:sz w:val="13"/>
                <w:szCs w:val="13"/>
                <w:color w:val="auto"/>
              </w:rPr>
              <w:t>Repayment of borrowings</w:t>
            </w:r>
          </w:p>
        </w:tc>
        <w:tc>
          <w:tcPr>
            <w:tcW w:w="1060" w:type="dxa"/>
            <w:vAlign w:val="bottom"/>
            <w:shd w:val="clear" w:color="auto" w:fill="DBDBDB"/>
          </w:tcPr>
          <w:p>
            <w:pPr>
              <w:spacing w:after="0"/>
              <w:rPr>
                <w:sz w:val="15"/>
                <w:szCs w:val="15"/>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(512,181)</w:t>
            </w:r>
          </w:p>
        </w:tc>
        <w:tc>
          <w:tcPr>
            <w:tcW w:w="44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(2,808,370)</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(568,686)</w:t>
            </w:r>
          </w:p>
        </w:tc>
      </w:tr>
      <w:tr>
        <w:trPr>
          <w:trHeight w:val="169"/>
        </w:trPr>
        <w:tc>
          <w:tcPr>
            <w:tcW w:w="6020" w:type="dxa"/>
            <w:vAlign w:val="bottom"/>
          </w:tcPr>
          <w:p>
            <w:pPr>
              <w:ind w:left="380"/>
              <w:spacing w:after="0"/>
              <w:rPr>
                <w:sz w:val="20"/>
                <w:szCs w:val="20"/>
                <w:color w:val="auto"/>
              </w:rPr>
            </w:pPr>
            <w:r>
              <w:rPr>
                <w:rFonts w:ascii="Arial" w:cs="Arial" w:eastAsia="Arial" w:hAnsi="Arial"/>
                <w:sz w:val="13"/>
                <w:szCs w:val="13"/>
                <w:color w:val="auto"/>
              </w:rPr>
              <w:t>Payment of debt extinguishment premium costs</w:t>
            </w:r>
          </w:p>
        </w:tc>
        <w:tc>
          <w:tcPr>
            <w:tcW w:w="10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(3,705)</w:t>
            </w:r>
          </w:p>
        </w:tc>
        <w:tc>
          <w:tcPr>
            <w:tcW w:w="4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(34,610)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(7,152)</w:t>
            </w: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75"/>
        </w:trPr>
        <w:tc>
          <w:tcPr>
            <w:tcW w:w="6020" w:type="dxa"/>
            <w:vAlign w:val="bottom"/>
            <w:shd w:val="clear" w:color="auto" w:fill="DBDBDB"/>
          </w:tcPr>
          <w:p>
            <w:pPr>
              <w:ind w:left="380"/>
              <w:spacing w:after="0"/>
              <w:rPr>
                <w:sz w:val="20"/>
                <w:szCs w:val="20"/>
                <w:color w:val="auto"/>
              </w:rPr>
            </w:pPr>
            <w:r>
              <w:rPr>
                <w:rFonts w:ascii="Arial" w:cs="Arial" w:eastAsia="Arial" w:hAnsi="Arial"/>
                <w:sz w:val="13"/>
                <w:szCs w:val="13"/>
                <w:color w:val="auto"/>
              </w:rPr>
              <w:t>Principal payments on finance lease obligations</w:t>
            </w:r>
          </w:p>
        </w:tc>
        <w:tc>
          <w:tcPr>
            <w:tcW w:w="600" w:type="dxa"/>
            <w:vAlign w:val="bottom"/>
            <w:shd w:val="clear" w:color="auto" w:fill="DBDBDB"/>
          </w:tcPr>
          <w:p>
            <w:pPr>
              <w:spacing w:after="0"/>
              <w:rPr>
                <w:sz w:val="15"/>
                <w:szCs w:val="15"/>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(17,399)</w:t>
            </w:r>
          </w:p>
        </w:tc>
        <w:tc>
          <w:tcPr>
            <w:tcW w:w="80" w:type="dxa"/>
            <w:vAlign w:val="bottom"/>
            <w:shd w:val="clear" w:color="auto" w:fill="DBDBDB"/>
          </w:tcPr>
          <w:p>
            <w:pPr>
              <w:spacing w:after="0"/>
              <w:rPr>
                <w:sz w:val="15"/>
                <w:szCs w:val="15"/>
                <w:color w:val="auto"/>
              </w:rPr>
            </w:pPr>
          </w:p>
        </w:tc>
        <w:tc>
          <w:tcPr>
            <w:tcW w:w="600" w:type="dxa"/>
            <w:vAlign w:val="bottom"/>
            <w:shd w:val="clear" w:color="auto" w:fill="DBDBDB"/>
          </w:tcPr>
          <w:p>
            <w:pPr>
              <w:spacing w:after="0"/>
              <w:rPr>
                <w:sz w:val="15"/>
                <w:szCs w:val="15"/>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(8,440)</w:t>
            </w:r>
          </w:p>
        </w:tc>
        <w:tc>
          <w:tcPr>
            <w:tcW w:w="80" w:type="dxa"/>
            <w:vAlign w:val="bottom"/>
          </w:tcPr>
          <w:p>
            <w:pPr>
              <w:spacing w:after="0"/>
              <w:rPr>
                <w:sz w:val="15"/>
                <w:szCs w:val="15"/>
                <w:color w:val="auto"/>
              </w:rPr>
            </w:pPr>
          </w:p>
        </w:tc>
        <w:tc>
          <w:tcPr>
            <w:tcW w:w="640" w:type="dxa"/>
            <w:vAlign w:val="bottom"/>
            <w:shd w:val="clear" w:color="auto" w:fill="DBDBDB"/>
          </w:tcPr>
          <w:p>
            <w:pPr>
              <w:spacing w:after="0"/>
              <w:rPr>
                <w:sz w:val="15"/>
                <w:szCs w:val="15"/>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(99)</w:t>
            </w:r>
          </w:p>
        </w:tc>
      </w:tr>
      <w:tr>
        <w:trPr>
          <w:trHeight w:val="172"/>
        </w:trPr>
        <w:tc>
          <w:tcPr>
            <w:tcW w:w="6020" w:type="dxa"/>
            <w:vAlign w:val="bottom"/>
            <w:tcBorders>
              <w:bottom w:val="single" w:sz="8" w:color="DBDBDB"/>
            </w:tcBorders>
          </w:tcPr>
          <w:p>
            <w:pPr>
              <w:ind w:left="380"/>
              <w:spacing w:after="0"/>
              <w:rPr>
                <w:sz w:val="20"/>
                <w:szCs w:val="20"/>
                <w:color w:val="auto"/>
              </w:rPr>
            </w:pPr>
            <w:r>
              <w:rPr>
                <w:rFonts w:ascii="Arial" w:cs="Arial" w:eastAsia="Arial" w:hAnsi="Arial"/>
                <w:sz w:val="13"/>
                <w:szCs w:val="13"/>
                <w:color w:val="auto"/>
              </w:rPr>
              <w:t>Taxes paid on employee stock awards</w:t>
            </w:r>
          </w:p>
        </w:tc>
        <w:tc>
          <w:tcPr>
            <w:tcW w:w="6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(7,177)</w:t>
            </w: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(13,473)</w:t>
            </w:r>
          </w:p>
        </w:tc>
        <w:tc>
          <w:tcPr>
            <w:tcW w:w="80" w:type="dxa"/>
            <w:vAlign w:val="bottom"/>
            <w:tcBorders>
              <w:bottom w:val="single" w:sz="8" w:color="DBDBDB"/>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(654)</w:t>
            </w:r>
          </w:p>
        </w:tc>
      </w:tr>
      <w:tr>
        <w:trPr>
          <w:trHeight w:val="169"/>
        </w:trPr>
        <w:tc>
          <w:tcPr>
            <w:tcW w:w="6020" w:type="dxa"/>
            <w:vAlign w:val="bottom"/>
            <w:shd w:val="clear" w:color="auto" w:fill="DBDBDB"/>
          </w:tcPr>
          <w:p>
            <w:pPr>
              <w:ind w:left="640"/>
              <w:spacing w:after="0"/>
              <w:rPr>
                <w:sz w:val="20"/>
                <w:szCs w:val="20"/>
                <w:color w:val="auto"/>
              </w:rPr>
            </w:pPr>
            <w:r>
              <w:rPr>
                <w:rFonts w:ascii="Arial" w:cs="Arial" w:eastAsia="Arial" w:hAnsi="Arial"/>
                <w:sz w:val="13"/>
                <w:szCs w:val="13"/>
                <w:color w:val="auto"/>
              </w:rPr>
              <w:t>Net cash used in financing activities</w:t>
            </w:r>
          </w:p>
        </w:tc>
        <w:tc>
          <w:tcPr>
            <w:tcW w:w="600" w:type="dxa"/>
            <w:vAlign w:val="bottom"/>
            <w:shd w:val="clear" w:color="auto" w:fill="DBDBDB"/>
          </w:tcPr>
          <w:p>
            <w:pPr>
              <w:spacing w:after="0"/>
              <w:rPr>
                <w:sz w:val="14"/>
                <w:szCs w:val="14"/>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(167,887)</w:t>
            </w:r>
          </w:p>
        </w:tc>
        <w:tc>
          <w:tcPr>
            <w:tcW w:w="80" w:type="dxa"/>
            <w:vAlign w:val="bottom"/>
            <w:shd w:val="clear" w:color="auto" w:fill="DBDBDB"/>
          </w:tcPr>
          <w:p>
            <w:pPr>
              <w:spacing w:after="0"/>
              <w:rPr>
                <w:sz w:val="14"/>
                <w:szCs w:val="14"/>
                <w:color w:val="auto"/>
              </w:rPr>
            </w:pPr>
          </w:p>
        </w:tc>
        <w:tc>
          <w:tcPr>
            <w:tcW w:w="600" w:type="dxa"/>
            <w:vAlign w:val="bottom"/>
            <w:shd w:val="clear" w:color="auto" w:fill="DBDBDB"/>
          </w:tcPr>
          <w:p>
            <w:pPr>
              <w:spacing w:after="0"/>
              <w:rPr>
                <w:sz w:val="14"/>
                <w:szCs w:val="14"/>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(158,958)</w:t>
            </w:r>
          </w:p>
        </w:tc>
        <w:tc>
          <w:tcPr>
            <w:tcW w:w="80" w:type="dxa"/>
            <w:vAlign w:val="bottom"/>
            <w:shd w:val="clear" w:color="auto" w:fill="DBDBDB"/>
          </w:tcPr>
          <w:p>
            <w:pPr>
              <w:spacing w:after="0"/>
              <w:rPr>
                <w:sz w:val="14"/>
                <w:szCs w:val="14"/>
                <w:color w:val="auto"/>
              </w:rPr>
            </w:pPr>
          </w:p>
        </w:tc>
        <w:tc>
          <w:tcPr>
            <w:tcW w:w="640" w:type="dxa"/>
            <w:vAlign w:val="bottom"/>
            <w:shd w:val="clear" w:color="auto" w:fill="DBDBDB"/>
          </w:tcPr>
          <w:p>
            <w:pPr>
              <w:spacing w:after="0"/>
              <w:rPr>
                <w:sz w:val="14"/>
                <w:szCs w:val="14"/>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(26,063)</w:t>
            </w:r>
          </w:p>
        </w:tc>
      </w:tr>
      <w:tr>
        <w:trPr>
          <w:trHeight w:val="172"/>
        </w:trPr>
        <w:tc>
          <w:tcPr>
            <w:tcW w:w="602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Effect of exchange rate changes on cash and cash equivalents</w:t>
            </w:r>
          </w:p>
        </w:tc>
        <w:tc>
          <w:tcPr>
            <w:tcW w:w="6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(206)</w:t>
            </w:r>
          </w:p>
        </w:tc>
        <w:tc>
          <w:tcPr>
            <w:tcW w:w="80" w:type="dxa"/>
            <w:vAlign w:val="bottom"/>
            <w:tcBorders>
              <w:bottom w:val="single" w:sz="8" w:color="DBDBDB"/>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1,398</w:t>
            </w:r>
          </w:p>
        </w:tc>
        <w:tc>
          <w:tcPr>
            <w:tcW w:w="80" w:type="dxa"/>
            <w:vAlign w:val="bottom"/>
            <w:tcBorders>
              <w:bottom w:val="single" w:sz="8" w:color="DBDBDB"/>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166</w:t>
            </w:r>
          </w:p>
        </w:tc>
      </w:tr>
      <w:tr>
        <w:trPr>
          <w:trHeight w:val="169"/>
        </w:trPr>
        <w:tc>
          <w:tcPr>
            <w:tcW w:w="6020" w:type="dxa"/>
            <w:vAlign w:val="bottom"/>
            <w:shd w:val="clear" w:color="auto" w:fill="DBDBDB"/>
          </w:tcPr>
          <w:p>
            <w:pPr>
              <w:ind w:left="20"/>
              <w:spacing w:after="0"/>
              <w:rPr>
                <w:sz w:val="20"/>
                <w:szCs w:val="20"/>
                <w:color w:val="auto"/>
              </w:rPr>
            </w:pPr>
            <w:r>
              <w:rPr>
                <w:rFonts w:ascii="Arial" w:cs="Arial" w:eastAsia="Arial" w:hAnsi="Arial"/>
                <w:sz w:val="13"/>
                <w:szCs w:val="13"/>
                <w:color w:val="auto"/>
              </w:rPr>
              <w:t>Net change in cash and cash equivalents</w:t>
            </w:r>
          </w:p>
        </w:tc>
        <w:tc>
          <w:tcPr>
            <w:tcW w:w="600" w:type="dxa"/>
            <w:vAlign w:val="bottom"/>
            <w:shd w:val="clear" w:color="auto" w:fill="DBDBDB"/>
          </w:tcPr>
          <w:p>
            <w:pPr>
              <w:spacing w:after="0"/>
              <w:rPr>
                <w:sz w:val="14"/>
                <w:szCs w:val="14"/>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(12,238)</w:t>
            </w:r>
          </w:p>
        </w:tc>
        <w:tc>
          <w:tcPr>
            <w:tcW w:w="80" w:type="dxa"/>
            <w:vAlign w:val="bottom"/>
            <w:shd w:val="clear" w:color="auto" w:fill="DBDBDB"/>
          </w:tcPr>
          <w:p>
            <w:pPr>
              <w:spacing w:after="0"/>
              <w:rPr>
                <w:sz w:val="14"/>
                <w:szCs w:val="14"/>
                <w:color w:val="auto"/>
              </w:rPr>
            </w:pPr>
          </w:p>
        </w:tc>
        <w:tc>
          <w:tcPr>
            <w:tcW w:w="600" w:type="dxa"/>
            <w:vAlign w:val="bottom"/>
            <w:shd w:val="clear" w:color="auto" w:fill="DBDBDB"/>
          </w:tcPr>
          <w:p>
            <w:pPr>
              <w:spacing w:after="0"/>
              <w:rPr>
                <w:sz w:val="14"/>
                <w:szCs w:val="14"/>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21,892</w:t>
            </w:r>
          </w:p>
        </w:tc>
        <w:tc>
          <w:tcPr>
            <w:tcW w:w="80" w:type="dxa"/>
            <w:vAlign w:val="bottom"/>
            <w:shd w:val="clear" w:color="auto" w:fill="DBDBDB"/>
          </w:tcPr>
          <w:p>
            <w:pPr>
              <w:spacing w:after="0"/>
              <w:rPr>
                <w:sz w:val="14"/>
                <w:szCs w:val="14"/>
                <w:color w:val="auto"/>
              </w:rPr>
            </w:pPr>
          </w:p>
        </w:tc>
        <w:tc>
          <w:tcPr>
            <w:tcW w:w="640" w:type="dxa"/>
            <w:vAlign w:val="bottom"/>
            <w:shd w:val="clear" w:color="auto" w:fill="DBDBDB"/>
          </w:tcPr>
          <w:p>
            <w:pPr>
              <w:spacing w:after="0"/>
              <w:rPr>
                <w:sz w:val="14"/>
                <w:szCs w:val="14"/>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(5,913)</w:t>
            </w:r>
          </w:p>
        </w:tc>
      </w:tr>
      <w:tr>
        <w:trPr>
          <w:trHeight w:val="172"/>
        </w:trPr>
        <w:tc>
          <w:tcPr>
            <w:tcW w:w="602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Cash and cash equivalents at the beginning of the period</w:t>
            </w:r>
          </w:p>
        </w:tc>
        <w:tc>
          <w:tcPr>
            <w:tcW w:w="6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24,937</w:t>
            </w:r>
          </w:p>
        </w:tc>
        <w:tc>
          <w:tcPr>
            <w:tcW w:w="80" w:type="dxa"/>
            <w:vAlign w:val="bottom"/>
            <w:tcBorders>
              <w:bottom w:val="single" w:sz="8" w:color="DBDBDB"/>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3,045</w:t>
            </w:r>
          </w:p>
        </w:tc>
        <w:tc>
          <w:tcPr>
            <w:tcW w:w="80" w:type="dxa"/>
            <w:vAlign w:val="bottom"/>
            <w:tcBorders>
              <w:bottom w:val="single" w:sz="8" w:color="DBDBDB"/>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8,958</w:t>
            </w:r>
          </w:p>
        </w:tc>
      </w:tr>
      <w:tr>
        <w:trPr>
          <w:trHeight w:val="189"/>
        </w:trPr>
        <w:tc>
          <w:tcPr>
            <w:tcW w:w="6020" w:type="dxa"/>
            <w:vAlign w:val="bottom"/>
            <w:shd w:val="clear" w:color="auto" w:fill="DBDBDB"/>
          </w:tcPr>
          <w:p>
            <w:pPr>
              <w:ind w:left="20"/>
              <w:spacing w:after="0"/>
              <w:rPr>
                <w:sz w:val="20"/>
                <w:szCs w:val="20"/>
                <w:color w:val="auto"/>
              </w:rPr>
            </w:pPr>
            <w:r>
              <w:rPr>
                <w:rFonts w:ascii="Arial" w:cs="Arial" w:eastAsia="Arial" w:hAnsi="Arial"/>
                <w:sz w:val="13"/>
                <w:szCs w:val="13"/>
                <w:color w:val="auto"/>
              </w:rPr>
              <w:t>Cash and cash equivalents at the end of the period</w:t>
            </w:r>
          </w:p>
        </w:tc>
        <w:tc>
          <w:tcPr>
            <w:tcW w:w="600" w:type="dxa"/>
            <w:vAlign w:val="bottom"/>
            <w:shd w:val="clear" w:color="auto" w:fill="DBDBDB"/>
          </w:tcPr>
          <w:p>
            <w:pPr>
              <w:jc w:val="right"/>
              <w:ind w:right="434"/>
              <w:spacing w:after="0"/>
              <w:rPr>
                <w:sz w:val="20"/>
                <w:szCs w:val="20"/>
                <w:color w:val="auto"/>
              </w:rPr>
            </w:pPr>
            <w:r>
              <w:rPr>
                <w:rFonts w:ascii="Arial" w:cs="Arial" w:eastAsia="Arial" w:hAnsi="Arial"/>
                <w:sz w:val="13"/>
                <w:szCs w:val="13"/>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12,699</w:t>
            </w:r>
          </w:p>
        </w:tc>
        <w:tc>
          <w:tcPr>
            <w:tcW w:w="80" w:type="dxa"/>
            <w:vAlign w:val="bottom"/>
            <w:shd w:val="clear" w:color="auto" w:fill="DBDBDB"/>
          </w:tcPr>
          <w:p>
            <w:pPr>
              <w:spacing w:after="0"/>
              <w:rPr>
                <w:sz w:val="16"/>
                <w:szCs w:val="16"/>
                <w:color w:val="auto"/>
              </w:rPr>
            </w:pPr>
          </w:p>
        </w:tc>
        <w:tc>
          <w:tcPr>
            <w:tcW w:w="600" w:type="dxa"/>
            <w:vAlign w:val="bottom"/>
            <w:shd w:val="clear" w:color="auto" w:fill="DBDBDB"/>
          </w:tcPr>
          <w:p>
            <w:pPr>
              <w:jc w:val="right"/>
              <w:ind w:right="434"/>
              <w:spacing w:after="0"/>
              <w:rPr>
                <w:sz w:val="20"/>
                <w:szCs w:val="20"/>
                <w:color w:val="auto"/>
              </w:rPr>
            </w:pPr>
            <w:r>
              <w:rPr>
                <w:rFonts w:ascii="Arial" w:cs="Arial" w:eastAsia="Arial" w:hAnsi="Arial"/>
                <w:sz w:val="13"/>
                <w:szCs w:val="13"/>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24,937</w:t>
            </w:r>
          </w:p>
        </w:tc>
        <w:tc>
          <w:tcPr>
            <w:tcW w:w="720" w:type="dxa"/>
            <w:vAlign w:val="bottom"/>
            <w:gridSpan w:val="2"/>
            <w:shd w:val="clear" w:color="auto" w:fill="DBDBDB"/>
          </w:tcPr>
          <w:p>
            <w:pPr>
              <w:jc w:val="right"/>
              <w:ind w:right="540"/>
              <w:spacing w:after="0"/>
              <w:rPr>
                <w:sz w:val="20"/>
                <w:szCs w:val="20"/>
                <w:color w:val="auto"/>
              </w:rPr>
            </w:pPr>
            <w:r>
              <w:rPr>
                <w:rFonts w:ascii="Arial" w:cs="Arial" w:eastAsia="Arial" w:hAnsi="Arial"/>
                <w:sz w:val="13"/>
                <w:szCs w:val="13"/>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3,045</w:t>
            </w:r>
          </w:p>
        </w:tc>
      </w:tr>
      <w:tr>
        <w:trPr>
          <w:trHeight w:val="20"/>
        </w:trPr>
        <w:tc>
          <w:tcPr>
            <w:tcW w:w="6020" w:type="dxa"/>
            <w:vAlign w:val="bottom"/>
            <w:tcBorders>
              <w:top w:val="single" w:sz="8" w:color="DBDBDB"/>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49"/>
        </w:trPr>
        <w:tc>
          <w:tcPr>
            <w:tcW w:w="6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75"/>
        </w:trPr>
        <w:tc>
          <w:tcPr>
            <w:tcW w:w="6020" w:type="dxa"/>
            <w:vAlign w:val="bottom"/>
            <w:shd w:val="clear" w:color="auto" w:fill="DBDBDB"/>
          </w:tcPr>
          <w:p>
            <w:pPr>
              <w:ind w:left="20"/>
              <w:spacing w:after="0"/>
              <w:rPr>
                <w:sz w:val="20"/>
                <w:szCs w:val="20"/>
                <w:color w:val="auto"/>
              </w:rPr>
            </w:pPr>
            <w:r>
              <w:rPr>
                <w:rFonts w:ascii="Arial" w:cs="Arial" w:eastAsia="Arial" w:hAnsi="Arial"/>
                <w:sz w:val="13"/>
                <w:szCs w:val="13"/>
                <w:color w:val="auto"/>
              </w:rPr>
              <w:t>Supplemental cash flow information:</w:t>
            </w:r>
          </w:p>
        </w:tc>
        <w:tc>
          <w:tcPr>
            <w:tcW w:w="60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60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64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r>
      <w:tr>
        <w:trPr>
          <w:trHeight w:val="175"/>
        </w:trPr>
        <w:tc>
          <w:tcPr>
            <w:tcW w:w="6020" w:type="dxa"/>
            <w:vAlign w:val="bottom"/>
          </w:tcPr>
          <w:p>
            <w:pPr>
              <w:ind w:left="280"/>
              <w:spacing w:after="0" w:line="175" w:lineRule="exact"/>
              <w:rPr>
                <w:sz w:val="20"/>
                <w:szCs w:val="20"/>
                <w:color w:val="auto"/>
              </w:rPr>
            </w:pPr>
            <w:r>
              <w:rPr>
                <w:rFonts w:ascii="Arial" w:cs="Arial" w:eastAsia="Arial" w:hAnsi="Arial"/>
                <w:sz w:val="13"/>
                <w:szCs w:val="13"/>
                <w:color w:val="auto"/>
              </w:rPr>
              <w:t xml:space="preserve">Interest paid </w:t>
            </w:r>
            <w:r>
              <w:rPr>
                <w:rFonts w:ascii="Arial" w:cs="Arial" w:eastAsia="Arial" w:hAnsi="Arial"/>
                <w:sz w:val="17"/>
                <w:szCs w:val="17"/>
                <w:color w:val="auto"/>
                <w:vertAlign w:val="superscript"/>
              </w:rPr>
              <w:t>1</w:t>
            </w:r>
          </w:p>
        </w:tc>
        <w:tc>
          <w:tcPr>
            <w:tcW w:w="600" w:type="dxa"/>
            <w:vAlign w:val="bottom"/>
          </w:tcPr>
          <w:p>
            <w:pPr>
              <w:jc w:val="right"/>
              <w:ind w:right="434"/>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103,795</w:t>
            </w:r>
          </w:p>
        </w:tc>
        <w:tc>
          <w:tcPr>
            <w:tcW w:w="80" w:type="dxa"/>
            <w:vAlign w:val="bottom"/>
          </w:tcPr>
          <w:p>
            <w:pPr>
              <w:spacing w:after="0"/>
              <w:rPr>
                <w:sz w:val="15"/>
                <w:szCs w:val="15"/>
                <w:color w:val="auto"/>
              </w:rPr>
            </w:pPr>
          </w:p>
        </w:tc>
        <w:tc>
          <w:tcPr>
            <w:tcW w:w="600" w:type="dxa"/>
            <w:vAlign w:val="bottom"/>
          </w:tcPr>
          <w:p>
            <w:pPr>
              <w:jc w:val="right"/>
              <w:ind w:right="434"/>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118,519</w:t>
            </w:r>
          </w:p>
        </w:tc>
        <w:tc>
          <w:tcPr>
            <w:tcW w:w="720" w:type="dxa"/>
            <w:vAlign w:val="bottom"/>
            <w:gridSpan w:val="2"/>
          </w:tcPr>
          <w:p>
            <w:pPr>
              <w:jc w:val="right"/>
              <w:ind w:right="54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118,726</w:t>
            </w:r>
          </w:p>
        </w:tc>
      </w:tr>
      <w:tr>
        <w:trPr>
          <w:trHeight w:val="175"/>
        </w:trPr>
        <w:tc>
          <w:tcPr>
            <w:tcW w:w="6020" w:type="dxa"/>
            <w:vAlign w:val="bottom"/>
            <w:shd w:val="clear" w:color="auto" w:fill="DBDBDB"/>
          </w:tcPr>
          <w:p>
            <w:pPr>
              <w:ind w:left="280"/>
              <w:spacing w:after="0"/>
              <w:rPr>
                <w:sz w:val="20"/>
                <w:szCs w:val="20"/>
                <w:color w:val="auto"/>
              </w:rPr>
            </w:pPr>
            <w:r>
              <w:rPr>
                <w:rFonts w:ascii="Arial" w:cs="Arial" w:eastAsia="Arial" w:hAnsi="Arial"/>
                <w:sz w:val="13"/>
                <w:szCs w:val="13"/>
                <w:color w:val="auto"/>
              </w:rPr>
              <w:t>Income taxes paid (refunded), net</w:t>
            </w:r>
          </w:p>
        </w:tc>
        <w:tc>
          <w:tcPr>
            <w:tcW w:w="600" w:type="dxa"/>
            <w:vAlign w:val="bottom"/>
            <w:shd w:val="clear" w:color="auto" w:fill="DBDBDB"/>
          </w:tcPr>
          <w:p>
            <w:pPr>
              <w:jc w:val="right"/>
              <w:ind w:right="434"/>
              <w:spacing w:after="0"/>
              <w:rPr>
                <w:sz w:val="20"/>
                <w:szCs w:val="20"/>
                <w:color w:val="auto"/>
              </w:rPr>
            </w:pPr>
            <w:r>
              <w:rPr>
                <w:rFonts w:ascii="Arial" w:cs="Arial" w:eastAsia="Arial" w:hAnsi="Arial"/>
                <w:sz w:val="13"/>
                <w:szCs w:val="13"/>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9,855</w:t>
            </w:r>
          </w:p>
        </w:tc>
        <w:tc>
          <w:tcPr>
            <w:tcW w:w="80" w:type="dxa"/>
            <w:vAlign w:val="bottom"/>
            <w:shd w:val="clear" w:color="auto" w:fill="DBDBDB"/>
          </w:tcPr>
          <w:p>
            <w:pPr>
              <w:spacing w:after="0"/>
              <w:rPr>
                <w:sz w:val="15"/>
                <w:szCs w:val="15"/>
                <w:color w:val="auto"/>
              </w:rPr>
            </w:pPr>
          </w:p>
        </w:tc>
        <w:tc>
          <w:tcPr>
            <w:tcW w:w="600" w:type="dxa"/>
            <w:vAlign w:val="bottom"/>
            <w:shd w:val="clear" w:color="auto" w:fill="DBDBDB"/>
          </w:tcPr>
          <w:p>
            <w:pPr>
              <w:jc w:val="right"/>
              <w:ind w:right="434"/>
              <w:spacing w:after="0"/>
              <w:rPr>
                <w:sz w:val="20"/>
                <w:szCs w:val="20"/>
                <w:color w:val="auto"/>
              </w:rPr>
            </w:pPr>
            <w:r>
              <w:rPr>
                <w:rFonts w:ascii="Arial" w:cs="Arial" w:eastAsia="Arial" w:hAnsi="Arial"/>
                <w:sz w:val="13"/>
                <w:szCs w:val="13"/>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4,234</w:t>
            </w:r>
          </w:p>
        </w:tc>
        <w:tc>
          <w:tcPr>
            <w:tcW w:w="720" w:type="dxa"/>
            <w:vAlign w:val="bottom"/>
            <w:gridSpan w:val="2"/>
            <w:shd w:val="clear" w:color="auto" w:fill="DBDBDB"/>
          </w:tcPr>
          <w:p>
            <w:pPr>
              <w:jc w:val="right"/>
              <w:ind w:right="540"/>
              <w:spacing w:after="0"/>
              <w:rPr>
                <w:sz w:val="20"/>
                <w:szCs w:val="20"/>
                <w:color w:val="auto"/>
              </w:rPr>
            </w:pPr>
            <w:r>
              <w:rPr>
                <w:rFonts w:ascii="Arial" w:cs="Arial" w:eastAsia="Arial" w:hAnsi="Arial"/>
                <w:sz w:val="13"/>
                <w:szCs w:val="13"/>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(1,148)</w:t>
            </w:r>
          </w:p>
        </w:tc>
      </w:tr>
      <w:tr>
        <w:trPr>
          <w:trHeight w:val="169"/>
        </w:trPr>
        <w:tc>
          <w:tcPr>
            <w:tcW w:w="6020" w:type="dxa"/>
            <w:vAlign w:val="bottom"/>
          </w:tcPr>
          <w:p>
            <w:pPr>
              <w:ind w:left="280"/>
              <w:spacing w:after="0"/>
              <w:rPr>
                <w:sz w:val="20"/>
                <w:szCs w:val="20"/>
                <w:color w:val="auto"/>
              </w:rPr>
            </w:pPr>
            <w:r>
              <w:rPr>
                <w:rFonts w:ascii="Arial" w:cs="Arial" w:eastAsia="Arial" w:hAnsi="Arial"/>
                <w:sz w:val="13"/>
                <w:szCs w:val="13"/>
                <w:color w:val="auto"/>
              </w:rPr>
              <w:t>Capital expenditures accrued or payable</w:t>
            </w:r>
          </w:p>
        </w:tc>
        <w:tc>
          <w:tcPr>
            <w:tcW w:w="600" w:type="dxa"/>
            <w:vAlign w:val="bottom"/>
          </w:tcPr>
          <w:p>
            <w:pPr>
              <w:jc w:val="right"/>
              <w:ind w:right="434"/>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27,667</w:t>
            </w:r>
          </w:p>
        </w:tc>
        <w:tc>
          <w:tcPr>
            <w:tcW w:w="80" w:type="dxa"/>
            <w:vAlign w:val="bottom"/>
          </w:tcPr>
          <w:p>
            <w:pPr>
              <w:spacing w:after="0"/>
              <w:rPr>
                <w:sz w:val="14"/>
                <w:szCs w:val="14"/>
                <w:color w:val="auto"/>
              </w:rPr>
            </w:pPr>
          </w:p>
        </w:tc>
        <w:tc>
          <w:tcPr>
            <w:tcW w:w="600" w:type="dxa"/>
            <w:vAlign w:val="bottom"/>
          </w:tcPr>
          <w:p>
            <w:pPr>
              <w:jc w:val="right"/>
              <w:ind w:right="434"/>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23,553</w:t>
            </w:r>
          </w:p>
        </w:tc>
        <w:tc>
          <w:tcPr>
            <w:tcW w:w="720" w:type="dxa"/>
            <w:vAlign w:val="bottom"/>
            <w:gridSpan w:val="2"/>
          </w:tcPr>
          <w:p>
            <w:pPr>
              <w:jc w:val="right"/>
              <w:ind w:right="54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23,946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58355" cy="1320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355" cy="132080"/>
                    </a:xfrm>
                    <a:prstGeom prst="rect">
                      <a:avLst/>
                    </a:prstGeom>
                    <a:noFill/>
                  </pic:spPr>
                </pic:pic>
              </a:graphicData>
            </a:graphic>
          </wp:anchor>
        </w:drawing>
      </w:r>
    </w:p>
    <w:p>
      <w:pPr>
        <w:spacing w:after="0" w:line="152" w:lineRule="exact"/>
        <w:rPr>
          <w:sz w:val="20"/>
          <w:szCs w:val="20"/>
          <w:color w:val="auto"/>
        </w:rPr>
      </w:pPr>
    </w:p>
    <w:p>
      <w:pPr>
        <w:ind w:left="100" w:hanging="78"/>
        <w:spacing w:after="0"/>
        <w:tabs>
          <w:tab w:leader="none" w:pos="100" w:val="left"/>
        </w:tabs>
        <w:numPr>
          <w:ilvl w:val="0"/>
          <w:numId w:val="26"/>
        </w:numPr>
        <w:rPr>
          <w:rFonts w:ascii="Arial" w:cs="Arial" w:eastAsia="Arial" w:hAnsi="Arial"/>
          <w:sz w:val="17"/>
          <w:szCs w:val="17"/>
          <w:color w:val="auto"/>
          <w:vertAlign w:val="superscript"/>
        </w:rPr>
      </w:pPr>
      <w:r>
        <w:rPr>
          <w:rFonts w:ascii="Arial" w:cs="Arial" w:eastAsia="Arial" w:hAnsi="Arial"/>
          <w:sz w:val="12"/>
          <w:szCs w:val="12"/>
          <w:color w:val="auto"/>
        </w:rPr>
        <w:t>Includes $11,992, $9,779 and $3,143 of payments related to the interest rate swap for the years ended December 31, 2021, 2020 and 2019, respectively.</w:t>
      </w:r>
    </w:p>
    <w:p>
      <w:pPr>
        <w:spacing w:after="0" w:line="115" w:lineRule="exact"/>
        <w:rPr>
          <w:rFonts w:ascii="Arial" w:cs="Arial" w:eastAsia="Arial" w:hAnsi="Arial"/>
          <w:sz w:val="17"/>
          <w:szCs w:val="17"/>
          <w:color w:val="auto"/>
          <w:vertAlign w:val="superscript"/>
        </w:rPr>
      </w:pPr>
    </w:p>
    <w:p>
      <w:pPr>
        <w:ind w:left="3420"/>
        <w:spacing w:after="0"/>
        <w:rPr>
          <w:rFonts w:ascii="Arial" w:cs="Arial" w:eastAsia="Arial" w:hAnsi="Arial"/>
          <w:sz w:val="17"/>
          <w:szCs w:val="17"/>
          <w:color w:val="auto"/>
          <w:vertAlign w:val="superscript"/>
        </w:rPr>
      </w:pPr>
      <w:r>
        <w:rPr>
          <w:rFonts w:ascii="Arial" w:cs="Arial" w:eastAsia="Arial" w:hAnsi="Arial"/>
          <w:sz w:val="10"/>
          <w:szCs w:val="10"/>
          <w:i w:val="1"/>
          <w:iCs w:val="1"/>
          <w:color w:val="auto"/>
        </w:rPr>
        <w:t>See the accompanying notes which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48" w:right="319" w:bottom="1440" w:gutter="0" w:footer="0" w:header="0"/>
        </w:sectPr>
      </w:pPr>
    </w:p>
    <w:bookmarkStart w:id="77" w:name="page78"/>
    <w:bookmarkEnd w:id="77"/>
    <w:p>
      <w:pPr>
        <w:jc w:val="center"/>
        <w:spacing w:after="0"/>
        <w:rPr>
          <w:sz w:val="20"/>
          <w:szCs w:val="20"/>
          <w:color w:val="auto"/>
        </w:rPr>
      </w:pPr>
      <w:r>
        <w:rPr>
          <w:rFonts w:ascii="Arial" w:cs="Arial" w:eastAsia="Arial" w:hAnsi="Arial"/>
          <w:sz w:val="19"/>
          <w:szCs w:val="19"/>
          <w:color w:val="1D2758"/>
        </w:rPr>
        <w:t>WillScot Mobile Mini Holdings Corp.</w:t>
      </w:r>
    </w:p>
    <w:p>
      <w:pPr>
        <w:jc w:val="center"/>
        <w:spacing w:after="0"/>
        <w:rPr>
          <w:sz w:val="20"/>
          <w:szCs w:val="20"/>
          <w:color w:val="auto"/>
        </w:rPr>
      </w:pPr>
      <w:r>
        <w:rPr>
          <w:rFonts w:ascii="Arial" w:cs="Arial" w:eastAsia="Arial" w:hAnsi="Arial"/>
          <w:sz w:val="19"/>
          <w:szCs w:val="19"/>
          <w:color w:val="1D2758"/>
        </w:rPr>
        <w:t>Notes to the Consolidated Financial Statements</w:t>
      </w:r>
    </w:p>
    <w:p>
      <w:pPr>
        <w:spacing w:after="0" w:line="76" w:lineRule="exact"/>
        <w:rPr>
          <w:sz w:val="20"/>
          <w:szCs w:val="20"/>
          <w:color w:val="auto"/>
        </w:rPr>
      </w:pPr>
    </w:p>
    <w:p>
      <w:pPr>
        <w:spacing w:after="0"/>
        <w:rPr>
          <w:sz w:val="20"/>
          <w:szCs w:val="20"/>
          <w:color w:val="auto"/>
        </w:rPr>
      </w:pPr>
      <w:r>
        <w:rPr>
          <w:rFonts w:ascii="Arial" w:cs="Arial" w:eastAsia="Arial" w:hAnsi="Arial"/>
          <w:sz w:val="19"/>
          <w:szCs w:val="19"/>
          <w:color w:val="1D2758"/>
        </w:rPr>
        <w:t>NOTE 1 - Summary of Significant Accounting Policies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Organization and Nature of Operations</w:t>
      </w:r>
    </w:p>
    <w:p>
      <w:pPr>
        <w:spacing w:after="0" w:line="66"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WillScot Mobile Mini Holdings Corp. (“WillScot Mobile Mini” and, together with its subsidiaries, the “Company”) is a leading business services provider specializing in innovative flexible work space and portable storage solutions in the United States (“US”), Canada, Mexico and the United Kingdom ("UK"). The Company also maintains a fleet of specialty containment products, including liquid and solid containment solutions. The Company leases, sells, delivers and installs mobile solutions and storage products through an integrated network of branch locations that spans North America and the UK.</w:t>
      </w:r>
    </w:p>
    <w:p>
      <w:pPr>
        <w:spacing w:after="0" w:line="35" w:lineRule="exact"/>
        <w:rPr>
          <w:sz w:val="20"/>
          <w:szCs w:val="20"/>
          <w:color w:val="auto"/>
        </w:rPr>
      </w:pPr>
    </w:p>
    <w:p>
      <w:pPr>
        <w:jc w:val="both"/>
        <w:ind w:firstLine="524"/>
        <w:spacing w:after="0" w:line="246" w:lineRule="auto"/>
        <w:rPr>
          <w:sz w:val="20"/>
          <w:szCs w:val="20"/>
          <w:color w:val="auto"/>
        </w:rPr>
      </w:pPr>
      <w:r>
        <w:rPr>
          <w:rFonts w:ascii="Arial" w:cs="Arial" w:eastAsia="Arial" w:hAnsi="Arial"/>
          <w:sz w:val="13"/>
          <w:szCs w:val="13"/>
          <w:color w:val="auto"/>
        </w:rPr>
        <w:t>WillScot Corporation, a Delaware corporation (“WillScot”), entered into an Agreement and Plan of Merger, dated as of March 1, 2020, as amended on May 28, 2020 (as so amended, the “Merger Agreement”), by and among WillScot, Mobile Mini, Inc. (“Mobile Mini”), and Picasso Merger Sub, Inc., a wholly-owned subsidiary of WillScot (“Merger Sub”). On July 1, 2020, Merger Sub merged with and into Mobile Mini (the “Merger”). At the effective time of the Merger, the separate corporate existence of Merger Sub ceased, and Mobile Mini continued its existence as the surviving corporation in the Merger and a wholly-owned subsidiary of WillScot. As a result of the Merger, each issued and outstanding share of Mobile Mini Common Stock, par value $0.01 per share (other than treasury shares held by Mobile Mini), was converted automatically into the right to receive 2.405 shares of WillScot’s Class A Common Stock, par value $0.0001 per share (the “WillScot Class A Common Stock”), and cash in lieu of any fractional shares. Immediately following the Merger, WillScot changed its name to “WillScot Mobile Mini Holdings Corp.” and filed an amended and restated certificate of incorporation (the “A&amp;R Charter”), which reclassified all outstanding shares of WillScot Class A Common Stock and converted such shares into shares of Common Stock, par value $0.0001 per share, of WillScot Mobile Mini (“WillScot Mobile Mini Common Stock”). The WillScot Class A Common Stock was listed on the Nasdaq Capital Market (Nasdaq: WSC) up until the Merger, and the WillScot Mobile Mini Common Stock has been listed on the Nasdaq Capital Market (Nasdaq: WSC) since the Merger. As used herein, the term “Common Stock” or “the Company’s Common Stock” refers to WillScot Class A Common Stock prior to filing of the A&amp;R Charter on July 1, 2020 and to WillScot Mobile Mini Common Stock as of and following the filing of the A&amp;R Charter on July 1, 2020.</w:t>
      </w:r>
    </w:p>
    <w:p>
      <w:pPr>
        <w:spacing w:after="0" w:line="40"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As the Merger closed on July 1, 2020 the preparation of financial statements in accordance with US Generally Accepted Accounting Principles (“GAAP”) requires that our consolidated financial statements and most of the disclosures in these Notes be presented on a historical basis. Unless the context otherwise requires, the terms “Company” and “WillScot Mobile Mini” as used in these financial statements mean WillScot and its subsidiaries when referring to periods prior to July 1, 2020 (prior to the Merger) and to WillScot Mobile Mini, when referring to periods on or after July 1, 2020 (after the Merger).</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of Presentation</w:t>
      </w:r>
    </w:p>
    <w:p>
      <w:pPr>
        <w:spacing w:after="0" w:line="66"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consolidated financial statements were prepared in conformity with GAAP.</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Principles of Consolidation</w:t>
      </w:r>
    </w:p>
    <w:p>
      <w:pPr>
        <w:spacing w:after="0" w:line="66"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consolidated financial statements comprise the financial statements of WillScot Mobile Mini and its subsidiaries that it controls due to ownership of a majority voting interest.</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Subsidiaries are fully consolidated from the date of acquisition, being the date on which the Company obtains control, and continue to be consolidated until the date when such control ceases.</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The financial statements of the subsidiaries are prepared for the same reporting period as WillScot Mobile Mini. All intercompany balances and transactions are eliminated.</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Reclassifications</w:t>
      </w:r>
    </w:p>
    <w:p>
      <w:pPr>
        <w:spacing w:after="0" w:line="66" w:lineRule="exact"/>
        <w:rPr>
          <w:sz w:val="20"/>
          <w:szCs w:val="20"/>
          <w:color w:val="auto"/>
        </w:rPr>
      </w:pPr>
    </w:p>
    <w:p>
      <w:pPr>
        <w:ind w:left="540"/>
        <w:spacing w:after="0"/>
        <w:rPr>
          <w:sz w:val="20"/>
          <w:szCs w:val="20"/>
          <w:color w:val="auto"/>
        </w:rPr>
      </w:pPr>
      <w:r>
        <w:rPr>
          <w:rFonts w:ascii="Arial" w:cs="Arial" w:eastAsia="Arial" w:hAnsi="Arial"/>
          <w:sz w:val="13"/>
          <w:szCs w:val="13"/>
          <w:color w:val="auto"/>
        </w:rPr>
        <w:t>Certain reclassifications have been made to prior year financial statements to conform to the current year presentation.</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Accounting Estimates</w:t>
      </w:r>
    </w:p>
    <w:p>
      <w:pPr>
        <w:spacing w:after="0" w:line="66"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The preparation of financial statements in conformity with GAAP requires management to make estimates and assumptions that affect the amounts reported in these consolidated financial statements and accompanying notes. Actual results could differ from those estimates.</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Cash and Cash Equivalents</w:t>
      </w:r>
    </w:p>
    <w:p>
      <w:pPr>
        <w:spacing w:after="0" w:line="66"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Company considers all highly liquid instruments with a maturity of three months or less when purchased to be cash equivalents.</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Trade Receivables and Allowance for Credit Losses</w:t>
      </w:r>
    </w:p>
    <w:p>
      <w:pPr>
        <w:spacing w:after="0" w:line="66" w:lineRule="exact"/>
        <w:rPr>
          <w:sz w:val="20"/>
          <w:szCs w:val="20"/>
          <w:color w:val="auto"/>
        </w:rPr>
      </w:pPr>
    </w:p>
    <w:p>
      <w:pPr>
        <w:jc w:val="both"/>
        <w:ind w:right="20" w:firstLine="524"/>
        <w:spacing w:after="0" w:line="256" w:lineRule="auto"/>
        <w:rPr>
          <w:sz w:val="20"/>
          <w:szCs w:val="20"/>
          <w:color w:val="auto"/>
        </w:rPr>
      </w:pPr>
      <w:r>
        <w:rPr>
          <w:rFonts w:ascii="Arial" w:cs="Arial" w:eastAsia="Arial" w:hAnsi="Arial"/>
          <w:sz w:val="13"/>
          <w:szCs w:val="13"/>
          <w:color w:val="auto"/>
        </w:rPr>
        <w:t>The Company is exposed to credit losses from trade receivables. The Company assesses each customer’s ability to pay for the products it leases or sells by conducting a credit review. The credit review considers expected billing exposure and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68" w:right="319" w:bottom="1440" w:gutter="0" w:footer="0" w:header="0"/>
        </w:sectPr>
      </w:pPr>
    </w:p>
    <w:bookmarkStart w:id="78" w:name="page79"/>
    <w:bookmarkEnd w:id="78"/>
    <w:p>
      <w:pPr>
        <w:jc w:val="both"/>
        <w:spacing w:after="0" w:line="256" w:lineRule="auto"/>
        <w:rPr>
          <w:sz w:val="20"/>
          <w:szCs w:val="20"/>
          <w:color w:val="auto"/>
        </w:rPr>
      </w:pPr>
      <w:r>
        <w:rPr>
          <w:rFonts w:ascii="Arial" w:cs="Arial" w:eastAsia="Arial" w:hAnsi="Arial"/>
          <w:sz w:val="13"/>
          <w:szCs w:val="13"/>
          <w:color w:val="auto"/>
        </w:rPr>
        <w:t>timing for payment and the customer’s established credit rating. The Company performs its credit review of new customers at inception of the customer relationship and for existing customers when the customer transacts after a defined period of dormancy. The Company also considers contract terms and conditions, country risk and business strategy in the evaluation.</w:t>
      </w:r>
    </w:p>
    <w:p>
      <w:pPr>
        <w:spacing w:after="0" w:line="31"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The Company monitors ongoing credit exposure through an active review of customer balances against contract terms and due dates. The Company may employ collection agencies and legal counsel to pursue recovery of defaulted receivables. The allowances for credit losses reflect the estimate of the amount of receivables that the Company will be unable to collect based on historical write-off experience and, as applicable, current conditions and reasonable and supportable forecasts that affect collectability. This estimate is sensitive to changing circumstances, including changes in the economy or in the particular circumstances of individual customers. Accordingly, the Company may be required to increase or decrease its allowances.</w:t>
      </w:r>
    </w:p>
    <w:p>
      <w:pPr>
        <w:spacing w:after="0" w:line="21" w:lineRule="exact"/>
        <w:rPr>
          <w:sz w:val="20"/>
          <w:szCs w:val="20"/>
          <w:color w:val="auto"/>
        </w:rPr>
      </w:pPr>
    </w:p>
    <w:p>
      <w:pPr>
        <w:jc w:val="both"/>
        <w:ind w:firstLine="524"/>
        <w:spacing w:after="0" w:line="262" w:lineRule="auto"/>
        <w:rPr>
          <w:sz w:val="20"/>
          <w:szCs w:val="20"/>
          <w:color w:val="auto"/>
        </w:rPr>
      </w:pPr>
      <w:r>
        <w:rPr>
          <w:rFonts w:ascii="Arial" w:cs="Arial" w:eastAsia="Arial" w:hAnsi="Arial"/>
          <w:sz w:val="13"/>
          <w:szCs w:val="13"/>
          <w:color w:val="auto"/>
        </w:rPr>
        <w:t xml:space="preserve">In accordance with the adoption of ASC 842, effective January 1, 2019, and the adoption of ASU 2016-13, </w:t>
      </w:r>
      <w:r>
        <w:rPr>
          <w:rFonts w:ascii="Arial" w:cs="Arial" w:eastAsia="Arial" w:hAnsi="Arial"/>
          <w:sz w:val="13"/>
          <w:szCs w:val="13"/>
          <w:i w:val="1"/>
          <w:iCs w:val="1"/>
          <w:color w:val="auto"/>
        </w:rPr>
        <w:t>Financial Instruments - Credit Losses (Topic 326)</w:t>
      </w:r>
      <w:r>
        <w:rPr>
          <w:rFonts w:ascii="Arial" w:cs="Arial" w:eastAsia="Arial" w:hAnsi="Arial"/>
          <w:sz w:val="13"/>
          <w:szCs w:val="13"/>
          <w:color w:val="auto"/>
        </w:rPr>
        <w:t xml:space="preserve"> ("ASC 326"), effective January 1, 2020, specifically identifiable lease revenue receivables and sales receivables not deemed probable of collection are recorded as a reduction of revenue. The remaining provision for credit losses is recorded as selling, general and administrative expenses.</w:t>
      </w:r>
    </w:p>
    <w:p>
      <w:pPr>
        <w:spacing w:after="0" w:line="27" w:lineRule="exact"/>
        <w:rPr>
          <w:sz w:val="20"/>
          <w:szCs w:val="20"/>
          <w:color w:val="auto"/>
        </w:rPr>
      </w:pPr>
    </w:p>
    <w:p>
      <w:pPr>
        <w:ind w:left="540"/>
        <w:spacing w:after="0"/>
        <w:rPr>
          <w:sz w:val="20"/>
          <w:szCs w:val="20"/>
          <w:color w:val="auto"/>
        </w:rPr>
      </w:pPr>
      <w:r>
        <w:rPr>
          <w:rFonts w:ascii="Arial" w:cs="Arial" w:eastAsia="Arial" w:hAnsi="Arial"/>
          <w:sz w:val="13"/>
          <w:szCs w:val="13"/>
          <w:color w:val="auto"/>
        </w:rPr>
        <w:t>Activity in the allowance for credit losses for the years ended December 31 was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2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400" w:type="dxa"/>
            <w:vAlign w:val="bottom"/>
            <w:shd w:val="clear" w:color="auto" w:fill="1D2758"/>
          </w:tcPr>
          <w:p>
            <w:pPr>
              <w:spacing w:after="0"/>
              <w:rPr>
                <w:sz w:val="15"/>
                <w:szCs w:val="15"/>
                <w:color w:val="auto"/>
              </w:rPr>
            </w:pPr>
          </w:p>
        </w:tc>
        <w:tc>
          <w:tcPr>
            <w:tcW w:w="1300" w:type="dxa"/>
            <w:vAlign w:val="bottom"/>
            <w:shd w:val="clear" w:color="auto" w:fill="1D2758"/>
          </w:tcPr>
          <w:p>
            <w:pPr>
              <w:jc w:val="right"/>
              <w:ind w:right="634"/>
              <w:spacing w:after="0"/>
              <w:rPr>
                <w:sz w:val="20"/>
                <w:szCs w:val="20"/>
                <w:color w:val="auto"/>
              </w:rPr>
            </w:pPr>
            <w:r>
              <w:rPr>
                <w:rFonts w:ascii="Arial" w:cs="Arial" w:eastAsia="Arial" w:hAnsi="Arial"/>
                <w:sz w:val="13"/>
                <w:szCs w:val="13"/>
                <w:b w:val="1"/>
                <w:bCs w:val="1"/>
                <w:color w:val="FFFFFF"/>
              </w:rPr>
              <w:t>2021</w:t>
            </w:r>
          </w:p>
        </w:tc>
        <w:tc>
          <w:tcPr>
            <w:tcW w:w="80" w:type="dxa"/>
            <w:vAlign w:val="bottom"/>
            <w:shd w:val="clear" w:color="auto" w:fill="1D2758"/>
          </w:tcPr>
          <w:p>
            <w:pPr>
              <w:spacing w:after="0"/>
              <w:rPr>
                <w:sz w:val="15"/>
                <w:szCs w:val="15"/>
                <w:color w:val="auto"/>
              </w:rPr>
            </w:pPr>
          </w:p>
        </w:tc>
        <w:tc>
          <w:tcPr>
            <w:tcW w:w="400" w:type="dxa"/>
            <w:vAlign w:val="bottom"/>
            <w:shd w:val="clear" w:color="auto" w:fill="1D2758"/>
          </w:tcPr>
          <w:p>
            <w:pPr>
              <w:spacing w:after="0"/>
              <w:rPr>
                <w:sz w:val="15"/>
                <w:szCs w:val="15"/>
                <w:color w:val="auto"/>
              </w:rPr>
            </w:pPr>
          </w:p>
        </w:tc>
        <w:tc>
          <w:tcPr>
            <w:tcW w:w="1300" w:type="dxa"/>
            <w:vAlign w:val="bottom"/>
            <w:shd w:val="clear" w:color="auto" w:fill="1D2758"/>
          </w:tcPr>
          <w:p>
            <w:pPr>
              <w:jc w:val="right"/>
              <w:ind w:right="634"/>
              <w:spacing w:after="0"/>
              <w:rPr>
                <w:sz w:val="20"/>
                <w:szCs w:val="20"/>
                <w:color w:val="auto"/>
              </w:rPr>
            </w:pPr>
            <w:r>
              <w:rPr>
                <w:rFonts w:ascii="Arial" w:cs="Arial" w:eastAsia="Arial" w:hAnsi="Arial"/>
                <w:sz w:val="13"/>
                <w:szCs w:val="13"/>
                <w:b w:val="1"/>
                <w:bCs w:val="1"/>
                <w:color w:val="FFFFFF"/>
              </w:rPr>
              <w:t>2020</w:t>
            </w:r>
          </w:p>
        </w:tc>
        <w:tc>
          <w:tcPr>
            <w:tcW w:w="80" w:type="dxa"/>
            <w:vAlign w:val="bottom"/>
            <w:shd w:val="clear" w:color="auto" w:fill="1D2758"/>
          </w:tcPr>
          <w:p>
            <w:pPr>
              <w:spacing w:after="0"/>
              <w:rPr>
                <w:sz w:val="15"/>
                <w:szCs w:val="15"/>
                <w:color w:val="auto"/>
              </w:rPr>
            </w:pPr>
          </w:p>
        </w:tc>
        <w:tc>
          <w:tcPr>
            <w:tcW w:w="400" w:type="dxa"/>
            <w:vAlign w:val="bottom"/>
            <w:shd w:val="clear" w:color="auto" w:fill="1D2758"/>
          </w:tcPr>
          <w:p>
            <w:pPr>
              <w:spacing w:after="0"/>
              <w:rPr>
                <w:sz w:val="15"/>
                <w:szCs w:val="15"/>
                <w:color w:val="auto"/>
              </w:rPr>
            </w:pPr>
          </w:p>
        </w:tc>
        <w:tc>
          <w:tcPr>
            <w:tcW w:w="1300" w:type="dxa"/>
            <w:vAlign w:val="bottom"/>
            <w:shd w:val="clear" w:color="auto" w:fill="1D2758"/>
          </w:tcPr>
          <w:p>
            <w:pPr>
              <w:jc w:val="right"/>
              <w:ind w:right="634"/>
              <w:spacing w:after="0"/>
              <w:rPr>
                <w:sz w:val="20"/>
                <w:szCs w:val="20"/>
                <w:color w:val="auto"/>
              </w:rPr>
            </w:pPr>
            <w:r>
              <w:rPr>
                <w:rFonts w:ascii="Arial" w:cs="Arial" w:eastAsia="Arial" w:hAnsi="Arial"/>
                <w:sz w:val="13"/>
                <w:szCs w:val="13"/>
                <w:b w:val="1"/>
                <w:bCs w:val="1"/>
                <w:color w:val="FFFFFF"/>
              </w:rPr>
              <w:t>2019</w:t>
            </w:r>
          </w:p>
        </w:tc>
      </w:tr>
      <w:tr>
        <w:trPr>
          <w:trHeight w:val="175"/>
        </w:trPr>
        <w:tc>
          <w:tcPr>
            <w:tcW w:w="6020" w:type="dxa"/>
            <w:vAlign w:val="bottom"/>
            <w:shd w:val="clear" w:color="auto" w:fill="DBDBDB"/>
          </w:tcPr>
          <w:p>
            <w:pPr>
              <w:ind w:left="20"/>
              <w:spacing w:after="0"/>
              <w:rPr>
                <w:sz w:val="20"/>
                <w:szCs w:val="20"/>
                <w:color w:val="auto"/>
              </w:rPr>
            </w:pPr>
            <w:r>
              <w:rPr>
                <w:rFonts w:ascii="Arial" w:cs="Arial" w:eastAsia="Arial" w:hAnsi="Arial"/>
                <w:sz w:val="13"/>
                <w:szCs w:val="13"/>
                <w:color w:val="auto"/>
              </w:rPr>
              <w:t>Balance at beginning of period</w:t>
            </w:r>
          </w:p>
        </w:tc>
        <w:tc>
          <w:tcPr>
            <w:tcW w:w="400" w:type="dxa"/>
            <w:vAlign w:val="bottom"/>
            <w:shd w:val="clear" w:color="auto" w:fill="DBDBDB"/>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29,258</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15,828</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9,340</w:t>
            </w:r>
          </w:p>
        </w:tc>
      </w:tr>
      <w:tr>
        <w:trPr>
          <w:trHeight w:val="175"/>
        </w:trPr>
        <w:tc>
          <w:tcPr>
            <w:tcW w:w="6020" w:type="dxa"/>
            <w:vAlign w:val="bottom"/>
          </w:tcPr>
          <w:p>
            <w:pPr>
              <w:ind w:left="20"/>
              <w:spacing w:after="0" w:line="175" w:lineRule="exact"/>
              <w:rPr>
                <w:sz w:val="20"/>
                <w:szCs w:val="20"/>
                <w:color w:val="auto"/>
              </w:rPr>
            </w:pPr>
            <w:r>
              <w:rPr>
                <w:rFonts w:ascii="Arial" w:cs="Arial" w:eastAsia="Arial" w:hAnsi="Arial"/>
                <w:sz w:val="13"/>
                <w:szCs w:val="13"/>
                <w:color w:val="auto"/>
              </w:rPr>
              <w:t>Provision for credit losses, net of recoveries</w:t>
            </w:r>
            <w:r>
              <w:rPr>
                <w:rFonts w:ascii="Arial" w:cs="Arial" w:eastAsia="Arial" w:hAnsi="Arial"/>
                <w:sz w:val="17"/>
                <w:szCs w:val="17"/>
                <w:color w:val="auto"/>
                <w:vertAlign w:val="superscript"/>
              </w:rPr>
              <w:t>(a)</w:t>
            </w: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38,191</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31,386</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14,496</w:t>
            </w:r>
          </w:p>
        </w:tc>
      </w:tr>
      <w:tr>
        <w:trPr>
          <w:trHeight w:val="175"/>
        </w:trPr>
        <w:tc>
          <w:tcPr>
            <w:tcW w:w="6020" w:type="dxa"/>
            <w:vAlign w:val="bottom"/>
            <w:shd w:val="clear" w:color="auto" w:fill="DBDBDB"/>
          </w:tcPr>
          <w:p>
            <w:pPr>
              <w:ind w:left="20"/>
              <w:spacing w:after="0"/>
              <w:rPr>
                <w:sz w:val="20"/>
                <w:szCs w:val="20"/>
                <w:color w:val="auto"/>
              </w:rPr>
            </w:pPr>
            <w:r>
              <w:rPr>
                <w:rFonts w:ascii="Arial" w:cs="Arial" w:eastAsia="Arial" w:hAnsi="Arial"/>
                <w:sz w:val="13"/>
                <w:szCs w:val="13"/>
                <w:color w:val="auto"/>
              </w:rPr>
              <w:t>Write-offs</w:t>
            </w: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(19,791)</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(18,034)</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(7,945)</w:t>
            </w:r>
          </w:p>
        </w:tc>
      </w:tr>
      <w:tr>
        <w:trPr>
          <w:trHeight w:val="172"/>
        </w:trPr>
        <w:tc>
          <w:tcPr>
            <w:tcW w:w="602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Foreign currency translation and other</w:t>
            </w: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w:t>
            </w:r>
          </w:p>
        </w:tc>
        <w:tc>
          <w:tcPr>
            <w:tcW w:w="80" w:type="dxa"/>
            <w:vAlign w:val="bottom"/>
            <w:tcBorders>
              <w:bottom w:val="single" w:sz="8" w:color="DBDBDB"/>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w:t>
            </w:r>
          </w:p>
        </w:tc>
        <w:tc>
          <w:tcPr>
            <w:tcW w:w="80" w:type="dxa"/>
            <w:vAlign w:val="bottom"/>
            <w:tcBorders>
              <w:bottom w:val="single" w:sz="8" w:color="DBDBDB"/>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w:t>
            </w:r>
          </w:p>
        </w:tc>
      </w:tr>
      <w:tr>
        <w:trPr>
          <w:trHeight w:val="194"/>
        </w:trPr>
        <w:tc>
          <w:tcPr>
            <w:tcW w:w="6020" w:type="dxa"/>
            <w:vAlign w:val="bottom"/>
            <w:tcBorders>
              <w:bottom w:val="single" w:sz="8" w:color="DBDBDB"/>
            </w:tcBorders>
            <w:shd w:val="clear" w:color="auto" w:fill="DBDBDB"/>
          </w:tcPr>
          <w:p>
            <w:pPr>
              <w:ind w:left="200"/>
              <w:spacing w:after="0"/>
              <w:rPr>
                <w:sz w:val="20"/>
                <w:szCs w:val="20"/>
                <w:color w:val="auto"/>
              </w:rPr>
            </w:pPr>
            <w:r>
              <w:rPr>
                <w:rFonts w:ascii="Arial" w:cs="Arial" w:eastAsia="Arial" w:hAnsi="Arial"/>
                <w:sz w:val="13"/>
                <w:szCs w:val="13"/>
                <w:color w:val="auto"/>
              </w:rPr>
              <w:t>Balance at end of period</w:t>
            </w:r>
          </w:p>
        </w:tc>
        <w:tc>
          <w:tcPr>
            <w:tcW w:w="400" w:type="dxa"/>
            <w:vAlign w:val="bottom"/>
            <w:tcBorders>
              <w:bottom w:val="single" w:sz="8" w:color="auto"/>
            </w:tcBorders>
            <w:shd w:val="clear" w:color="auto" w:fill="DBDBDB"/>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47,629</w:t>
            </w:r>
          </w:p>
        </w:tc>
        <w:tc>
          <w:tcPr>
            <w:tcW w:w="80" w:type="dxa"/>
            <w:vAlign w:val="bottom"/>
            <w:tcBorders>
              <w:bottom w:val="single" w:sz="8" w:color="DBDBDB"/>
            </w:tcBorders>
            <w:shd w:val="clear" w:color="auto" w:fill="DBDBDB"/>
          </w:tcPr>
          <w:p>
            <w:pPr>
              <w:spacing w:after="0"/>
              <w:rPr>
                <w:sz w:val="16"/>
                <w:szCs w:val="16"/>
                <w:color w:val="auto"/>
              </w:rPr>
            </w:pPr>
          </w:p>
        </w:tc>
        <w:tc>
          <w:tcPr>
            <w:tcW w:w="400" w:type="dxa"/>
            <w:vAlign w:val="bottom"/>
            <w:tcBorders>
              <w:bottom w:val="single" w:sz="8" w:color="auto"/>
            </w:tcBorders>
            <w:shd w:val="clear" w:color="auto" w:fill="DBDBDB"/>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29,258</w:t>
            </w:r>
          </w:p>
        </w:tc>
        <w:tc>
          <w:tcPr>
            <w:tcW w:w="80" w:type="dxa"/>
            <w:vAlign w:val="bottom"/>
            <w:tcBorders>
              <w:bottom w:val="single" w:sz="8" w:color="DBDBDB"/>
            </w:tcBorders>
            <w:shd w:val="clear" w:color="auto" w:fill="DBDBDB"/>
          </w:tcPr>
          <w:p>
            <w:pPr>
              <w:spacing w:after="0"/>
              <w:rPr>
                <w:sz w:val="16"/>
                <w:szCs w:val="16"/>
                <w:color w:val="auto"/>
              </w:rPr>
            </w:pPr>
          </w:p>
        </w:tc>
        <w:tc>
          <w:tcPr>
            <w:tcW w:w="400" w:type="dxa"/>
            <w:vAlign w:val="bottom"/>
            <w:tcBorders>
              <w:bottom w:val="single" w:sz="8" w:color="auto"/>
            </w:tcBorders>
            <w:shd w:val="clear" w:color="auto" w:fill="DBDBDB"/>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15,828</w:t>
            </w:r>
          </w:p>
        </w:tc>
      </w:tr>
      <w:tr>
        <w:trPr>
          <w:trHeight w:val="20"/>
        </w:trPr>
        <w:tc>
          <w:tcPr>
            <w:tcW w:w="60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firstLine="7"/>
        <w:spacing w:after="0" w:line="235" w:lineRule="auto"/>
        <w:tabs>
          <w:tab w:leader="none" w:pos="183" w:val="left"/>
        </w:tabs>
        <w:numPr>
          <w:ilvl w:val="0"/>
          <w:numId w:val="27"/>
        </w:numPr>
        <w:rPr>
          <w:rFonts w:ascii="Arial" w:cs="Arial" w:eastAsia="Arial" w:hAnsi="Arial"/>
          <w:sz w:val="12"/>
          <w:szCs w:val="12"/>
          <w:color w:val="auto"/>
        </w:rPr>
      </w:pPr>
      <w:r>
        <w:rPr>
          <w:rFonts w:ascii="Arial" w:cs="Arial" w:eastAsia="Arial" w:hAnsi="Arial"/>
          <w:sz w:val="12"/>
          <w:szCs w:val="12"/>
          <w:color w:val="auto"/>
        </w:rPr>
        <w:t>For the years ended December 31, 2021, 2020 and 2019, the provision for credit losses includes $19.8 million, $18.0 million and $10.0 million, respectively, recorded as a reduction to revenue for the provision of specific receivables whose collection is not considered probable.</w:t>
      </w:r>
    </w:p>
    <w:p>
      <w:pPr>
        <w:spacing w:after="0" w:line="77"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The Company’s trade accounts receivable subject the Company to potential concentrations of credit risk. The Company performs on-going credit evaluations of its customers. Receivables related to sales are generally secured by the product sold to the customer. The Company generally has the right to repossess its rental units in the event of non-payment of receivables relating to the Company’s leasing operations.</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Inventories</w:t>
      </w:r>
    </w:p>
    <w:p>
      <w:pPr>
        <w:spacing w:after="0" w:line="66"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Inventories consist of raw materials, supplies, and finished units for sale. Inventories are measured at the lower of cost or net realizable value based on the weighted-average cost. The cost includes expenditures incurred in acquiring the inventories, production or conversion costs, and other costs incurred in bringing them to their existing location and condition.</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Rental Equipment</w:t>
      </w:r>
    </w:p>
    <w:p>
      <w:pPr>
        <w:spacing w:after="0" w:line="110" w:lineRule="exact"/>
        <w:rPr>
          <w:sz w:val="20"/>
          <w:szCs w:val="20"/>
          <w:color w:val="auto"/>
        </w:rPr>
      </w:pPr>
    </w:p>
    <w:p>
      <w:pPr>
        <w:jc w:val="both"/>
        <w:ind w:firstLine="524"/>
        <w:spacing w:after="0" w:line="248" w:lineRule="auto"/>
        <w:rPr>
          <w:sz w:val="20"/>
          <w:szCs w:val="20"/>
          <w:color w:val="auto"/>
        </w:rPr>
      </w:pPr>
      <w:r>
        <w:rPr>
          <w:rFonts w:ascii="Arial" w:cs="Arial" w:eastAsia="Arial" w:hAnsi="Arial"/>
          <w:sz w:val="13"/>
          <w:szCs w:val="13"/>
          <w:color w:val="auto"/>
        </w:rPr>
        <w:t>Rental equipment is comprised of modular space and portable storage units held for rent or on rent to customers, tank and pump solutions products, which consist primarily of liquid and solid containment units, pumps and filtration equipment, and value-added products and services (“VAPS”) which are in use or available to be used by customers. Rental equipment is measured at cost less accumulated depreciation and impairment losses. Cost includes expenditures that are directly attributable to the acquisition of the asset. Costs of improvements and conversions of rental equipment are capitalized when such costs extend the useful life of the equipment or increase the rental value of the unit. Costs incurred for equipment to meet a particular customer specification are capitalized and depreciated over the lease term taking in consideration the residual value of the asset. Maintenance and repair costs are expensed as incurred.</w:t>
      </w:r>
    </w:p>
    <w:p>
      <w:pPr>
        <w:spacing w:after="0" w:line="36" w:lineRule="exact"/>
        <w:rPr>
          <w:sz w:val="20"/>
          <w:szCs w:val="20"/>
          <w:color w:val="auto"/>
        </w:rPr>
      </w:pPr>
    </w:p>
    <w:p>
      <w:pPr>
        <w:ind w:left="540"/>
        <w:spacing w:after="0"/>
        <w:rPr>
          <w:sz w:val="20"/>
          <w:szCs w:val="20"/>
          <w:color w:val="auto"/>
        </w:rPr>
      </w:pPr>
      <w:r>
        <w:rPr>
          <w:rFonts w:ascii="Arial" w:cs="Arial" w:eastAsia="Arial" w:hAnsi="Arial"/>
          <w:sz w:val="13"/>
          <w:szCs w:val="13"/>
          <w:color w:val="auto"/>
        </w:rPr>
        <w:t>Depreciation is generally computed using the straight-line method over estimated useful lives,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20" w:type="dxa"/>
            <w:vAlign w:val="bottom"/>
            <w:shd w:val="clear" w:color="auto" w:fill="1D2758"/>
          </w:tcPr>
          <w:p>
            <w:pPr>
              <w:spacing w:after="0"/>
              <w:rPr>
                <w:sz w:val="15"/>
                <w:szCs w:val="15"/>
                <w:color w:val="auto"/>
              </w:rPr>
            </w:pPr>
          </w:p>
        </w:tc>
        <w:tc>
          <w:tcPr>
            <w:tcW w:w="4420" w:type="dxa"/>
            <w:vAlign w:val="bottom"/>
            <w:gridSpan w:val="2"/>
            <w:shd w:val="clear" w:color="auto" w:fill="1D2758"/>
          </w:tcPr>
          <w:p>
            <w:pPr>
              <w:jc w:val="center"/>
              <w:ind w:left="2394"/>
              <w:spacing w:after="0"/>
              <w:rPr>
                <w:sz w:val="20"/>
                <w:szCs w:val="20"/>
                <w:color w:val="auto"/>
              </w:rPr>
            </w:pPr>
            <w:r>
              <w:rPr>
                <w:rFonts w:ascii="Arial" w:cs="Arial" w:eastAsia="Arial" w:hAnsi="Arial"/>
                <w:sz w:val="13"/>
                <w:szCs w:val="13"/>
                <w:color w:val="FFFFFF"/>
              </w:rPr>
              <w:t>Estimated Useful Life</w:t>
            </w:r>
          </w:p>
        </w:tc>
        <w:tc>
          <w:tcPr>
            <w:tcW w:w="1640" w:type="dxa"/>
            <w:vAlign w:val="bottom"/>
            <w:shd w:val="clear" w:color="auto" w:fill="1D2758"/>
          </w:tcPr>
          <w:p>
            <w:pPr>
              <w:ind w:left="360"/>
              <w:spacing w:after="0"/>
              <w:rPr>
                <w:sz w:val="20"/>
                <w:szCs w:val="20"/>
                <w:color w:val="auto"/>
              </w:rPr>
            </w:pPr>
            <w:r>
              <w:rPr>
                <w:rFonts w:ascii="Arial" w:cs="Arial" w:eastAsia="Arial" w:hAnsi="Arial"/>
                <w:sz w:val="13"/>
                <w:szCs w:val="13"/>
                <w:color w:val="FFFFFF"/>
              </w:rPr>
              <w:t>Residual Value</w:t>
            </w:r>
          </w:p>
        </w:tc>
      </w:tr>
      <w:tr>
        <w:trPr>
          <w:trHeight w:val="175"/>
        </w:trPr>
        <w:tc>
          <w:tcPr>
            <w:tcW w:w="5220" w:type="dxa"/>
            <w:vAlign w:val="bottom"/>
            <w:shd w:val="clear" w:color="auto" w:fill="DBDBDB"/>
          </w:tcPr>
          <w:p>
            <w:pPr>
              <w:ind w:left="20"/>
              <w:spacing w:after="0"/>
              <w:rPr>
                <w:sz w:val="20"/>
                <w:szCs w:val="20"/>
                <w:color w:val="auto"/>
              </w:rPr>
            </w:pPr>
            <w:r>
              <w:rPr>
                <w:rFonts w:ascii="Arial" w:cs="Arial" w:eastAsia="Arial" w:hAnsi="Arial"/>
                <w:sz w:val="13"/>
                <w:szCs w:val="13"/>
                <w:color w:val="auto"/>
              </w:rPr>
              <w:t>Modular space units</w:t>
            </w:r>
          </w:p>
        </w:tc>
        <w:tc>
          <w:tcPr>
            <w:tcW w:w="3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w:t>
            </w:r>
          </w:p>
        </w:tc>
        <w:tc>
          <w:tcPr>
            <w:tcW w:w="1200" w:type="dxa"/>
            <w:vAlign w:val="bottom"/>
            <w:shd w:val="clear" w:color="auto" w:fill="DBDBDB"/>
          </w:tcPr>
          <w:p>
            <w:pPr>
              <w:ind w:left="20"/>
              <w:spacing w:after="0"/>
              <w:rPr>
                <w:sz w:val="20"/>
                <w:szCs w:val="20"/>
                <w:color w:val="auto"/>
              </w:rPr>
            </w:pPr>
            <w:r>
              <w:rPr>
                <w:rFonts w:ascii="Arial" w:cs="Arial" w:eastAsia="Arial" w:hAnsi="Arial"/>
                <w:sz w:val="13"/>
                <w:szCs w:val="13"/>
                <w:color w:val="auto"/>
              </w:rPr>
              <w:t>- 30 years</w:t>
            </w:r>
          </w:p>
        </w:tc>
        <w:tc>
          <w:tcPr>
            <w:tcW w:w="1640" w:type="dxa"/>
            <w:vAlign w:val="bottom"/>
            <w:shd w:val="clear" w:color="auto" w:fill="DBDBDB"/>
          </w:tcPr>
          <w:p>
            <w:pPr>
              <w:jc w:val="center"/>
              <w:spacing w:after="0"/>
              <w:rPr>
                <w:sz w:val="20"/>
                <w:szCs w:val="20"/>
                <w:color w:val="auto"/>
              </w:rPr>
            </w:pPr>
            <w:r>
              <w:rPr>
                <w:rFonts w:ascii="Arial" w:cs="Arial" w:eastAsia="Arial" w:hAnsi="Arial"/>
                <w:sz w:val="13"/>
                <w:szCs w:val="13"/>
                <w:color w:val="auto"/>
                <w:w w:val="99"/>
              </w:rPr>
              <w:t>20 - 55%</w:t>
            </w:r>
          </w:p>
        </w:tc>
      </w:tr>
      <w:tr>
        <w:trPr>
          <w:trHeight w:val="172"/>
        </w:trPr>
        <w:tc>
          <w:tcPr>
            <w:tcW w:w="5220" w:type="dxa"/>
            <w:vAlign w:val="bottom"/>
          </w:tcPr>
          <w:p>
            <w:pPr>
              <w:ind w:left="20"/>
              <w:spacing w:after="0"/>
              <w:rPr>
                <w:sz w:val="20"/>
                <w:szCs w:val="20"/>
                <w:color w:val="auto"/>
              </w:rPr>
            </w:pPr>
            <w:r>
              <w:rPr>
                <w:rFonts w:ascii="Arial" w:cs="Arial" w:eastAsia="Arial" w:hAnsi="Arial"/>
                <w:sz w:val="13"/>
                <w:szCs w:val="13"/>
                <w:color w:val="auto"/>
              </w:rPr>
              <w:t>Portable storage units</w:t>
            </w:r>
          </w:p>
        </w:tc>
        <w:tc>
          <w:tcPr>
            <w:tcW w:w="4420" w:type="dxa"/>
            <w:vAlign w:val="bottom"/>
            <w:gridSpan w:val="2"/>
          </w:tcPr>
          <w:p>
            <w:pPr>
              <w:jc w:val="center"/>
              <w:ind w:left="2374"/>
              <w:spacing w:after="0"/>
              <w:rPr>
                <w:sz w:val="20"/>
                <w:szCs w:val="20"/>
                <w:color w:val="auto"/>
              </w:rPr>
            </w:pPr>
            <w:r>
              <w:rPr>
                <w:rFonts w:ascii="Arial" w:cs="Arial" w:eastAsia="Arial" w:hAnsi="Arial"/>
                <w:sz w:val="13"/>
                <w:szCs w:val="13"/>
                <w:color w:val="auto"/>
              </w:rPr>
              <w:t>30 years</w:t>
            </w:r>
          </w:p>
        </w:tc>
        <w:tc>
          <w:tcPr>
            <w:tcW w:w="1640" w:type="dxa"/>
            <w:vAlign w:val="bottom"/>
          </w:tcPr>
          <w:p>
            <w:pPr>
              <w:jc w:val="center"/>
              <w:spacing w:after="0"/>
              <w:rPr>
                <w:sz w:val="20"/>
                <w:szCs w:val="20"/>
                <w:color w:val="auto"/>
              </w:rPr>
            </w:pPr>
            <w:r>
              <w:rPr>
                <w:rFonts w:ascii="Arial" w:cs="Arial" w:eastAsia="Arial" w:hAnsi="Arial"/>
                <w:sz w:val="13"/>
                <w:szCs w:val="13"/>
                <w:color w:val="auto"/>
                <w:w w:val="99"/>
              </w:rPr>
              <w:t>55%</w:t>
            </w:r>
          </w:p>
        </w:tc>
      </w:tr>
      <w:tr>
        <w:trPr>
          <w:trHeight w:val="178"/>
        </w:trPr>
        <w:tc>
          <w:tcPr>
            <w:tcW w:w="5220" w:type="dxa"/>
            <w:vAlign w:val="bottom"/>
            <w:shd w:val="clear" w:color="auto" w:fill="DBDBDB"/>
          </w:tcPr>
          <w:p>
            <w:pPr>
              <w:ind w:left="20"/>
              <w:spacing w:after="0"/>
              <w:rPr>
                <w:sz w:val="20"/>
                <w:szCs w:val="20"/>
                <w:color w:val="auto"/>
              </w:rPr>
            </w:pPr>
            <w:r>
              <w:rPr>
                <w:rFonts w:ascii="Arial" w:cs="Arial" w:eastAsia="Arial" w:hAnsi="Arial"/>
                <w:sz w:val="13"/>
                <w:szCs w:val="13"/>
                <w:color w:val="auto"/>
              </w:rPr>
              <w:t>Tank and pump equipment</w:t>
            </w:r>
          </w:p>
        </w:tc>
        <w:tc>
          <w:tcPr>
            <w:tcW w:w="4420" w:type="dxa"/>
            <w:vAlign w:val="bottom"/>
            <w:gridSpan w:val="2"/>
            <w:shd w:val="clear" w:color="auto" w:fill="DBDBDB"/>
          </w:tcPr>
          <w:p>
            <w:pPr>
              <w:jc w:val="center"/>
              <w:ind w:left="2374"/>
              <w:spacing w:after="0"/>
              <w:rPr>
                <w:sz w:val="20"/>
                <w:szCs w:val="20"/>
                <w:color w:val="auto"/>
              </w:rPr>
            </w:pPr>
            <w:r>
              <w:rPr>
                <w:rFonts w:ascii="Arial" w:cs="Arial" w:eastAsia="Arial" w:hAnsi="Arial"/>
                <w:sz w:val="13"/>
                <w:szCs w:val="13"/>
                <w:color w:val="auto"/>
              </w:rPr>
              <w:t>7 - 25 years</w:t>
            </w:r>
          </w:p>
        </w:tc>
        <w:tc>
          <w:tcPr>
            <w:tcW w:w="1640" w:type="dxa"/>
            <w:vAlign w:val="bottom"/>
            <w:shd w:val="clear" w:color="auto" w:fill="DBDBDB"/>
          </w:tcPr>
          <w:p>
            <w:pPr>
              <w:jc w:val="center"/>
              <w:spacing w:after="0"/>
              <w:rPr>
                <w:sz w:val="20"/>
                <w:szCs w:val="20"/>
                <w:color w:val="auto"/>
              </w:rPr>
            </w:pPr>
            <w:r>
              <w:rPr>
                <w:rFonts w:ascii="Arial" w:cs="Arial" w:eastAsia="Arial" w:hAnsi="Arial"/>
                <w:sz w:val="13"/>
                <w:szCs w:val="13"/>
                <w:color w:val="auto"/>
                <w:w w:val="97"/>
              </w:rPr>
              <w:t>—%</w:t>
            </w:r>
          </w:p>
        </w:tc>
      </w:tr>
      <w:tr>
        <w:trPr>
          <w:trHeight w:val="169"/>
        </w:trPr>
        <w:tc>
          <w:tcPr>
            <w:tcW w:w="5220" w:type="dxa"/>
            <w:vAlign w:val="bottom"/>
          </w:tcPr>
          <w:p>
            <w:pPr>
              <w:ind w:left="20"/>
              <w:spacing w:after="0"/>
              <w:rPr>
                <w:sz w:val="20"/>
                <w:szCs w:val="20"/>
                <w:color w:val="auto"/>
              </w:rPr>
            </w:pPr>
            <w:r>
              <w:rPr>
                <w:rFonts w:ascii="Arial" w:cs="Arial" w:eastAsia="Arial" w:hAnsi="Arial"/>
                <w:sz w:val="13"/>
                <w:szCs w:val="13"/>
                <w:color w:val="auto"/>
              </w:rPr>
              <w:t>VAPS and other related rental equipment</w:t>
            </w:r>
          </w:p>
        </w:tc>
        <w:tc>
          <w:tcPr>
            <w:tcW w:w="3220" w:type="dxa"/>
            <w:vAlign w:val="bottom"/>
          </w:tcPr>
          <w:p>
            <w:pPr>
              <w:jc w:val="right"/>
              <w:spacing w:after="0"/>
              <w:rPr>
                <w:sz w:val="20"/>
                <w:szCs w:val="20"/>
                <w:color w:val="auto"/>
              </w:rPr>
            </w:pPr>
            <w:r>
              <w:rPr>
                <w:rFonts w:ascii="Arial" w:cs="Arial" w:eastAsia="Arial" w:hAnsi="Arial"/>
                <w:sz w:val="13"/>
                <w:szCs w:val="13"/>
                <w:color w:val="auto"/>
              </w:rPr>
              <w:t>1</w:t>
            </w:r>
          </w:p>
        </w:tc>
        <w:tc>
          <w:tcPr>
            <w:tcW w:w="1200" w:type="dxa"/>
            <w:vAlign w:val="bottom"/>
          </w:tcPr>
          <w:p>
            <w:pPr>
              <w:ind w:left="20"/>
              <w:spacing w:after="0"/>
              <w:rPr>
                <w:sz w:val="20"/>
                <w:szCs w:val="20"/>
                <w:color w:val="auto"/>
              </w:rPr>
            </w:pPr>
            <w:r>
              <w:rPr>
                <w:rFonts w:ascii="Arial" w:cs="Arial" w:eastAsia="Arial" w:hAnsi="Arial"/>
                <w:sz w:val="13"/>
                <w:szCs w:val="13"/>
                <w:color w:val="auto"/>
              </w:rPr>
              <w:t>- 8 years</w:t>
            </w:r>
          </w:p>
        </w:tc>
        <w:tc>
          <w:tcPr>
            <w:tcW w:w="1640" w:type="dxa"/>
            <w:vAlign w:val="bottom"/>
          </w:tcPr>
          <w:p>
            <w:pPr>
              <w:jc w:val="center"/>
              <w:spacing w:after="0"/>
              <w:rPr>
                <w:sz w:val="20"/>
                <w:szCs w:val="20"/>
                <w:color w:val="auto"/>
              </w:rPr>
            </w:pPr>
            <w:r>
              <w:rPr>
                <w:rFonts w:ascii="Arial" w:cs="Arial" w:eastAsia="Arial" w:hAnsi="Arial"/>
                <w:sz w:val="13"/>
                <w:szCs w:val="13"/>
                <w:color w:val="auto"/>
                <w:w w:val="97"/>
              </w:rPr>
              <w:t>—%</w:t>
            </w:r>
          </w:p>
        </w:tc>
      </w:tr>
    </w:tbl>
    <w:p>
      <w:pPr>
        <w:spacing w:after="0" w:line="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Property, Plant and Equipment</w:t>
      </w:r>
    </w:p>
    <w:p>
      <w:pPr>
        <w:spacing w:after="0" w:line="66" w:lineRule="exact"/>
        <w:rPr>
          <w:sz w:val="20"/>
          <w:szCs w:val="20"/>
          <w:color w:val="auto"/>
        </w:rPr>
      </w:pPr>
    </w:p>
    <w:p>
      <w:pPr>
        <w:ind w:left="540"/>
        <w:spacing w:after="0"/>
        <w:rPr>
          <w:sz w:val="20"/>
          <w:szCs w:val="20"/>
          <w:color w:val="auto"/>
        </w:rPr>
      </w:pPr>
      <w:r>
        <w:rPr>
          <w:rFonts w:ascii="Arial" w:cs="Arial" w:eastAsia="Arial" w:hAnsi="Arial"/>
          <w:sz w:val="13"/>
          <w:szCs w:val="13"/>
          <w:color w:val="auto"/>
        </w:rPr>
        <w:t>Property, plant and equipment is measured at cost less accumulated depreciation and impairment losses.</w:t>
      </w:r>
    </w:p>
    <w:p>
      <w:pPr>
        <w:spacing w:after="0" w:line="47"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The Company capitalizes external costs and directly attributable internal costs to acquire or create internal use software incurred subsequent to the completion of the preliminary project stage. Costs associated with post-implementation activities are expensed as incurred. The Company evaluates implementation costs incurred in a cloud computing arrangement that is a service contract as described in Cloud Computing Arrangements below.</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28" w:right="319" w:bottom="1440" w:gutter="0" w:footer="0" w:header="0"/>
        </w:sectPr>
      </w:pPr>
    </w:p>
    <w:bookmarkStart w:id="79" w:name="page80"/>
    <w:bookmarkEnd w:id="79"/>
    <w:p>
      <w:pPr>
        <w:jc w:val="both"/>
        <w:ind w:firstLine="524"/>
        <w:spacing w:after="0" w:line="256" w:lineRule="auto"/>
        <w:rPr>
          <w:sz w:val="20"/>
          <w:szCs w:val="20"/>
          <w:color w:val="auto"/>
        </w:rPr>
      </w:pPr>
      <w:r>
        <w:rPr>
          <w:rFonts w:ascii="Arial" w:cs="Arial" w:eastAsia="Arial" w:hAnsi="Arial"/>
          <w:sz w:val="13"/>
          <w:szCs w:val="13"/>
          <w:color w:val="auto"/>
        </w:rPr>
        <w:t>Land is not depreciated. Leasehold improvements are amortized over the lease term. Assets leased under capital leases are depreciated over the shorter of the lease term or their useful life, unless it is reasonably certain that the Company will obtain ownership by the end of the lease term. Maintenance and repair costs are expensed as incurred.</w:t>
      </w:r>
    </w:p>
    <w:p>
      <w:pPr>
        <w:spacing w:after="0" w:line="31" w:lineRule="exact"/>
        <w:rPr>
          <w:sz w:val="20"/>
          <w:szCs w:val="20"/>
          <w:color w:val="auto"/>
        </w:rPr>
      </w:pPr>
    </w:p>
    <w:p>
      <w:pPr>
        <w:ind w:left="540"/>
        <w:spacing w:after="0"/>
        <w:rPr>
          <w:sz w:val="20"/>
          <w:szCs w:val="20"/>
          <w:color w:val="auto"/>
        </w:rPr>
      </w:pPr>
      <w:r>
        <w:rPr>
          <w:rFonts w:ascii="Arial" w:cs="Arial" w:eastAsia="Arial" w:hAnsi="Arial"/>
          <w:sz w:val="13"/>
          <w:szCs w:val="13"/>
          <w:color w:val="auto"/>
        </w:rPr>
        <w:t>Depreciation is generally computed using the straight-line method over estimated useful lives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00" w:type="dxa"/>
            <w:vAlign w:val="bottom"/>
            <w:shd w:val="clear" w:color="auto" w:fill="1D2758"/>
          </w:tcPr>
          <w:p>
            <w:pPr>
              <w:spacing w:after="0"/>
              <w:rPr>
                <w:sz w:val="15"/>
                <w:szCs w:val="15"/>
                <w:color w:val="auto"/>
              </w:rPr>
            </w:pPr>
          </w:p>
        </w:tc>
        <w:tc>
          <w:tcPr>
            <w:tcW w:w="5380" w:type="dxa"/>
            <w:vAlign w:val="bottom"/>
            <w:shd w:val="clear" w:color="auto" w:fill="1D2758"/>
          </w:tcPr>
          <w:p>
            <w:pPr>
              <w:jc w:val="center"/>
              <w:ind w:left="3074"/>
              <w:spacing w:after="0"/>
              <w:rPr>
                <w:sz w:val="20"/>
                <w:szCs w:val="20"/>
                <w:color w:val="auto"/>
              </w:rPr>
            </w:pPr>
            <w:r>
              <w:rPr>
                <w:rFonts w:ascii="Arial" w:cs="Arial" w:eastAsia="Arial" w:hAnsi="Arial"/>
                <w:sz w:val="13"/>
                <w:szCs w:val="13"/>
                <w:color w:val="FFFFFF"/>
              </w:rPr>
              <w:t>Estimated Useful Life</w:t>
            </w:r>
          </w:p>
        </w:tc>
      </w:tr>
      <w:tr>
        <w:trPr>
          <w:trHeight w:val="175"/>
        </w:trPr>
        <w:tc>
          <w:tcPr>
            <w:tcW w:w="5900" w:type="dxa"/>
            <w:vAlign w:val="bottom"/>
            <w:shd w:val="clear" w:color="auto" w:fill="DBDBDB"/>
          </w:tcPr>
          <w:p>
            <w:pPr>
              <w:ind w:left="20"/>
              <w:spacing w:after="0"/>
              <w:rPr>
                <w:sz w:val="20"/>
                <w:szCs w:val="20"/>
                <w:color w:val="auto"/>
              </w:rPr>
            </w:pPr>
            <w:r>
              <w:rPr>
                <w:rFonts w:ascii="Arial" w:cs="Arial" w:eastAsia="Arial" w:hAnsi="Arial"/>
                <w:sz w:val="13"/>
                <w:szCs w:val="13"/>
                <w:color w:val="auto"/>
              </w:rPr>
              <w:t>Buildings and leasehold improvements</w:t>
            </w:r>
          </w:p>
        </w:tc>
        <w:tc>
          <w:tcPr>
            <w:tcW w:w="5380" w:type="dxa"/>
            <w:vAlign w:val="bottom"/>
            <w:shd w:val="clear" w:color="auto" w:fill="DBDBDB"/>
          </w:tcPr>
          <w:p>
            <w:pPr>
              <w:jc w:val="center"/>
              <w:ind w:left="3074"/>
              <w:spacing w:after="0"/>
              <w:rPr>
                <w:sz w:val="20"/>
                <w:szCs w:val="20"/>
                <w:color w:val="auto"/>
              </w:rPr>
            </w:pPr>
            <w:r>
              <w:rPr>
                <w:rFonts w:ascii="Arial" w:cs="Arial" w:eastAsia="Arial" w:hAnsi="Arial"/>
                <w:sz w:val="13"/>
                <w:szCs w:val="13"/>
                <w:color w:val="auto"/>
              </w:rPr>
              <w:t>10 - 40 years</w:t>
            </w:r>
          </w:p>
        </w:tc>
      </w:tr>
      <w:tr>
        <w:trPr>
          <w:trHeight w:val="172"/>
        </w:trPr>
        <w:tc>
          <w:tcPr>
            <w:tcW w:w="5900" w:type="dxa"/>
            <w:vAlign w:val="bottom"/>
          </w:tcPr>
          <w:p>
            <w:pPr>
              <w:ind w:left="20"/>
              <w:spacing w:after="0"/>
              <w:rPr>
                <w:sz w:val="20"/>
                <w:szCs w:val="20"/>
                <w:color w:val="auto"/>
              </w:rPr>
            </w:pPr>
            <w:r>
              <w:rPr>
                <w:rFonts w:ascii="Arial" w:cs="Arial" w:eastAsia="Arial" w:hAnsi="Arial"/>
                <w:sz w:val="13"/>
                <w:szCs w:val="13"/>
                <w:color w:val="auto"/>
              </w:rPr>
              <w:t>Vehicles, machinery, and equipment</w:t>
            </w:r>
          </w:p>
        </w:tc>
        <w:tc>
          <w:tcPr>
            <w:tcW w:w="5380" w:type="dxa"/>
            <w:vAlign w:val="bottom"/>
          </w:tcPr>
          <w:p>
            <w:pPr>
              <w:jc w:val="center"/>
              <w:ind w:left="3094"/>
              <w:spacing w:after="0"/>
              <w:rPr>
                <w:sz w:val="20"/>
                <w:szCs w:val="20"/>
                <w:color w:val="auto"/>
              </w:rPr>
            </w:pPr>
            <w:r>
              <w:rPr>
                <w:rFonts w:ascii="Arial" w:cs="Arial" w:eastAsia="Arial" w:hAnsi="Arial"/>
                <w:sz w:val="13"/>
                <w:szCs w:val="13"/>
                <w:color w:val="auto"/>
              </w:rPr>
              <w:t>3 - 30 years</w:t>
            </w:r>
          </w:p>
        </w:tc>
      </w:tr>
      <w:tr>
        <w:trPr>
          <w:trHeight w:val="178"/>
        </w:trPr>
        <w:tc>
          <w:tcPr>
            <w:tcW w:w="5900" w:type="dxa"/>
            <w:vAlign w:val="bottom"/>
            <w:shd w:val="clear" w:color="auto" w:fill="DBDBDB"/>
          </w:tcPr>
          <w:p>
            <w:pPr>
              <w:ind w:left="20"/>
              <w:spacing w:after="0"/>
              <w:rPr>
                <w:sz w:val="20"/>
                <w:szCs w:val="20"/>
                <w:color w:val="auto"/>
              </w:rPr>
            </w:pPr>
            <w:r>
              <w:rPr>
                <w:rFonts w:ascii="Arial" w:cs="Arial" w:eastAsia="Arial" w:hAnsi="Arial"/>
                <w:sz w:val="13"/>
                <w:szCs w:val="13"/>
                <w:color w:val="auto"/>
              </w:rPr>
              <w:t>Furniture and fixtures</w:t>
            </w:r>
          </w:p>
        </w:tc>
        <w:tc>
          <w:tcPr>
            <w:tcW w:w="5380" w:type="dxa"/>
            <w:vAlign w:val="bottom"/>
            <w:shd w:val="clear" w:color="auto" w:fill="DBDBDB"/>
          </w:tcPr>
          <w:p>
            <w:pPr>
              <w:jc w:val="center"/>
              <w:ind w:left="3094"/>
              <w:spacing w:after="0"/>
              <w:rPr>
                <w:sz w:val="20"/>
                <w:szCs w:val="20"/>
                <w:color w:val="auto"/>
              </w:rPr>
            </w:pPr>
            <w:r>
              <w:rPr>
                <w:rFonts w:ascii="Arial" w:cs="Arial" w:eastAsia="Arial" w:hAnsi="Arial"/>
                <w:sz w:val="13"/>
                <w:szCs w:val="13"/>
                <w:color w:val="auto"/>
              </w:rPr>
              <w:t>3 - 10 years</w:t>
            </w:r>
          </w:p>
        </w:tc>
      </w:tr>
      <w:tr>
        <w:trPr>
          <w:trHeight w:val="169"/>
        </w:trPr>
        <w:tc>
          <w:tcPr>
            <w:tcW w:w="5900" w:type="dxa"/>
            <w:vAlign w:val="bottom"/>
          </w:tcPr>
          <w:p>
            <w:pPr>
              <w:ind w:left="20"/>
              <w:spacing w:after="0"/>
              <w:rPr>
                <w:sz w:val="20"/>
                <w:szCs w:val="20"/>
                <w:color w:val="auto"/>
              </w:rPr>
            </w:pPr>
            <w:r>
              <w:rPr>
                <w:rFonts w:ascii="Arial" w:cs="Arial" w:eastAsia="Arial" w:hAnsi="Arial"/>
                <w:sz w:val="13"/>
                <w:szCs w:val="13"/>
                <w:color w:val="auto"/>
              </w:rPr>
              <w:t>Software</w:t>
            </w:r>
          </w:p>
        </w:tc>
        <w:tc>
          <w:tcPr>
            <w:tcW w:w="5380" w:type="dxa"/>
            <w:vAlign w:val="bottom"/>
          </w:tcPr>
          <w:p>
            <w:pPr>
              <w:jc w:val="center"/>
              <w:ind w:left="3094"/>
              <w:spacing w:after="0"/>
              <w:rPr>
                <w:sz w:val="20"/>
                <w:szCs w:val="20"/>
                <w:color w:val="auto"/>
              </w:rPr>
            </w:pPr>
            <w:r>
              <w:rPr>
                <w:rFonts w:ascii="Arial" w:cs="Arial" w:eastAsia="Arial" w:hAnsi="Arial"/>
                <w:sz w:val="13"/>
                <w:szCs w:val="13"/>
                <w:color w:val="auto"/>
              </w:rPr>
              <w:t>3 - 10 years</w:t>
            </w:r>
          </w:p>
        </w:tc>
      </w:tr>
    </w:tbl>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Impairment of Long-Lived Assets</w:t>
      </w:r>
    </w:p>
    <w:p>
      <w:pPr>
        <w:spacing w:after="0" w:line="63" w:lineRule="exact"/>
        <w:rPr>
          <w:sz w:val="20"/>
          <w:szCs w:val="20"/>
          <w:color w:val="auto"/>
        </w:rPr>
      </w:pPr>
    </w:p>
    <w:p>
      <w:pPr>
        <w:jc w:val="both"/>
        <w:ind w:firstLine="524"/>
        <w:spacing w:after="0" w:line="248" w:lineRule="auto"/>
        <w:rPr>
          <w:sz w:val="20"/>
          <w:szCs w:val="20"/>
          <w:color w:val="auto"/>
        </w:rPr>
      </w:pPr>
      <w:r>
        <w:rPr>
          <w:rFonts w:ascii="Arial" w:cs="Arial" w:eastAsia="Arial" w:hAnsi="Arial"/>
          <w:sz w:val="13"/>
          <w:szCs w:val="13"/>
          <w:color w:val="auto"/>
        </w:rPr>
        <w:t>When circumstances indicate the carrying amount of long-lived assets in a held-for-use asset group may not be recoverable, the Company evaluates the assets for potential impairment using internal projections of undiscounted cash flows resulting from the use and eventual disposal of the assets. Events or changes in circumstances that may necessitate a recoverability evaluation include, but are not limited to, adverse changes in the regulatory environment or an expectation it is more likely than not that the asset will be disposed of before the end of its previously estimated useful life. If the carrying amount of the assets exceeds the undiscounted cash flows, an impairment expense is recognized for the amount by which the carrying amount of the asset group exceeds its fair value (subject to the carrying amount not being reduced below fair value for any individual long-lived asset that is determinable without undue cost and effort).</w:t>
      </w:r>
    </w:p>
    <w:p>
      <w:pPr>
        <w:spacing w:after="0" w:line="36"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 xml:space="preserve">Consistent with the provisions of ASC 842, the Company assesses whether any operating lease asset impairment exists in accordance with the measurement guidance in Accounting Standard Codification ("ASC") 360, </w:t>
      </w:r>
      <w:r>
        <w:rPr>
          <w:rFonts w:ascii="Arial" w:cs="Arial" w:eastAsia="Arial" w:hAnsi="Arial"/>
          <w:sz w:val="13"/>
          <w:szCs w:val="13"/>
          <w:i w:val="1"/>
          <w:iCs w:val="1"/>
          <w:color w:val="auto"/>
        </w:rPr>
        <w:t>Property Plant and Equipment</w:t>
      </w:r>
      <w:r>
        <w:rPr>
          <w:rFonts w:ascii="Arial" w:cs="Arial" w:eastAsia="Arial" w:hAnsi="Arial"/>
          <w:sz w:val="13"/>
          <w:szCs w:val="13"/>
          <w:color w:val="auto"/>
        </w:rPr>
        <w:t>.</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Cloud Computing Arrangements</w:t>
      </w:r>
    </w:p>
    <w:p>
      <w:pPr>
        <w:spacing w:after="0" w:line="41" w:lineRule="exact"/>
        <w:rPr>
          <w:sz w:val="20"/>
          <w:szCs w:val="20"/>
          <w:color w:val="auto"/>
        </w:rPr>
      </w:pPr>
    </w:p>
    <w:p>
      <w:pPr>
        <w:jc w:val="both"/>
        <w:ind w:firstLine="524"/>
        <w:spacing w:after="0" w:line="239" w:lineRule="auto"/>
        <w:rPr>
          <w:sz w:val="20"/>
          <w:szCs w:val="20"/>
          <w:color w:val="auto"/>
        </w:rPr>
      </w:pPr>
      <w:r>
        <w:rPr>
          <w:rFonts w:ascii="Arial" w:cs="Arial" w:eastAsia="Arial" w:hAnsi="Arial"/>
          <w:sz w:val="13"/>
          <w:szCs w:val="13"/>
          <w:color w:val="auto"/>
        </w:rPr>
        <w:t xml:space="preserve">In accordance with ASU 2018-15, </w:t>
      </w:r>
      <w:r>
        <w:rPr>
          <w:rFonts w:ascii="Arial" w:cs="Arial" w:eastAsia="Arial" w:hAnsi="Arial"/>
          <w:sz w:val="13"/>
          <w:szCs w:val="13"/>
          <w:i w:val="1"/>
          <w:iCs w:val="1"/>
          <w:color w:val="auto"/>
        </w:rPr>
        <w:t>Goodwill and Other – Internal-Use Software (Subtopic 350-40)</w:t>
      </w:r>
      <w:r>
        <w:rPr>
          <w:rFonts w:ascii="Arial" w:cs="Arial" w:eastAsia="Arial" w:hAnsi="Arial"/>
          <w:sz w:val="13"/>
          <w:szCs w:val="13"/>
          <w:color w:val="auto"/>
        </w:rPr>
        <w:t xml:space="preserve"> (“ASC 350-40"), the Company evaluates implementation costs incurred in a cloud computing arrangement that is a service contract under the internal-use software framework. Costs related to preliminary project activities and post implementation activities are expensed as incurred. Costs incurred in the development stage are generally capitalized as other assets. Amortization expense is calculated on a straight-line basis over the contractual term of the cloud computing arrangement and recorded as selling, general and administrative expense.</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Goodwill and Annual Goodwill Impairment Test</w:t>
      </w:r>
    </w:p>
    <w:p>
      <w:pPr>
        <w:spacing w:after="0" w:line="66"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For acquired businesses, the Company records assets acquired and liabilities assumed at their estimated fair values on the respective acquisition dates. Based on these values, the excess purchase price over the fair value of the net assets acquired is recorded as goodwill. Generally, reporting units are at the operating segment level or one level below the operating segment (the component level), if discrete financial information is prepared and regularly reviewed by segment management. Goodwill acquired in a business combination is assigned to each of the Company’s reporting units that are expected to benefit from the combination.</w:t>
      </w:r>
    </w:p>
    <w:p>
      <w:pPr>
        <w:spacing w:after="0" w:line="35"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 xml:space="preserve">The Company performs its annual impairment test of goodwill as of October 1 at the reporting unit level, as well as during any reporting period in which events or changes in circumstances occur that, in management’s judgment, may constitute triggering events under ASC 350-20, </w:t>
      </w:r>
      <w:r>
        <w:rPr>
          <w:rFonts w:ascii="Arial" w:cs="Arial" w:eastAsia="Arial" w:hAnsi="Arial"/>
          <w:sz w:val="13"/>
          <w:szCs w:val="13"/>
          <w:i w:val="1"/>
          <w:iCs w:val="1"/>
          <w:color w:val="auto"/>
        </w:rPr>
        <w:t>Intangibles – Goodwill and Other, Testing Goodwill for Impairment</w:t>
      </w:r>
      <w:r>
        <w:rPr>
          <w:rFonts w:ascii="Arial" w:cs="Arial" w:eastAsia="Arial" w:hAnsi="Arial"/>
          <w:sz w:val="13"/>
          <w:szCs w:val="13"/>
          <w:color w:val="auto"/>
        </w:rPr>
        <w:t>. The Company performs its assessment of goodwill utilizing either a qualitative or quantitative impairment test. The qualitative impairment test assesses company-specific, industry, market and general economic factors to determine whether it is more likely than not that the fair value of the reporting unit is less than its carrying amount. If the Company concludes that it is more likely than not that the fair value of the reporting unit is less than its carrying amount, or elects not to use the qualitative impairment test, a quantitative impairment test is performed. The quantitative impairment test involves a comparison of the estimated fair value of a reporting unit to its carrying amount. The Company uses an independent valuation specialist for its quantitative impairment tests to assist in the valuation.</w:t>
      </w:r>
    </w:p>
    <w:p>
      <w:pPr>
        <w:spacing w:after="0" w:line="26" w:lineRule="exact"/>
        <w:rPr>
          <w:sz w:val="20"/>
          <w:szCs w:val="20"/>
          <w:color w:val="auto"/>
        </w:rPr>
      </w:pPr>
    </w:p>
    <w:p>
      <w:pPr>
        <w:jc w:val="both"/>
        <w:ind w:firstLine="524"/>
        <w:spacing w:after="0" w:line="232" w:lineRule="auto"/>
        <w:rPr>
          <w:sz w:val="20"/>
          <w:szCs w:val="20"/>
          <w:color w:val="auto"/>
        </w:rPr>
      </w:pPr>
      <w:r>
        <w:rPr>
          <w:rFonts w:ascii="Arial" w:cs="Arial" w:eastAsia="Arial" w:hAnsi="Arial"/>
          <w:sz w:val="13"/>
          <w:szCs w:val="13"/>
          <w:color w:val="auto"/>
        </w:rPr>
        <w:t>Determining the fair value of a reporting unit is judgmental in nature and involves the use of significant estimates and assumptions. These estimates and assumptions include revenue growth rates and operating margins used to calculate projected future cash flows, risk-adjusted discount rates, value of net operating losses, future economic and market conditions and determination of appropriate market comparables. Management bases fair value estimates on assumptions it believes to be reasonable but that are unpredictable and inherently uncertain. Actual future results may differ from these estimates.</w:t>
      </w:r>
    </w:p>
    <w:p>
      <w:pPr>
        <w:spacing w:after="0" w:line="1"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If the carrying amount of the reporting unit exceeds the calculated fair value of the reporting unit, an impairment charge would be recognized for the excess, not to exceed the amount of goodwill allocated to that reporting unit.</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Intangible Assets Other than Goodwill</w:t>
      </w:r>
    </w:p>
    <w:p>
      <w:pPr>
        <w:spacing w:after="0" w:line="66"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Intangible assets that are acquired by the Company and determined to have an indefinite useful life are not amortized but are tested for impairment at least annually. The Company’s indefinite-lived intangible assets consist of the Williams Scotsman and Mobile Mini trade names. The Company performs its assessment of indefinite-lived intangible assets utilizing</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28" w:right="319" w:bottom="1440" w:gutter="0" w:footer="0" w:header="0"/>
        </w:sectPr>
      </w:pPr>
    </w:p>
    <w:bookmarkStart w:id="80" w:name="page81"/>
    <w:bookmarkEnd w:id="80"/>
    <w:p>
      <w:pPr>
        <w:jc w:val="both"/>
        <w:spacing w:after="0" w:line="250" w:lineRule="auto"/>
        <w:rPr>
          <w:sz w:val="20"/>
          <w:szCs w:val="20"/>
          <w:color w:val="auto"/>
        </w:rPr>
      </w:pPr>
      <w:r>
        <w:rPr>
          <w:rFonts w:ascii="Arial" w:cs="Arial" w:eastAsia="Arial" w:hAnsi="Arial"/>
          <w:sz w:val="13"/>
          <w:szCs w:val="13"/>
          <w:color w:val="auto"/>
        </w:rPr>
        <w:t>either a qualitative or quantitative impairment test. When utilizing a quantitative impairment test, the Company calculates fair value using a relief-from-royalty method. This method is used to estimate the cost savings that accrue to the owner of an intangible asset who would otherwise have to pay royalties or license fees on revenues earned through the use of the asset. If the carrying amount of the indefinite-lived intangible asset exceeds its fair value, an impairment charge would be recorded to the extent the recorded indefinite-lived intangible asset exceeds the fair value.</w:t>
      </w:r>
    </w:p>
    <w:p>
      <w:pPr>
        <w:spacing w:after="0" w:line="188"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Other intangible assets that have finite useful lives are measured at cost less accumulated amortization and impairment losses, if any. Amortization is recognized in profit or loss over the estimated useful lives of the intangible asset.</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Purchase Accounting</w:t>
      </w:r>
    </w:p>
    <w:p>
      <w:pPr>
        <w:spacing w:after="0" w:line="66" w:lineRule="exact"/>
        <w:rPr>
          <w:sz w:val="20"/>
          <w:szCs w:val="20"/>
          <w:color w:val="auto"/>
        </w:rPr>
      </w:pPr>
    </w:p>
    <w:p>
      <w:pPr>
        <w:jc w:val="both"/>
        <w:ind w:firstLine="524"/>
        <w:spacing w:after="0" w:line="248" w:lineRule="auto"/>
        <w:rPr>
          <w:sz w:val="20"/>
          <w:szCs w:val="20"/>
          <w:color w:val="auto"/>
        </w:rPr>
      </w:pPr>
      <w:r>
        <w:rPr>
          <w:rFonts w:ascii="Arial" w:cs="Arial" w:eastAsia="Arial" w:hAnsi="Arial"/>
          <w:sz w:val="13"/>
          <w:szCs w:val="13"/>
          <w:color w:val="auto"/>
        </w:rPr>
        <w:t>The Company accounts for acquisitions of businesses under the acquisition method. Under the acquisition method of accounting, the Company records assets acquired and liabilities assumed at their estimated fair value on the date of acquisition. Goodwill is measured as the excess of the fair value of the consideration transferred over the fair value of the identifiable net assets. When appropriate, our estimates of the fair values of assets and liabilities acquired include assistance from independent third-party valuation firms. Valuations are finalized as soon as practicable, but not later than one year from the acquisition date. Any subsequent changes to purchase price allocations result in a corresponding adjustment to goodwill. Transaction costs are expensed in the acquisition of a business.</w:t>
      </w:r>
    </w:p>
    <w:p>
      <w:pPr>
        <w:spacing w:after="0" w:line="36"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Long-lived assets (principally rental equipment), goodwill and other intangible assets generally represent the largest components of our acquisitions. Rental equipment is valued utilizing a replacement cost approach. Intangible assets are recognized at their estimated fair values as of the date of acquisition and generally consist of customer relationships and trade names. Determination of the estimated fair value of intangible assets requires judgment. The estimated fair value of customer relationships is determined based on estimates and judgments regarding discounted future after-tax earnings and cash flows arising from lease renewals and new lease arrangements expected from customer relationships. The fair value of trade name intangible assets is determined utilizing the relief from royalty method. Under this form of the income approach, a royalty rate based on observed market royalties is applied to projected revenue supporting the trade name and discounted to present value.</w:t>
      </w:r>
    </w:p>
    <w:p>
      <w:pPr>
        <w:spacing w:after="0" w:line="38"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Acquisitions that do not meet the definition of a business are accounted for as asset acquisitions. An asset acquisition is accounted for by allocating the cost of the acquisition to the individual assets acquired and liabilities assumed on a relative fair value basis. Goodwill is not recognized in an asset acquisition. Any consideration in excess of net assets acquired is allocated to acquired assets on a relative fair value basis. The Company measures the fair value of assets acquired utilizing observable market transaction data for comparable assets or recent purchase prices. Transaction costs are considered a component of the cost of the acquisition in an asset acquisition.</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Retirement Benefit Obligation</w:t>
      </w:r>
    </w:p>
    <w:p>
      <w:pPr>
        <w:spacing w:after="0" w:line="66"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The Company provides benefits to certain of its employees under defined contribution benefit plans. The Company’s contributions to these plans are generally based on a percentage of employee compensation or employee contributions. These plans are funded on a current basis. For its US and Canada employees, the Company sponsors defined contribution benefit plans that have discretionary matching contribution and profit-sharing features. For the years ended December 31, 2021, 2020 and 2019, the Company made matching contributions of $11.7 million, $7.1 million and $5.4 million to these plans,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Stock-Based Compensation</w:t>
      </w:r>
    </w:p>
    <w:p>
      <w:pPr>
        <w:spacing w:after="0" w:line="66"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Prior to the Merger, stock awards were granted under the WillScot Corporation 2017 Incentive Award Plan (the "2017 Incentive Plan"), which included Restricted Stock Awards ("RSAs") and Restricted Stock Units ("RSUs"). On June 24, 2020, WillScot's stockholders approved the WillScot Mobile Mini 2020 Incentive Award Plan ("2020 Incentive Plan") to take effect pending completion of the Merger and, as a result, all future incentive awards are granted under the 2020 Incentive Plan. The 2020 Incentive Plan is administered by the Compensation Committee. Under the 2020 Incentive Plan, the Compensation Committee may grant an aggregate of 6,488,988 shares of Common Stock in the form of non-qualified stock options, incentive stock options, stock appreciation rights, RSAs, RSUs, performance compensation awards and stock bonus awards. Stock-based payments, including the grant of stock options, RSAs and RSUs, are subject to service-based vesting requirements, and expense is recognized on a straight-line basis over the vesting period. Forfeitures are accounted for as they occur.</w:t>
      </w:r>
    </w:p>
    <w:p>
      <w:pPr>
        <w:spacing w:after="0" w:line="38"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Stock-based compensation expense includes grants of stock options, time-based RSUs ("Time-Based RSUs") and performance-based RSUs ("Performance-Based RSUs", together with Time-Based RSUs, the "RSUs"). RSUs are recognized in the financial statements based on their fair value. In addition, stock-based payments to non-executive directors include grants of RSAs. Time-Based RSUs and RSAs are valued based on the intrinsic value of the difference between the exercise price, if any, of the award and the fair market value of WillScot Mobile Mini's Common Stock on the grant date. Performance-Based RSUs are valued based on a Monte Carlo simulation model to reflect the impact of the Performance-Based RSUs market condition. The probability of satisfying a market condition is considered in the estimation of the grant-date fair value for Performance-Based RSUs and the compensation cost is not reversed if the market condition is not achieved, provided the requisite service has been provided.</w:t>
      </w:r>
    </w:p>
    <w:p>
      <w:pPr>
        <w:spacing w:after="0" w:line="38"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RSAs cliff vest in a one year period. Time-Based RSUs vest ratably over a period of four years. Certain Performance-Based RSUs cliff vest based on achievement of the relative total stockholder return ("TSR") of the Company's Common Stock as compared to the TSR of the constituents in an Index at the grant date over the performance period of three years. For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28" w:right="319" w:bottom="1440" w:gutter="0" w:footer="0" w:header="0"/>
        </w:sectPr>
      </w:pPr>
    </w:p>
    <w:bookmarkStart w:id="81" w:name="page82"/>
    <w:bookmarkEnd w:id="81"/>
    <w:p>
      <w:pPr>
        <w:jc w:val="both"/>
        <w:spacing w:after="0" w:line="247" w:lineRule="auto"/>
        <w:rPr>
          <w:sz w:val="20"/>
          <w:szCs w:val="20"/>
          <w:color w:val="auto"/>
        </w:rPr>
      </w:pPr>
      <w:r>
        <w:rPr>
          <w:rFonts w:ascii="Arial" w:cs="Arial" w:eastAsia="Arial" w:hAnsi="Arial"/>
          <w:sz w:val="13"/>
          <w:szCs w:val="13"/>
          <w:color w:val="auto"/>
        </w:rPr>
        <w:t>certain 2021 grants, the TSR of the Company's Common Stock is compared to the TSR of the constituents in the S&amp;P 400 index. The target number of RSUs may be adjusted from 0% to 200% based on the TSR attainment levels defined by the Compensation Committee. The 100% target payout is tied to performance at the 50% percentile, with a payout curve ranging from 0% (for performance less than the 25% percentile) to 200% (for performance at or above the 85% percentile). For grants in 2020 and prior, the TSR of the Company's Common Stock is compared to the TSR of constituents in the Russell 3000 index. The target number of RSUs may be adjusted from 0% to 150% based on the TSR attainment levels defined by the Compensation Committee. The 100% target payout is tied to performance at the 50% percentile, with a payout curve ranging from 0% (for performance less than the 25% percentile) to 150% (for performance at or above the 75% percentile). Vesting is also subject to continued service requirements through the vesting date.</w:t>
      </w:r>
    </w:p>
    <w:p>
      <w:pPr>
        <w:spacing w:after="0" w:line="38"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For 555,790 Performance-Based RSUs granted in 2021, the awards cliff vest based on achievement of specified share prices of the Company's Common Stock at annual measurement dates over performance periods of 4.5 years to 4.8 years. The target number of RSUs may be adjusted from 0 to 1,333,334 based on the stock price attainment levels defined by the Company's Compensation Committee. The 555,790 RSU target payout is tied to a stock price of $47.50, with a payout ranging from 0 RSUs (for a stock price less than $42.50) to 1,333,334 RSUs (for a stock price of $60.00 or greater).</w:t>
      </w:r>
    </w:p>
    <w:p>
      <w:pPr>
        <w:spacing w:after="0" w:line="35"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Stock options vest in tranches over a period of four years and expire ten years from the grant date. The fair value of each stock option award on the grant date is estimated using the Black-Scholes option-pricing model with the following assumptions: expected dividend yield, expected stock price volatility, weighted-average risk-free interest rate and weighted-average expected term of the options. The volatility assumption used in the Black-Scholes option-pricing model was based on a blend of peer group volatility and Company trading history as the Company did not have a sufficient trading history as a stand-alone public company to rely exclusively on its own trading history. Future calculations may use the Company trading history. Additionally, due to an insufficient history with respect to stock option activity and post-vesting cancellations, the expected term assumption is based on the simplified method under GAAP, which is based on the vesting period and contractual term for each tranche of awards. The mid-point between the weighted-average vesting term and the expiration date is used as the expected term under this method. The risk-free interest rate used in the Black-Scholes model is based on the implied US Treasury bill yield curve at the date of grant with a remaining term equal to the Company’s expected term assumption. WillScot Mobile Mini has never declared or paid a cash dividend on common shares.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Foreign Currency Translation and Transactions</w:t>
      </w:r>
    </w:p>
    <w:p>
      <w:pPr>
        <w:spacing w:after="0" w:line="66"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The Company’s reporting currency is the US Dollar (“USD”). Exchange rate adjustments resulting from foreign currency transactions are recognized in profit or loss, whereas effects resulting from the translation of financial statements are reflected as a component of accumulated other comprehensive loss, which is a component of shareholders’ equity.</w:t>
      </w:r>
    </w:p>
    <w:p>
      <w:pPr>
        <w:spacing w:after="0" w:line="31"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The assets and liabilities of subsidiaries whose functional currency is different from the USD are translated into USD at exchange rates at the reporting date and income and expenses are translated using average exchange rates for the respective period.</w:t>
      </w:r>
    </w:p>
    <w:p>
      <w:pPr>
        <w:spacing w:after="0" w:line="31"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Exchange rate adjustments resulting from transactions in foreign currencies (currencies other than the Company entities’ functional currencies) are remeasured to the respective functional currencies using exchange rates at the dates of the transactions and are recognized in currency (gains) losses on the consolidated statements of operations.</w:t>
      </w:r>
    </w:p>
    <w:p>
      <w:pPr>
        <w:spacing w:after="0" w:line="31"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Foreign exchange gains and losses arising from a receivable or payable to a consolidated Company entity, the settlement of which is neither planned nor anticipated in the foreseeable future, are considered to form part of a net investment in the Company entity and are included within accumulated other comprehensive loss.</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Derivative Instruments and Hedging Activities</w:t>
      </w:r>
    </w:p>
    <w:p>
      <w:pPr>
        <w:spacing w:after="0" w:line="66"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The Company utilizes derivative financial instruments, specifically interest rate swaps, to manage its exposure to fluctuations in interest rates on variable rate debt. The Company does not use derivatives for trading or speculative purposes.</w:t>
      </w:r>
    </w:p>
    <w:p>
      <w:pPr>
        <w:spacing w:after="0" w:line="31"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The Company records derivatives on the balance sheet at fair value within prepaid expenses and other current assets and other non-current assets (if in an unrealized gain position) or within accrued liabilities and other non-current liabilities (if in an unrealized loss position). If a derivative is designated as a cash flow hedge and meets the highly effective threshold, the changes in the fair value of derivatives are recorded in accumulated other comprehensive income (loss). Amounts reported in accumulated other comprehensive income (loss) related to the cash flow hedges are reclassified to earnings within interest expense when the hedged item impacts earnings. For any derivative instruments not designated as hedging instruments, changes in fair value would be recognized in earnings within interest expense in the period that the change occurs. Cash flows from derivative instruments are presented within net cash provided by operating activities in the consolidated statements of cash flows. The Company assesses, both at the inception of the hedge and on an ongoing quarterly basis, whether the derivatives designated as cash flow hedges are highly effective in offsetting the changes in cash flows of the hedged items.</w:t>
      </w:r>
    </w:p>
    <w:p>
      <w:pPr>
        <w:spacing w:after="0" w:line="37"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The use of derivative financial instruments carries certain risks, including the risk that the counterparties to these contractual arrangements are not able to perform under the agreements. To mitigate this risk, the Company enters into derivative financial instruments only with counterparties with high credit ratings and with major financial institutions. The Company does not anticipate that any of the counterparties will fail to meet their obligations.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28" w:right="319" w:bottom="1440" w:gutter="0" w:footer="0" w:header="0"/>
        </w:sectPr>
      </w:pPr>
    </w:p>
    <w:bookmarkStart w:id="82" w:name="page83"/>
    <w:bookmarkEnd w:id="82"/>
    <w:p>
      <w:pPr>
        <w:spacing w:after="0"/>
        <w:rPr>
          <w:sz w:val="20"/>
          <w:szCs w:val="20"/>
          <w:color w:val="auto"/>
        </w:rPr>
      </w:pPr>
      <w:r>
        <w:rPr>
          <w:rFonts w:ascii="Arial" w:cs="Arial" w:eastAsia="Arial" w:hAnsi="Arial"/>
          <w:sz w:val="15"/>
          <w:szCs w:val="15"/>
          <w:b w:val="1"/>
          <w:bCs w:val="1"/>
          <w:color w:val="auto"/>
        </w:rPr>
        <w:t>Revenue Recognition</w:t>
      </w:r>
    </w:p>
    <w:p>
      <w:pPr>
        <w:spacing w:after="0" w:line="66"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A performance obligation is a promise in a contract to transfer a distinct good or service to the customer. A contract’s transaction price is allocated to each distinct performance obligation and recognized as revenue when, or as, the performance obligation is satisfied.</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Leasing and Services Revenue</w:t>
      </w:r>
    </w:p>
    <w:p>
      <w:pPr>
        <w:spacing w:after="0" w:line="49" w:lineRule="exact"/>
        <w:rPr>
          <w:sz w:val="20"/>
          <w:szCs w:val="20"/>
          <w:color w:val="auto"/>
        </w:rPr>
      </w:pPr>
    </w:p>
    <w:p>
      <w:pPr>
        <w:jc w:val="both"/>
        <w:ind w:firstLine="524"/>
        <w:spacing w:after="0" w:line="262" w:lineRule="auto"/>
        <w:rPr>
          <w:sz w:val="20"/>
          <w:szCs w:val="20"/>
          <w:color w:val="auto"/>
        </w:rPr>
      </w:pPr>
      <w:r>
        <w:rPr>
          <w:rFonts w:ascii="Arial" w:cs="Arial" w:eastAsia="Arial" w:hAnsi="Arial"/>
          <w:sz w:val="13"/>
          <w:szCs w:val="13"/>
          <w:color w:val="auto"/>
        </w:rPr>
        <w:t xml:space="preserve">The majority of revenue is generated by rental income subject to the guidance of Accounting Standard Update ("ASU") 2016-2, </w:t>
      </w:r>
      <w:r>
        <w:rPr>
          <w:rFonts w:ascii="Arial" w:cs="Arial" w:eastAsia="Arial" w:hAnsi="Arial"/>
          <w:sz w:val="13"/>
          <w:szCs w:val="13"/>
          <w:i w:val="1"/>
          <w:iCs w:val="1"/>
          <w:color w:val="auto"/>
        </w:rPr>
        <w:t>Leases (Topic 842)</w:t>
      </w:r>
      <w:r>
        <w:rPr>
          <w:rFonts w:ascii="Arial" w:cs="Arial" w:eastAsia="Arial" w:hAnsi="Arial"/>
          <w:sz w:val="13"/>
          <w:szCs w:val="13"/>
          <w:color w:val="auto"/>
        </w:rPr>
        <w:t xml:space="preserve"> ("ASC 842"). The remaining revenue is generated by performance obligations in contracts with customers for services or sale of units subject to the guidance in Accounting Standards Update ("ASU") 2014-09, </w:t>
      </w:r>
      <w:r>
        <w:rPr>
          <w:rFonts w:ascii="Arial" w:cs="Arial" w:eastAsia="Arial" w:hAnsi="Arial"/>
          <w:sz w:val="13"/>
          <w:szCs w:val="13"/>
          <w:i w:val="1"/>
          <w:iCs w:val="1"/>
          <w:color w:val="auto"/>
        </w:rPr>
        <w:t>Revenue from</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Contracts with Customers (Topic 606) </w:t>
      </w:r>
      <w:r>
        <w:rPr>
          <w:rFonts w:ascii="Arial" w:cs="Arial" w:eastAsia="Arial" w:hAnsi="Arial"/>
          <w:sz w:val="13"/>
          <w:szCs w:val="13"/>
          <w:color w:val="auto"/>
        </w:rPr>
        <w:t>("ASC 606").</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Leasing Revenue</w:t>
      </w:r>
    </w:p>
    <w:p>
      <w:pPr>
        <w:spacing w:after="0" w:line="63" w:lineRule="exact"/>
        <w:rPr>
          <w:sz w:val="20"/>
          <w:szCs w:val="20"/>
          <w:color w:val="auto"/>
        </w:rPr>
      </w:pPr>
    </w:p>
    <w:p>
      <w:pPr>
        <w:jc w:val="both"/>
        <w:ind w:firstLine="524"/>
        <w:spacing w:after="0" w:line="248" w:lineRule="auto"/>
        <w:rPr>
          <w:sz w:val="20"/>
          <w:szCs w:val="20"/>
          <w:color w:val="auto"/>
        </w:rPr>
      </w:pPr>
      <w:r>
        <w:rPr>
          <w:rFonts w:ascii="Arial" w:cs="Arial" w:eastAsia="Arial" w:hAnsi="Arial"/>
          <w:sz w:val="13"/>
          <w:szCs w:val="13"/>
          <w:color w:val="auto"/>
        </w:rPr>
        <w:t>Income from operating leases is recognized on a straight-line basis over the lease term. The Company's lease arrangements can include multiple lease and non-lease components. Examples of lease components include, but are not limited to, the lease of modular space, portable storage units and VAPS. Examples of non-lease components include, but are not limited to, the delivery, installation, maintenance, and removal services commonly provided in a bundled transaction with the lease components. Arrangement consideration is allocated between lease deliverables and non-lease components based on the relative estimated selling (leasing) price of each deliverable. Estimated selling (leasing) price of the lease deliverables is based upon the estimated stand-alone selling price of the related performance obligations using an adjusted market approach.</w:t>
      </w:r>
    </w:p>
    <w:p>
      <w:pPr>
        <w:spacing w:after="0" w:line="36"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When leases and services are billed in advance, recognition of revenue is deferred until services are rendered. If equipment is returned prior to the contractually obligated period, the excess, if any, between the amount the customer is contractually required to pay over the cumulative amount of revenue recognized to date is recognized as incremental revenue upon return.</w:t>
      </w:r>
    </w:p>
    <w:p>
      <w:pPr>
        <w:spacing w:after="0" w:line="31"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Rental equipment is leased primarily under operating leases. Operating lease minimum contractual terms within the NA Modular segment, as defined in Note 18, generally range from 1 month to 60 months and averaged approximately 10 months across this segment's rental fleet for the year ended December 31, 2021. Rental contracts with customers within the NA Storage, UK Storage, and Tank &amp; Pump segments are generally based on a 28-day rate and billing cycle. The rental continues until cancelled by the Company or the customer. The Company records changes in estimated collectability directly against leasing revenue.</w:t>
      </w:r>
    </w:p>
    <w:p>
      <w:pPr>
        <w:spacing w:after="0" w:line="35"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The Company may use third parties to satisfy its performance obligations, including both the provision of VAPS and other services. To determine whether it is the principal or agent in the arrangement, the Company reviews each third-party relationship on a contract-by-contract basis. The Company is considered an agent when its role is to arrange for another entity to provide the VAPS and other services to the customer. In these instances, the Company does not control the rental unit or service before it is provided and the risk of performance is held by the third party. The Company is considered the principal when it controls the VAPS or other services prior to transferring control to the customer and retains the risk of performance. WillScot Mobile Mini may be a principal in the fulfillment of some leasing contracts and services elements and an agent for other elements within the same contract. Revenue is recognized on a gross basis when the Company is the principal in the arrangement and on a net basis when it is the agent.</w:t>
      </w:r>
    </w:p>
    <w:p>
      <w:pPr>
        <w:spacing w:after="0" w:line="6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Services Revenue</w:t>
      </w:r>
    </w:p>
    <w:p>
      <w:pPr>
        <w:spacing w:after="0" w:line="6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Company generally has three non-lease service-related performance obligations in its contracts with customers:</w:t>
      </w:r>
    </w:p>
    <w:p>
      <w:pPr>
        <w:spacing w:after="0" w:line="91" w:lineRule="exact"/>
        <w:rPr>
          <w:sz w:val="20"/>
          <w:szCs w:val="20"/>
          <w:color w:val="auto"/>
        </w:rPr>
      </w:pPr>
    </w:p>
    <w:p>
      <w:pPr>
        <w:ind w:left="1040" w:hanging="246"/>
        <w:spacing w:after="0"/>
        <w:tabs>
          <w:tab w:leader="none" w:pos="10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Delivery and installation of the modular or portable storage unit;</w:t>
      </w:r>
    </w:p>
    <w:p>
      <w:pPr>
        <w:spacing w:after="0" w:line="47" w:lineRule="exact"/>
        <w:rPr>
          <w:rFonts w:ascii="Arial" w:cs="Arial" w:eastAsia="Arial" w:hAnsi="Arial"/>
          <w:sz w:val="13"/>
          <w:szCs w:val="13"/>
          <w:color w:val="auto"/>
        </w:rPr>
      </w:pPr>
    </w:p>
    <w:p>
      <w:pPr>
        <w:ind w:left="1040" w:hanging="246"/>
        <w:spacing w:after="0"/>
        <w:tabs>
          <w:tab w:leader="none" w:pos="10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Maintenance and other ad hoc services performed during the lease term; and</w:t>
      </w:r>
    </w:p>
    <w:p>
      <w:pPr>
        <w:spacing w:after="0" w:line="47" w:lineRule="exact"/>
        <w:rPr>
          <w:rFonts w:ascii="Arial" w:cs="Arial" w:eastAsia="Arial" w:hAnsi="Arial"/>
          <w:sz w:val="13"/>
          <w:szCs w:val="13"/>
          <w:color w:val="auto"/>
        </w:rPr>
      </w:pPr>
    </w:p>
    <w:p>
      <w:pPr>
        <w:ind w:left="1040" w:hanging="246"/>
        <w:spacing w:after="0"/>
        <w:tabs>
          <w:tab w:leader="none" w:pos="10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Removal services that occur at the end of the lease term.</w:t>
      </w:r>
    </w:p>
    <w:p>
      <w:pPr>
        <w:spacing w:after="0" w:line="47"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Consideration is allocated to each of these performance obligations within the contract based upon their estimated relative standalone selling prices using the estimated cost plus a margin approach. Revenue from these activities is recognized as the services are performed.</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Sales Revenue</w:t>
      </w:r>
    </w:p>
    <w:p>
      <w:pPr>
        <w:spacing w:after="0" w:line="63"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Sales revenue is generated by the sale of new and rental units. Revenue from the sale of new and rental units is generally recognized at a point in time upon the transfer of control to the customer, which occurs when the unit is delivered and installed in accordance with the contract. Sales transactions constitute a single performance obligation.</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Other Matters</w:t>
      </w:r>
    </w:p>
    <w:p>
      <w:pPr>
        <w:spacing w:after="0" w:line="63"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The Company's non-lease revenues do not include material amounts of variable consideration, other than the variability noted for services arrangements expected to be performed beyond a twelve-month period.</w:t>
      </w:r>
    </w:p>
    <w:p>
      <w:pPr>
        <w:spacing w:after="0" w:line="31"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The Company's payment terms vary by the type and location of its customer and the product or services offered. The time between invoicing and when payment is due is not significant. While the Company may bill certain customers in advance, its contracts do not contain a significant financing component based on the short length of time between upfront billings and the performance of contracted services. For certain products, services, or customer types, the Company requires payment before the products or services are delivered to the customer. At December 31, 2021, current deferred revenue and customer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07" w:right="319" w:bottom="1440" w:gutter="0" w:footer="0" w:header="0"/>
        </w:sectPr>
      </w:pPr>
    </w:p>
    <w:bookmarkStart w:id="83" w:name="page84"/>
    <w:bookmarkEnd w:id="83"/>
    <w:p>
      <w:pPr>
        <w:jc w:val="both"/>
        <w:spacing w:after="0" w:line="256" w:lineRule="auto"/>
        <w:rPr>
          <w:sz w:val="20"/>
          <w:szCs w:val="20"/>
          <w:color w:val="auto"/>
        </w:rPr>
      </w:pPr>
      <w:r>
        <w:rPr>
          <w:rFonts w:ascii="Arial" w:cs="Arial" w:eastAsia="Arial" w:hAnsi="Arial"/>
          <w:sz w:val="13"/>
          <w:szCs w:val="13"/>
          <w:color w:val="auto"/>
        </w:rPr>
        <w:t>deposits included deferred revenue of $156.9 million and customer deposits of $2.7 million, respectively. At December 31, 2020, current deferred revenue and customer deposits included deferred revenue of $133.2 million and customer deposits of $2.3 million, respectively.</w:t>
      </w:r>
    </w:p>
    <w:p>
      <w:pPr>
        <w:spacing w:after="0" w:line="31" w:lineRule="exact"/>
        <w:rPr>
          <w:sz w:val="20"/>
          <w:szCs w:val="20"/>
          <w:color w:val="auto"/>
        </w:rPr>
      </w:pPr>
    </w:p>
    <w:p>
      <w:pPr>
        <w:ind w:left="540"/>
        <w:spacing w:after="0"/>
        <w:rPr>
          <w:sz w:val="20"/>
          <w:szCs w:val="20"/>
          <w:color w:val="auto"/>
        </w:rPr>
      </w:pPr>
      <w:r>
        <w:rPr>
          <w:rFonts w:ascii="Arial" w:cs="Arial" w:eastAsia="Arial" w:hAnsi="Arial"/>
          <w:sz w:val="13"/>
          <w:szCs w:val="13"/>
          <w:color w:val="auto"/>
        </w:rPr>
        <w:t>Revenue is recognized net of sales tax billed to customers, which is subsequently remitted to governmental authorities.</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Leases as Lessee</w:t>
      </w:r>
    </w:p>
    <w:p>
      <w:pPr>
        <w:spacing w:after="0" w:line="66"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The Company leases real estate for certain of its branch offices, administrative offices, rental equipment storage properties, vehicles and equipment, and administrative operations. The Company determines if an arrangement is or contains a lease at inception. Leases are classified as either finance or operating at inception of the lease, with classification affecting the pattern of expense recognition in the income statement. Short-term leases, defined as leases with an initial term of 12 months or less, are not recorded on the balance sheet. Lease expense for short-term leases is recognized on a straight-line basis over the lease term.</w:t>
      </w:r>
    </w:p>
    <w:p>
      <w:pPr>
        <w:spacing w:after="0" w:line="35"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The Company has leases that contain both lease and non-lease components and has elected, as an accounting policy, to not separate lease components and non-lease components. Operating and finance lease right of use ("ROU") assets and liabilities are recognized at the commencement date based on the present value of lease payments over the lease term. The lease liability is calculated as the present value of the remaining minimum rental payments for existing leases using either the rate implicit in the lease or, if none exists, the Company's incremental borrowing rate, as the discount rate. The Company uses its incremental borrowing rate at commencement date in determining the present value of lease payments for those leases where the implicit rate is not known. The Company's incremental borrowing rate is a hypothetical rate based on its understanding of what would be the Company's secured credit rating. Variable lease payments are expensed in the period in which the obligation for those payments is incurred. Variable lease payments include payments for common area maintenance, real estate taxes, management fees and insurance.</w:t>
      </w:r>
    </w:p>
    <w:p>
      <w:pPr>
        <w:spacing w:after="0" w:line="37"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Many of the Company’s real estate lease agreements include options to extend the lease, which are not included in the minimum lease terms unless the Company is reasonably certain it will exercise the option. Many of these leases include one or more options to renew. Additionally, the Company’s leases do not generally include options to terminate the lease prior to the end of the lease term. The Company’s lease agreements do not contain any material residual value guarantees or material restrictive covenants.</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Advertising and Promotion</w:t>
      </w:r>
    </w:p>
    <w:p>
      <w:pPr>
        <w:spacing w:after="0" w:line="66" w:lineRule="exact"/>
        <w:rPr>
          <w:sz w:val="20"/>
          <w:szCs w:val="20"/>
          <w:color w:val="auto"/>
        </w:rPr>
      </w:pPr>
    </w:p>
    <w:p>
      <w:pPr>
        <w:ind w:left="540"/>
        <w:spacing w:after="0"/>
        <w:rPr>
          <w:sz w:val="20"/>
          <w:szCs w:val="20"/>
          <w:color w:val="auto"/>
        </w:rPr>
      </w:pPr>
      <w:r>
        <w:rPr>
          <w:rFonts w:ascii="Arial" w:cs="Arial" w:eastAsia="Arial" w:hAnsi="Arial"/>
          <w:sz w:val="13"/>
          <w:szCs w:val="13"/>
          <w:color w:val="auto"/>
        </w:rPr>
        <w:t>Advertising and promotion costs, which are expensed as incurred, were $8.1 million, $7.3 million and $4.0 million for the years ended December 31, 2021, 2020 and 2019, respectively.</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Shipping Costs</w:t>
      </w:r>
    </w:p>
    <w:p>
      <w:pPr>
        <w:spacing w:after="0" w:line="110"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Company includes third-party costs to deliver rental equipment to customers in costs of leasing and services, and cost of sales.</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Income Taxes</w:t>
      </w:r>
    </w:p>
    <w:p>
      <w:pPr>
        <w:spacing w:after="0" w:line="66"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35"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The Company records deferred tax assets to the extent it believes that it is more likely than not that these assets will be realized. In making such determination, the Company considers all available positive and negative evidence, including scheduled reversals of deferred tax liabilities, projected future taxable income, tax planning strategies and recent results of operations. Valuation allowances are recorded to reduce the deferred tax assets to an amount that will more likely than not be realized.</w:t>
      </w:r>
    </w:p>
    <w:p>
      <w:pPr>
        <w:spacing w:after="0" w:line="33"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The Company assesses the likelihood that each of the deferred tax assets will be realized. To the extent management concludes the realization of any deferred tax assets is not more likely than not, the Company establishes a valuation allowance. When a valuation allowance is established or there is an increase in an allowance in a reporting period, tax expense is generally recorded in the Company’s consolidated statement of operations. Conversely, to the extent circumstances indicate that a valuation allowance is no longer necessary, that portion of the valuation allowance is reversed, which generally reduces the Company’s income tax expense.</w:t>
      </w:r>
    </w:p>
    <w:p>
      <w:pPr>
        <w:spacing w:after="0" w:line="35"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Deferred tax liabilities are recognized for the income taxes on the undistributed earnings of wholly-owned foreign subsidiaries unless such earnings are indefinitely reinvested, or will only be repatriated when possible to do so at minimal additional tax cost. Current income tax relating to items recognized directly in equity is recognized in equity and not in profit (loss) for the year.</w:t>
      </w:r>
    </w:p>
    <w:p>
      <w:pPr>
        <w:spacing w:after="0" w:line="31"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In accordance with applicable authoritative guidance, the Company accounts for uncertain income tax positions using a benefit recognition model with a two-step approach; a more-likely-than-not recognition criterion; and a measurement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28" w:right="319" w:bottom="1440" w:gutter="0" w:footer="0" w:header="0"/>
        </w:sectPr>
      </w:pPr>
    </w:p>
    <w:bookmarkStart w:id="84" w:name="page85"/>
    <w:bookmarkEnd w:id="84"/>
    <w:p>
      <w:pPr>
        <w:jc w:val="both"/>
        <w:spacing w:after="0" w:line="251" w:lineRule="auto"/>
        <w:rPr>
          <w:sz w:val="20"/>
          <w:szCs w:val="20"/>
          <w:color w:val="auto"/>
        </w:rPr>
      </w:pPr>
      <w:r>
        <w:rPr>
          <w:rFonts w:ascii="Arial" w:cs="Arial" w:eastAsia="Arial" w:hAnsi="Arial"/>
          <w:sz w:val="13"/>
          <w:szCs w:val="13"/>
          <w:color w:val="auto"/>
        </w:rPr>
        <w:t>approach that measures the position as the largest amount of tax benefit that is greater than 50% likely of being realized upon ultimate settlement. If it is not more-likely-than-not that the benefit of the tax position will be sustained on its technical merits, no benefit is recorded. Uncertain tax positions that relate only to timing of when an item is included on a tax return are considered to have met the recognition threshold. The Company classifies interest on tax deficiencies and income tax penalties within income tax expense.</w:t>
      </w:r>
    </w:p>
    <w:p>
      <w:pPr>
        <w:spacing w:after="0" w:line="77"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Company accounts for any impacts of the Global Intangible Low-Taxed Income ("GILTI") in the period in which they are incurred.</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Fair Value Measurements</w:t>
      </w:r>
    </w:p>
    <w:p>
      <w:pPr>
        <w:spacing w:after="0" w:line="66"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The Company maximizes the use of observable inputs and minimizes the use of unobservable inputs when measuring fair value. A financial instrument’s categorization within the fair value hierarchy is based upon the lowest level of input that is significant to the fair value measurement. The inputs are prioritized into three levels that may be used to measure fair value. See further discussion of the levels in Note 14.</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Warrants</w:t>
      </w:r>
    </w:p>
    <w:p>
      <w:pPr>
        <w:spacing w:after="0" w:line="52"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 xml:space="preserve">The Company accounts for warrants in accordance with applicable accounting guidance provided in ASC 815-40, </w:t>
      </w:r>
      <w:r>
        <w:rPr>
          <w:rFonts w:ascii="Arial" w:cs="Arial" w:eastAsia="Arial" w:hAnsi="Arial"/>
          <w:sz w:val="13"/>
          <w:szCs w:val="13"/>
          <w:i w:val="1"/>
          <w:iCs w:val="1"/>
          <w:color w:val="auto"/>
        </w:rPr>
        <w:t>Contracts in Entity's Own Equity</w:t>
      </w:r>
      <w:r>
        <w:rPr>
          <w:rFonts w:ascii="Arial" w:cs="Arial" w:eastAsia="Arial" w:hAnsi="Arial"/>
          <w:sz w:val="13"/>
          <w:szCs w:val="13"/>
          <w:color w:val="auto"/>
        </w:rPr>
        <w:t>, as either derivative liabilities or as equity instruments depending on the specific terms of the warrant agreements. In periods subsequent to issuance, warrants classified as liabilities are subject to remeasurement at each balance sheet date and transaction date with changes in the estimated fair values of the common stock warrant liabilities and gains and losses on extinguishment of common stock warrant liabilities reported in the consolidated statements of operations.</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Recently Issued and Adopted Accounting Standards</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Recently Issued Accounting Standards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 xml:space="preserve">ASU 2020-04. </w:t>
      </w:r>
      <w:r>
        <w:rPr>
          <w:rFonts w:ascii="Arial" w:cs="Arial" w:eastAsia="Arial" w:hAnsi="Arial"/>
          <w:sz w:val="13"/>
          <w:szCs w:val="13"/>
          <w:i w:val="1"/>
          <w:iCs w:val="1"/>
          <w:u w:val="single" w:color="auto"/>
          <w:color w:val="auto"/>
        </w:rPr>
        <w:t>Reference Rate Reform (Topic 848), Facilitation of the Effects of Reference Rate Reform on Financial Reporting</w:t>
      </w:r>
    </w:p>
    <w:p>
      <w:pPr>
        <w:spacing w:after="0" w:line="61" w:lineRule="exact"/>
        <w:rPr>
          <w:sz w:val="20"/>
          <w:szCs w:val="20"/>
          <w:color w:val="auto"/>
        </w:rPr>
      </w:pPr>
    </w:p>
    <w:p>
      <w:pPr>
        <w:jc w:val="both"/>
        <w:ind w:firstLine="524"/>
        <w:spacing w:after="0" w:line="248" w:lineRule="auto"/>
        <w:rPr>
          <w:sz w:val="20"/>
          <w:szCs w:val="20"/>
          <w:color w:val="auto"/>
        </w:rPr>
      </w:pPr>
      <w:r>
        <w:rPr>
          <w:rFonts w:ascii="Arial" w:cs="Arial" w:eastAsia="Arial" w:hAnsi="Arial"/>
          <w:sz w:val="13"/>
          <w:szCs w:val="13"/>
          <w:color w:val="auto"/>
        </w:rPr>
        <w:t>In March 2020, the Financial Accounting Standards Board ("FASB") issued ASU 2020-04 “Reference Rate Reform (Topic 848): Facilitation of the Effects of Reference Rate Reform on Financial Reporting.” This update is intended to ease the potential burden in accounting for and recognizing the effects of reference rate reform. It provides optional practical expedients and exceptions for applying U.S. GAAP to contracts, hedging relationships, and other transactions affected by reference rate reform, if certain criteria are met. This update became effective on March 12, 2020 and is available for use through December 31, 2022. The Company is currently evaluating the impact of reference rate reform and potential impact of adoption of these elective practical expedients on its consolidated financial statements and does not expect the impact to be material.</w:t>
      </w:r>
    </w:p>
    <w:p>
      <w:pPr>
        <w:spacing w:after="0" w:line="6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 xml:space="preserve">ASU 2021-08. </w:t>
      </w:r>
      <w:r>
        <w:rPr>
          <w:rFonts w:ascii="Arial" w:cs="Arial" w:eastAsia="Arial" w:hAnsi="Arial"/>
          <w:sz w:val="13"/>
          <w:szCs w:val="13"/>
          <w:i w:val="1"/>
          <w:iCs w:val="1"/>
          <w:u w:val="single" w:color="auto"/>
          <w:color w:val="auto"/>
        </w:rPr>
        <w:t>Business Combinations (Topic 815): Accounting for Contract Assets and Contract Liabilities from Contracts with Customers</w:t>
      </w:r>
    </w:p>
    <w:p>
      <w:pPr>
        <w:spacing w:after="0" w:line="61" w:lineRule="exact"/>
        <w:rPr>
          <w:sz w:val="20"/>
          <w:szCs w:val="20"/>
          <w:color w:val="auto"/>
        </w:rPr>
      </w:pPr>
    </w:p>
    <w:p>
      <w:pPr>
        <w:jc w:val="both"/>
        <w:ind w:firstLine="524"/>
        <w:spacing w:after="0" w:line="248" w:lineRule="auto"/>
        <w:rPr>
          <w:sz w:val="20"/>
          <w:szCs w:val="20"/>
          <w:color w:val="auto"/>
        </w:rPr>
      </w:pPr>
      <w:r>
        <w:rPr>
          <w:rFonts w:ascii="Arial" w:cs="Arial" w:eastAsia="Arial" w:hAnsi="Arial"/>
          <w:sz w:val="13"/>
          <w:szCs w:val="13"/>
          <w:color w:val="auto"/>
        </w:rPr>
        <w:t>In October 2021, the FASB issued ASU 2021-08, Business Combinations (Topic 805): Accounting for Contract Assets and Contract Liabilities from Contracts with Customers. ASU 2021-08 requires that an acquirer recognize and measure contract assets and liabilities acquired in a business combination in accordance with ASU 2014-09, Revenue from Contracts with Customers (Topic 606). This standard is effective for annual periods beginning after December 15, 2022, including interim periods therein, with early adoption permitted. The guidance will be applied prospectively to acquisitions occurring on or after the effective date. The Company will continue to evaluate the impact of this guidance, which will depend on the contract assets and liabilities acquired in future business combinations.</w:t>
      </w:r>
    </w:p>
    <w:p>
      <w:pPr>
        <w:spacing w:after="0" w:line="6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Recently Adopted Accounting Standards</w:t>
      </w:r>
    </w:p>
    <w:p>
      <w:pPr>
        <w:spacing w:after="0" w:line="63" w:lineRule="exact"/>
        <w:rPr>
          <w:sz w:val="20"/>
          <w:szCs w:val="20"/>
          <w:color w:val="auto"/>
        </w:rPr>
      </w:pPr>
    </w:p>
    <w:p>
      <w:pPr>
        <w:ind w:right="520" w:firstLine="524"/>
        <w:spacing w:after="0" w:line="341" w:lineRule="auto"/>
        <w:rPr>
          <w:sz w:val="20"/>
          <w:szCs w:val="20"/>
          <w:color w:val="auto"/>
        </w:rPr>
      </w:pPr>
      <w:r>
        <w:rPr>
          <w:rFonts w:ascii="Arial" w:cs="Arial" w:eastAsia="Arial" w:hAnsi="Arial"/>
          <w:sz w:val="13"/>
          <w:szCs w:val="13"/>
          <w:color w:val="auto"/>
        </w:rPr>
        <w:t xml:space="preserve">From time to time, new accounting pronouncements are issued by the FASB or other standard setting bodies that are adopted by the Company as of the specified effective date. </w:t>
      </w:r>
      <w:r>
        <w:rPr>
          <w:rFonts w:ascii="Arial" w:cs="Arial" w:eastAsia="Arial" w:hAnsi="Arial"/>
          <w:sz w:val="13"/>
          <w:szCs w:val="13"/>
          <w:u w:val="single" w:color="auto"/>
          <w:color w:val="auto"/>
        </w:rPr>
        <w:t xml:space="preserve">ASU 2019-12, </w:t>
      </w:r>
      <w:r>
        <w:rPr>
          <w:rFonts w:ascii="Arial" w:cs="Arial" w:eastAsia="Arial" w:hAnsi="Arial"/>
          <w:sz w:val="13"/>
          <w:szCs w:val="13"/>
          <w:i w:val="1"/>
          <w:iCs w:val="1"/>
          <w:u w:val="single" w:color="auto"/>
          <w:color w:val="auto"/>
        </w:rPr>
        <w:t>Income Taxes (Topic 740): Simplifying the Accounting for Income Taxes</w:t>
      </w:r>
    </w:p>
    <w:p>
      <w:pPr>
        <w:spacing w:after="0" w:line="1"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In December 2019, the FASB issued ASU 2019-12, Income Taxes (Topic 740): Simplifying the Accounting for Income Taxes, which removes certain exceptions to the general principles for income taxes and also improves consistent application of accounting by clarifying or amending existing guidance. On January 1, 2021, the Company adopted ASU 2019-12 and the impact of adoption was not material to the Company's consolidated financial statements. The Company applied the standard prospectively for intraperiod tax allocation, year-to-date losses that exceed anticipated annual losses and enacted changes in tax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28" w:right="319" w:bottom="1440" w:gutter="0" w:footer="0" w:header="0"/>
        </w:sectPr>
      </w:pPr>
    </w:p>
    <w:bookmarkStart w:id="85" w:name="page86"/>
    <w:bookmarkEnd w:id="85"/>
    <w:p>
      <w:pPr>
        <w:spacing w:after="0"/>
        <w:rPr>
          <w:sz w:val="20"/>
          <w:szCs w:val="20"/>
          <w:color w:val="auto"/>
        </w:rPr>
      </w:pPr>
      <w:r>
        <w:rPr>
          <w:rFonts w:ascii="Arial" w:cs="Arial" w:eastAsia="Arial" w:hAnsi="Arial"/>
          <w:sz w:val="19"/>
          <w:szCs w:val="19"/>
          <w:color w:val="1D2758"/>
        </w:rPr>
        <w:t>NOTE 2 - Business Combination and Acquisitions</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Mobile Mini Merger</w:t>
      </w:r>
    </w:p>
    <w:p>
      <w:pPr>
        <w:spacing w:after="0" w:line="66"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On March 1, 2020, the Company, along with its newly formed subsidiary, Merger Sub, entered into the Merger Agreement with Mobile Mini, hereby referred to as the “Merger.” The Merger was completed on July 1, 2020 and Merger Sub merged with and into Mobile Mini and the separate corporate existence of Merger Sub ceased, and Mobile Mini continued its existence as the surviving corporation in the Merger and a wholly-owned subsidiary of the Company. Mobile Mini is a leading provider of portable storage solutions in North America and the UK and a leading provider of specialty containment solutions in the US.</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Purchase Price</w:t>
      </w:r>
    </w:p>
    <w:p>
      <w:pPr>
        <w:spacing w:after="0" w:line="63"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Upon completion of the Merger, each issued and outstanding share of Mobile Mini Common Stock, par value $0.01 per share, converted to 2.405 shares of WillScot Class A Common Stock, par value $0.0001 per share, and cash in lieu of any fractional shares. The Company issued 106,426,721 shares of Class A Common Stock to Mobile Mini stockholders as consideration for the Merger. The trading price of the Class A Common Stock was $12.53 per share on the closing date. In addition, Mobile Mini stock options converted into WillScot Mobile Mini stock options.</w:t>
      </w:r>
    </w:p>
    <w:p>
      <w:pPr>
        <w:spacing w:after="0" w:line="3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purchase price has been determined to be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22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 except share and per share data)</w:t>
            </w:r>
          </w:p>
        </w:tc>
        <w:tc>
          <w:tcPr>
            <w:tcW w:w="680" w:type="dxa"/>
            <w:vAlign w:val="bottom"/>
            <w:shd w:val="clear" w:color="auto" w:fill="1D2758"/>
          </w:tcPr>
          <w:p>
            <w:pPr>
              <w:spacing w:after="0"/>
              <w:rPr>
                <w:sz w:val="15"/>
                <w:szCs w:val="15"/>
                <w:color w:val="auto"/>
              </w:rPr>
            </w:pPr>
          </w:p>
        </w:tc>
        <w:tc>
          <w:tcPr>
            <w:tcW w:w="1380" w:type="dxa"/>
            <w:vAlign w:val="bottom"/>
            <w:shd w:val="clear" w:color="auto" w:fill="1D2758"/>
          </w:tcPr>
          <w:p>
            <w:pPr>
              <w:spacing w:after="0"/>
              <w:rPr>
                <w:sz w:val="15"/>
                <w:szCs w:val="15"/>
                <w:color w:val="auto"/>
              </w:rPr>
            </w:pPr>
          </w:p>
        </w:tc>
      </w:tr>
      <w:tr>
        <w:trPr>
          <w:trHeight w:val="175"/>
        </w:trPr>
        <w:tc>
          <w:tcPr>
            <w:tcW w:w="9220" w:type="dxa"/>
            <w:vAlign w:val="bottom"/>
            <w:shd w:val="clear" w:color="auto" w:fill="DBDBDB"/>
          </w:tcPr>
          <w:p>
            <w:pPr>
              <w:ind w:left="20"/>
              <w:spacing w:after="0"/>
              <w:rPr>
                <w:sz w:val="20"/>
                <w:szCs w:val="20"/>
                <w:color w:val="auto"/>
              </w:rPr>
            </w:pPr>
            <w:r>
              <w:rPr>
                <w:rFonts w:ascii="Arial" w:cs="Arial" w:eastAsia="Arial" w:hAnsi="Arial"/>
                <w:sz w:val="13"/>
                <w:szCs w:val="13"/>
                <w:color w:val="auto"/>
              </w:rPr>
              <w:t>Mobile Mini Common Stock outstanding</w:t>
            </w:r>
          </w:p>
        </w:tc>
        <w:tc>
          <w:tcPr>
            <w:tcW w:w="680" w:type="dxa"/>
            <w:vAlign w:val="bottom"/>
            <w:shd w:val="clear" w:color="auto" w:fill="DBDBDB"/>
          </w:tcPr>
          <w:p>
            <w:pPr>
              <w:spacing w:after="0"/>
              <w:rPr>
                <w:sz w:val="15"/>
                <w:szCs w:val="15"/>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44,252,275</w:t>
            </w:r>
          </w:p>
        </w:tc>
      </w:tr>
      <w:tr>
        <w:trPr>
          <w:trHeight w:val="172"/>
        </w:trPr>
        <w:tc>
          <w:tcPr>
            <w:tcW w:w="9220" w:type="dxa"/>
            <w:vAlign w:val="bottom"/>
          </w:tcPr>
          <w:p>
            <w:pPr>
              <w:ind w:left="20"/>
              <w:spacing w:after="0"/>
              <w:rPr>
                <w:sz w:val="20"/>
                <w:szCs w:val="20"/>
                <w:color w:val="auto"/>
              </w:rPr>
            </w:pPr>
            <w:r>
              <w:rPr>
                <w:rFonts w:ascii="Arial" w:cs="Arial" w:eastAsia="Arial" w:hAnsi="Arial"/>
                <w:sz w:val="13"/>
                <w:szCs w:val="13"/>
                <w:color w:val="auto"/>
              </w:rPr>
              <w:t>Share conversion ratio</w:t>
            </w:r>
          </w:p>
        </w:tc>
        <w:tc>
          <w:tcPr>
            <w:tcW w:w="6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2.405</w:t>
            </w:r>
          </w:p>
        </w:tc>
      </w:tr>
      <w:tr>
        <w:trPr>
          <w:trHeight w:val="178"/>
        </w:trPr>
        <w:tc>
          <w:tcPr>
            <w:tcW w:w="9220" w:type="dxa"/>
            <w:vAlign w:val="bottom"/>
            <w:shd w:val="clear" w:color="auto" w:fill="DBDBDB"/>
          </w:tcPr>
          <w:p>
            <w:pPr>
              <w:ind w:left="20"/>
              <w:spacing w:after="0"/>
              <w:rPr>
                <w:sz w:val="20"/>
                <w:szCs w:val="20"/>
                <w:color w:val="auto"/>
              </w:rPr>
            </w:pPr>
            <w:r>
              <w:rPr>
                <w:rFonts w:ascii="Arial" w:cs="Arial" w:eastAsia="Arial" w:hAnsi="Arial"/>
                <w:sz w:val="13"/>
                <w:szCs w:val="13"/>
                <w:color w:val="auto"/>
              </w:rPr>
              <w:t>Common Stock issued</w:t>
            </w:r>
          </w:p>
        </w:tc>
        <w:tc>
          <w:tcPr>
            <w:tcW w:w="680" w:type="dxa"/>
            <w:vAlign w:val="bottom"/>
            <w:shd w:val="clear" w:color="auto" w:fill="DBDBDB"/>
          </w:tcPr>
          <w:p>
            <w:pPr>
              <w:spacing w:after="0"/>
              <w:rPr>
                <w:sz w:val="15"/>
                <w:szCs w:val="15"/>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106,426,721</w:t>
            </w:r>
          </w:p>
        </w:tc>
      </w:tr>
      <w:tr>
        <w:trPr>
          <w:trHeight w:val="172"/>
        </w:trPr>
        <w:tc>
          <w:tcPr>
            <w:tcW w:w="922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Common Stock per share price as of July 1, 2020</w:t>
            </w:r>
          </w:p>
        </w:tc>
        <w:tc>
          <w:tcPr>
            <w:tcW w:w="680" w:type="dxa"/>
            <w:vAlign w:val="bottom"/>
            <w:tcBorders>
              <w:bottom w:val="single" w:sz="8" w:color="auto"/>
            </w:tcBorders>
          </w:tcPr>
          <w:p>
            <w:pPr>
              <w:jc w:val="right"/>
              <w:ind w:right="534"/>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12.53</w:t>
            </w:r>
          </w:p>
        </w:tc>
      </w:tr>
      <w:tr>
        <w:trPr>
          <w:trHeight w:val="169"/>
        </w:trPr>
        <w:tc>
          <w:tcPr>
            <w:tcW w:w="9220" w:type="dxa"/>
            <w:vAlign w:val="bottom"/>
            <w:shd w:val="clear" w:color="auto" w:fill="DBDBDB"/>
          </w:tcPr>
          <w:p>
            <w:pPr>
              <w:ind w:left="200"/>
              <w:spacing w:after="0"/>
              <w:rPr>
                <w:sz w:val="20"/>
                <w:szCs w:val="20"/>
                <w:color w:val="auto"/>
              </w:rPr>
            </w:pPr>
            <w:r>
              <w:rPr>
                <w:rFonts w:ascii="Arial" w:cs="Arial" w:eastAsia="Arial" w:hAnsi="Arial"/>
                <w:sz w:val="13"/>
                <w:szCs w:val="13"/>
                <w:color w:val="auto"/>
              </w:rPr>
              <w:t>Fair value of shares of WillScot Class A Common Stock issued</w:t>
            </w:r>
          </w:p>
        </w:tc>
        <w:tc>
          <w:tcPr>
            <w:tcW w:w="680" w:type="dxa"/>
            <w:vAlign w:val="bottom"/>
            <w:shd w:val="clear" w:color="auto" w:fill="DBDBDB"/>
          </w:tcPr>
          <w:p>
            <w:pPr>
              <w:jc w:val="right"/>
              <w:ind w:right="534"/>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1,333,527</w:t>
            </w:r>
          </w:p>
        </w:tc>
      </w:tr>
      <w:tr>
        <w:trPr>
          <w:trHeight w:val="172"/>
        </w:trPr>
        <w:tc>
          <w:tcPr>
            <w:tcW w:w="9220" w:type="dxa"/>
            <w:vAlign w:val="bottom"/>
          </w:tcPr>
          <w:p>
            <w:pPr>
              <w:ind w:left="200"/>
              <w:spacing w:after="0"/>
              <w:rPr>
                <w:sz w:val="20"/>
                <w:szCs w:val="20"/>
                <w:color w:val="auto"/>
              </w:rPr>
            </w:pPr>
            <w:r>
              <w:rPr>
                <w:rFonts w:ascii="Arial" w:cs="Arial" w:eastAsia="Arial" w:hAnsi="Arial"/>
                <w:sz w:val="13"/>
                <w:szCs w:val="13"/>
                <w:color w:val="auto"/>
              </w:rPr>
              <w:t>Cash paid for fractional shares</w:t>
            </w:r>
          </w:p>
        </w:tc>
        <w:tc>
          <w:tcPr>
            <w:tcW w:w="6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30</w:t>
            </w:r>
          </w:p>
        </w:tc>
      </w:tr>
      <w:tr>
        <w:trPr>
          <w:trHeight w:val="178"/>
        </w:trPr>
        <w:tc>
          <w:tcPr>
            <w:tcW w:w="9220" w:type="dxa"/>
            <w:vAlign w:val="bottom"/>
            <w:shd w:val="clear" w:color="auto" w:fill="DBDBDB"/>
          </w:tcPr>
          <w:p>
            <w:pPr>
              <w:ind w:left="200"/>
              <w:spacing w:after="0"/>
              <w:rPr>
                <w:sz w:val="20"/>
                <w:szCs w:val="20"/>
                <w:color w:val="auto"/>
              </w:rPr>
            </w:pPr>
            <w:r>
              <w:rPr>
                <w:rFonts w:ascii="Arial" w:cs="Arial" w:eastAsia="Arial" w:hAnsi="Arial"/>
                <w:sz w:val="13"/>
                <w:szCs w:val="13"/>
                <w:color w:val="auto"/>
              </w:rPr>
              <w:t>Fair value of Mobile Mini Options converted to WillScot Mobile Mini Options</w:t>
            </w:r>
          </w:p>
        </w:tc>
        <w:tc>
          <w:tcPr>
            <w:tcW w:w="680" w:type="dxa"/>
            <w:vAlign w:val="bottom"/>
            <w:tcBorders>
              <w:bottom w:val="single" w:sz="8" w:color="auto"/>
            </w:tcBorders>
            <w:shd w:val="clear" w:color="auto" w:fill="DBDBDB"/>
          </w:tcPr>
          <w:p>
            <w:pPr>
              <w:spacing w:after="0"/>
              <w:rPr>
                <w:sz w:val="15"/>
                <w:szCs w:val="15"/>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19,279</w:t>
            </w:r>
          </w:p>
        </w:tc>
      </w:tr>
      <w:tr>
        <w:trPr>
          <w:trHeight w:val="163"/>
        </w:trPr>
        <w:tc>
          <w:tcPr>
            <w:tcW w:w="9220" w:type="dxa"/>
            <w:vAlign w:val="bottom"/>
          </w:tcPr>
          <w:p>
            <w:pPr>
              <w:ind w:left="380"/>
              <w:spacing w:after="0"/>
              <w:rPr>
                <w:sz w:val="20"/>
                <w:szCs w:val="20"/>
                <w:color w:val="auto"/>
              </w:rPr>
            </w:pPr>
            <w:r>
              <w:rPr>
                <w:rFonts w:ascii="Arial" w:cs="Arial" w:eastAsia="Arial" w:hAnsi="Arial"/>
                <w:sz w:val="13"/>
                <w:szCs w:val="13"/>
                <w:color w:val="auto"/>
              </w:rPr>
              <w:t>Total purchase price</w:t>
            </w:r>
          </w:p>
        </w:tc>
        <w:tc>
          <w:tcPr>
            <w:tcW w:w="680" w:type="dxa"/>
            <w:vAlign w:val="bottom"/>
            <w:tcBorders>
              <w:bottom w:val="single" w:sz="8" w:color="auto"/>
            </w:tcBorders>
          </w:tcPr>
          <w:p>
            <w:pPr>
              <w:jc w:val="right"/>
              <w:ind w:right="534"/>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1,352,836</w:t>
            </w:r>
          </w:p>
        </w:tc>
      </w:tr>
      <w:tr>
        <w:trPr>
          <w:trHeight w:val="20"/>
        </w:trPr>
        <w:tc>
          <w:tcPr>
            <w:tcW w:w="9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The Merger was accounted for using the acquisition method of accounting, and WillScot is considered the accounting acquirer. Under the acquisition method of accounting, the Company assigned the purchase price to tangible and identifiable intangible assets acquired and liabilities assumed based on their fair values at the closing date. The excess of the purchase price over those fair values is recorded as goodwill. The Company's acquisition of Mobile Mini represented a non-cash investing outflow activity of $1,352,836 and the related issuance of equity including stock options represented a non-cash financing inflow activity of $1,352,836.</w:t>
      </w:r>
    </w:p>
    <w:p>
      <w:pPr>
        <w:spacing w:after="0" w:line="35"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The Company recorded the fair values based on independent valuations, discounted cash flow analyses, quoted market prices, contributory asset charges, and estimates made by management. The following table summarizes the July 1, 2020 fair values of the assets acquired and liabilities assumed.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73"/>
        </w:trPr>
        <w:tc>
          <w:tcPr>
            <w:tcW w:w="9280" w:type="dxa"/>
            <w:vAlign w:val="bottom"/>
          </w:tcPr>
          <w:p>
            <w:pPr>
              <w:spacing w:after="0"/>
              <w:rPr>
                <w:sz w:val="20"/>
                <w:szCs w:val="20"/>
                <w:color w:val="auto"/>
              </w:rPr>
            </w:pPr>
            <w:r>
              <w:rPr>
                <w:rFonts w:ascii="Arial" w:cs="Arial" w:eastAsia="Arial" w:hAnsi="Arial"/>
                <w:sz w:val="13"/>
                <w:szCs w:val="13"/>
                <w:b w:val="1"/>
                <w:bCs w:val="1"/>
                <w:i w:val="1"/>
                <w:iCs w:val="1"/>
                <w:color w:val="1D2758"/>
              </w:rPr>
              <w:t>Opening Balance Sheet</w:t>
            </w:r>
          </w:p>
        </w:tc>
        <w:tc>
          <w:tcPr>
            <w:tcW w:w="36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04"/>
        </w:trPr>
        <w:tc>
          <w:tcPr>
            <w:tcW w:w="9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40" w:type="dxa"/>
            <w:vAlign w:val="bottom"/>
          </w:tcPr>
          <w:p>
            <w:pPr>
              <w:spacing w:after="0"/>
              <w:rPr>
                <w:sz w:val="9"/>
                <w:szCs w:val="9"/>
                <w:color w:val="auto"/>
              </w:rPr>
            </w:pPr>
          </w:p>
        </w:tc>
      </w:tr>
      <w:tr>
        <w:trPr>
          <w:trHeight w:val="175"/>
        </w:trPr>
        <w:tc>
          <w:tcPr>
            <w:tcW w:w="928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360" w:type="dxa"/>
            <w:vAlign w:val="bottom"/>
            <w:shd w:val="clear" w:color="auto" w:fill="1D2758"/>
          </w:tcPr>
          <w:p>
            <w:pPr>
              <w:spacing w:after="0"/>
              <w:rPr>
                <w:sz w:val="15"/>
                <w:szCs w:val="15"/>
                <w:color w:val="auto"/>
              </w:rPr>
            </w:pPr>
          </w:p>
        </w:tc>
        <w:tc>
          <w:tcPr>
            <w:tcW w:w="1640" w:type="dxa"/>
            <w:vAlign w:val="bottom"/>
            <w:shd w:val="clear" w:color="auto" w:fill="1D2758"/>
          </w:tcPr>
          <w:p>
            <w:pPr>
              <w:jc w:val="right"/>
              <w:ind w:right="574"/>
              <w:spacing w:after="0"/>
              <w:rPr>
                <w:sz w:val="20"/>
                <w:szCs w:val="20"/>
                <w:color w:val="auto"/>
              </w:rPr>
            </w:pPr>
            <w:r>
              <w:rPr>
                <w:rFonts w:ascii="Arial" w:cs="Arial" w:eastAsia="Arial" w:hAnsi="Arial"/>
                <w:sz w:val="13"/>
                <w:szCs w:val="13"/>
                <w:b w:val="1"/>
                <w:bCs w:val="1"/>
                <w:color w:val="FFFFFF"/>
              </w:rPr>
              <w:t>July 1, 2020</w:t>
            </w:r>
          </w:p>
        </w:tc>
      </w:tr>
      <w:tr>
        <w:trPr>
          <w:trHeight w:val="175"/>
        </w:trPr>
        <w:tc>
          <w:tcPr>
            <w:tcW w:w="9280" w:type="dxa"/>
            <w:vAlign w:val="bottom"/>
            <w:shd w:val="clear" w:color="auto" w:fill="DBDBDB"/>
          </w:tcPr>
          <w:p>
            <w:pPr>
              <w:ind w:left="20"/>
              <w:spacing w:after="0"/>
              <w:rPr>
                <w:sz w:val="20"/>
                <w:szCs w:val="20"/>
                <w:color w:val="auto"/>
              </w:rPr>
            </w:pPr>
            <w:r>
              <w:rPr>
                <w:rFonts w:ascii="Arial" w:cs="Arial" w:eastAsia="Arial" w:hAnsi="Arial"/>
                <w:sz w:val="13"/>
                <w:szCs w:val="13"/>
                <w:color w:val="auto"/>
              </w:rPr>
              <w:t>Cash and cash equivalents</w:t>
            </w:r>
          </w:p>
        </w:tc>
        <w:tc>
          <w:tcPr>
            <w:tcW w:w="360" w:type="dxa"/>
            <w:vAlign w:val="bottom"/>
            <w:shd w:val="clear" w:color="auto" w:fill="DBDBDB"/>
          </w:tcPr>
          <w:p>
            <w:pPr>
              <w:jc w:val="right"/>
              <w:ind w:right="214"/>
              <w:spacing w:after="0"/>
              <w:rPr>
                <w:sz w:val="20"/>
                <w:szCs w:val="20"/>
                <w:color w:val="auto"/>
              </w:rPr>
            </w:pPr>
            <w:r>
              <w:rPr>
                <w:rFonts w:ascii="Arial" w:cs="Arial" w:eastAsia="Arial" w:hAnsi="Arial"/>
                <w:sz w:val="13"/>
                <w:szCs w:val="13"/>
                <w:color w:val="auto"/>
                <w:w w:val="82"/>
              </w:rPr>
              <w:t>$</w:t>
            </w:r>
          </w:p>
        </w:tc>
        <w:tc>
          <w:tcPr>
            <w:tcW w:w="16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17,203</w:t>
            </w:r>
          </w:p>
        </w:tc>
      </w:tr>
      <w:tr>
        <w:trPr>
          <w:trHeight w:val="172"/>
        </w:trPr>
        <w:tc>
          <w:tcPr>
            <w:tcW w:w="9280" w:type="dxa"/>
            <w:vAlign w:val="bottom"/>
          </w:tcPr>
          <w:p>
            <w:pPr>
              <w:ind w:left="20"/>
              <w:spacing w:after="0"/>
              <w:rPr>
                <w:sz w:val="20"/>
                <w:szCs w:val="20"/>
                <w:color w:val="auto"/>
              </w:rPr>
            </w:pPr>
            <w:r>
              <w:rPr>
                <w:rFonts w:ascii="Arial" w:cs="Arial" w:eastAsia="Arial" w:hAnsi="Arial"/>
                <w:sz w:val="13"/>
                <w:szCs w:val="13"/>
                <w:color w:val="auto"/>
              </w:rPr>
              <w:t>Trade receivables</w:t>
            </w:r>
          </w:p>
        </w:tc>
        <w:tc>
          <w:tcPr>
            <w:tcW w:w="36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87,492</w:t>
            </w:r>
          </w:p>
        </w:tc>
      </w:tr>
      <w:tr>
        <w:trPr>
          <w:trHeight w:val="178"/>
        </w:trPr>
        <w:tc>
          <w:tcPr>
            <w:tcW w:w="9280" w:type="dxa"/>
            <w:vAlign w:val="bottom"/>
            <w:shd w:val="clear" w:color="auto" w:fill="DBDBDB"/>
          </w:tcPr>
          <w:p>
            <w:pPr>
              <w:ind w:left="20"/>
              <w:spacing w:after="0"/>
              <w:rPr>
                <w:sz w:val="20"/>
                <w:szCs w:val="20"/>
                <w:color w:val="auto"/>
              </w:rPr>
            </w:pPr>
            <w:r>
              <w:rPr>
                <w:rFonts w:ascii="Arial" w:cs="Arial" w:eastAsia="Arial" w:hAnsi="Arial"/>
                <w:sz w:val="13"/>
                <w:szCs w:val="13"/>
                <w:color w:val="auto"/>
              </w:rPr>
              <w:t>Inventories</w:t>
            </w:r>
          </w:p>
        </w:tc>
        <w:tc>
          <w:tcPr>
            <w:tcW w:w="360" w:type="dxa"/>
            <w:vAlign w:val="bottom"/>
            <w:shd w:val="clear" w:color="auto" w:fill="DBDBDB"/>
          </w:tcPr>
          <w:p>
            <w:pPr>
              <w:spacing w:after="0"/>
              <w:rPr>
                <w:sz w:val="15"/>
                <w:szCs w:val="15"/>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8,987</w:t>
            </w:r>
          </w:p>
        </w:tc>
      </w:tr>
      <w:tr>
        <w:trPr>
          <w:trHeight w:val="172"/>
        </w:trPr>
        <w:tc>
          <w:tcPr>
            <w:tcW w:w="9280" w:type="dxa"/>
            <w:vAlign w:val="bottom"/>
          </w:tcPr>
          <w:p>
            <w:pPr>
              <w:ind w:left="20"/>
              <w:spacing w:after="0"/>
              <w:rPr>
                <w:sz w:val="20"/>
                <w:szCs w:val="20"/>
                <w:color w:val="auto"/>
              </w:rPr>
            </w:pPr>
            <w:r>
              <w:rPr>
                <w:rFonts w:ascii="Arial" w:cs="Arial" w:eastAsia="Arial" w:hAnsi="Arial"/>
                <w:sz w:val="13"/>
                <w:szCs w:val="13"/>
                <w:color w:val="auto"/>
              </w:rPr>
              <w:t>Prepaid expenses and other current assets</w:t>
            </w:r>
          </w:p>
        </w:tc>
        <w:tc>
          <w:tcPr>
            <w:tcW w:w="36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13,717</w:t>
            </w:r>
          </w:p>
        </w:tc>
      </w:tr>
      <w:tr>
        <w:trPr>
          <w:trHeight w:val="178"/>
        </w:trPr>
        <w:tc>
          <w:tcPr>
            <w:tcW w:w="9280" w:type="dxa"/>
            <w:vAlign w:val="bottom"/>
            <w:shd w:val="clear" w:color="auto" w:fill="DBDBDB"/>
          </w:tcPr>
          <w:p>
            <w:pPr>
              <w:ind w:left="20"/>
              <w:spacing w:after="0"/>
              <w:rPr>
                <w:sz w:val="20"/>
                <w:szCs w:val="20"/>
                <w:color w:val="auto"/>
              </w:rPr>
            </w:pPr>
            <w:r>
              <w:rPr>
                <w:rFonts w:ascii="Arial" w:cs="Arial" w:eastAsia="Arial" w:hAnsi="Arial"/>
                <w:sz w:val="13"/>
                <w:szCs w:val="13"/>
                <w:color w:val="auto"/>
              </w:rPr>
              <w:t>Rental equipment</w:t>
            </w:r>
          </w:p>
        </w:tc>
        <w:tc>
          <w:tcPr>
            <w:tcW w:w="360" w:type="dxa"/>
            <w:vAlign w:val="bottom"/>
            <w:shd w:val="clear" w:color="auto" w:fill="DBDBDB"/>
          </w:tcPr>
          <w:p>
            <w:pPr>
              <w:spacing w:after="0"/>
              <w:rPr>
                <w:sz w:val="15"/>
                <w:szCs w:val="15"/>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1,032,672</w:t>
            </w:r>
          </w:p>
        </w:tc>
      </w:tr>
      <w:tr>
        <w:trPr>
          <w:trHeight w:val="172"/>
        </w:trPr>
        <w:tc>
          <w:tcPr>
            <w:tcW w:w="9280" w:type="dxa"/>
            <w:vAlign w:val="bottom"/>
          </w:tcPr>
          <w:p>
            <w:pPr>
              <w:ind w:left="20"/>
              <w:spacing w:after="0"/>
              <w:rPr>
                <w:sz w:val="20"/>
                <w:szCs w:val="20"/>
                <w:color w:val="auto"/>
              </w:rPr>
            </w:pPr>
            <w:r>
              <w:rPr>
                <w:rFonts w:ascii="Arial" w:cs="Arial" w:eastAsia="Arial" w:hAnsi="Arial"/>
                <w:sz w:val="13"/>
                <w:szCs w:val="13"/>
                <w:color w:val="auto"/>
              </w:rPr>
              <w:t>Property, plant and equipment, net</w:t>
            </w:r>
          </w:p>
        </w:tc>
        <w:tc>
          <w:tcPr>
            <w:tcW w:w="36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160,729</w:t>
            </w:r>
          </w:p>
        </w:tc>
      </w:tr>
      <w:tr>
        <w:trPr>
          <w:trHeight w:val="178"/>
        </w:trPr>
        <w:tc>
          <w:tcPr>
            <w:tcW w:w="9280" w:type="dxa"/>
            <w:vAlign w:val="bottom"/>
            <w:shd w:val="clear" w:color="auto" w:fill="DBDBDB"/>
          </w:tcPr>
          <w:p>
            <w:pPr>
              <w:ind w:left="20"/>
              <w:spacing w:after="0"/>
              <w:rPr>
                <w:sz w:val="20"/>
                <w:szCs w:val="20"/>
                <w:color w:val="auto"/>
              </w:rPr>
            </w:pPr>
            <w:r>
              <w:rPr>
                <w:rFonts w:ascii="Arial" w:cs="Arial" w:eastAsia="Arial" w:hAnsi="Arial"/>
                <w:sz w:val="13"/>
                <w:szCs w:val="13"/>
                <w:color w:val="auto"/>
              </w:rPr>
              <w:t>Operating lease assets</w:t>
            </w:r>
          </w:p>
        </w:tc>
        <w:tc>
          <w:tcPr>
            <w:tcW w:w="360" w:type="dxa"/>
            <w:vAlign w:val="bottom"/>
            <w:shd w:val="clear" w:color="auto" w:fill="DBDBDB"/>
          </w:tcPr>
          <w:p>
            <w:pPr>
              <w:spacing w:after="0"/>
              <w:rPr>
                <w:sz w:val="15"/>
                <w:szCs w:val="15"/>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92,054</w:t>
            </w:r>
          </w:p>
        </w:tc>
      </w:tr>
      <w:tr>
        <w:trPr>
          <w:trHeight w:val="172"/>
        </w:trPr>
        <w:tc>
          <w:tcPr>
            <w:tcW w:w="9280" w:type="dxa"/>
            <w:vAlign w:val="bottom"/>
          </w:tcPr>
          <w:p>
            <w:pPr>
              <w:ind w:left="20"/>
              <w:spacing w:after="0"/>
              <w:rPr>
                <w:sz w:val="20"/>
                <w:szCs w:val="20"/>
                <w:color w:val="auto"/>
              </w:rPr>
            </w:pPr>
            <w:r>
              <w:rPr>
                <w:rFonts w:ascii="Arial" w:cs="Arial" w:eastAsia="Arial" w:hAnsi="Arial"/>
                <w:sz w:val="13"/>
                <w:szCs w:val="13"/>
                <w:color w:val="auto"/>
              </w:rPr>
              <w:t>Intangible assets</w:t>
            </w:r>
          </w:p>
        </w:tc>
        <w:tc>
          <w:tcPr>
            <w:tcW w:w="36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374,500</w:t>
            </w:r>
          </w:p>
        </w:tc>
      </w:tr>
      <w:tr>
        <w:trPr>
          <w:trHeight w:val="178"/>
        </w:trPr>
        <w:tc>
          <w:tcPr>
            <w:tcW w:w="9280" w:type="dxa"/>
            <w:vAlign w:val="bottom"/>
            <w:shd w:val="clear" w:color="auto" w:fill="DBDBDB"/>
          </w:tcPr>
          <w:p>
            <w:pPr>
              <w:ind w:left="20"/>
              <w:spacing w:after="0"/>
              <w:rPr>
                <w:sz w:val="20"/>
                <w:szCs w:val="20"/>
                <w:color w:val="auto"/>
              </w:rPr>
            </w:pPr>
            <w:r>
              <w:rPr>
                <w:rFonts w:ascii="Arial" w:cs="Arial" w:eastAsia="Arial" w:hAnsi="Arial"/>
                <w:sz w:val="13"/>
                <w:szCs w:val="13"/>
                <w:color w:val="auto"/>
              </w:rPr>
              <w:t>Goodwill identified</w:t>
            </w:r>
          </w:p>
        </w:tc>
        <w:tc>
          <w:tcPr>
            <w:tcW w:w="360" w:type="dxa"/>
            <w:vAlign w:val="bottom"/>
            <w:shd w:val="clear" w:color="auto" w:fill="DBDBDB"/>
          </w:tcPr>
          <w:p>
            <w:pPr>
              <w:spacing w:after="0"/>
              <w:rPr>
                <w:sz w:val="15"/>
                <w:szCs w:val="15"/>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937,135</w:t>
            </w:r>
          </w:p>
        </w:tc>
      </w:tr>
      <w:tr>
        <w:trPr>
          <w:trHeight w:val="172"/>
        </w:trPr>
        <w:tc>
          <w:tcPr>
            <w:tcW w:w="928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Other non-current assets</w:t>
            </w:r>
          </w:p>
        </w:tc>
        <w:tc>
          <w:tcPr>
            <w:tcW w:w="3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2,520</w:t>
            </w:r>
          </w:p>
        </w:tc>
      </w:tr>
      <w:tr>
        <w:trPr>
          <w:trHeight w:val="169"/>
        </w:trPr>
        <w:tc>
          <w:tcPr>
            <w:tcW w:w="9280" w:type="dxa"/>
            <w:vAlign w:val="bottom"/>
            <w:shd w:val="clear" w:color="auto" w:fill="DBDBDB"/>
          </w:tcPr>
          <w:p>
            <w:pPr>
              <w:ind w:left="200"/>
              <w:spacing w:after="0"/>
              <w:rPr>
                <w:sz w:val="20"/>
                <w:szCs w:val="20"/>
                <w:color w:val="auto"/>
              </w:rPr>
            </w:pPr>
            <w:r>
              <w:rPr>
                <w:rFonts w:ascii="Arial" w:cs="Arial" w:eastAsia="Arial" w:hAnsi="Arial"/>
                <w:sz w:val="13"/>
                <w:szCs w:val="13"/>
                <w:color w:val="auto"/>
              </w:rPr>
              <w:t>Total identifiable assets acquired</w:t>
            </w:r>
          </w:p>
        </w:tc>
        <w:tc>
          <w:tcPr>
            <w:tcW w:w="360" w:type="dxa"/>
            <w:vAlign w:val="bottom"/>
            <w:tcBorders>
              <w:bottom w:val="single" w:sz="8" w:color="auto"/>
            </w:tcBorders>
            <w:shd w:val="clear" w:color="auto" w:fill="DBDBDB"/>
          </w:tcPr>
          <w:p>
            <w:pPr>
              <w:spacing w:after="0"/>
              <w:rPr>
                <w:sz w:val="14"/>
                <w:szCs w:val="14"/>
                <w:color w:val="auto"/>
              </w:rPr>
            </w:pP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2,727,009</w:t>
            </w:r>
          </w:p>
        </w:tc>
      </w:tr>
      <w:tr>
        <w:trPr>
          <w:trHeight w:val="163"/>
        </w:trPr>
        <w:tc>
          <w:tcPr>
            <w:tcW w:w="9280" w:type="dxa"/>
            <w:vAlign w:val="bottom"/>
          </w:tcPr>
          <w:p>
            <w:pPr>
              <w:ind w:left="20"/>
              <w:spacing w:after="0"/>
              <w:rPr>
                <w:sz w:val="20"/>
                <w:szCs w:val="20"/>
                <w:color w:val="auto"/>
              </w:rPr>
            </w:pPr>
            <w:r>
              <w:rPr>
                <w:rFonts w:ascii="Arial" w:cs="Arial" w:eastAsia="Arial" w:hAnsi="Arial"/>
                <w:sz w:val="13"/>
                <w:szCs w:val="13"/>
                <w:color w:val="auto"/>
              </w:rPr>
              <w:t>Accounts payable</w:t>
            </w:r>
          </w:p>
        </w:tc>
        <w:tc>
          <w:tcPr>
            <w:tcW w:w="36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(29,797)</w:t>
            </w:r>
          </w:p>
        </w:tc>
      </w:tr>
      <w:tr>
        <w:trPr>
          <w:trHeight w:val="178"/>
        </w:trPr>
        <w:tc>
          <w:tcPr>
            <w:tcW w:w="9280" w:type="dxa"/>
            <w:vAlign w:val="bottom"/>
            <w:shd w:val="clear" w:color="auto" w:fill="DBDBDB"/>
          </w:tcPr>
          <w:p>
            <w:pPr>
              <w:ind w:left="20"/>
              <w:spacing w:after="0"/>
              <w:rPr>
                <w:sz w:val="20"/>
                <w:szCs w:val="20"/>
                <w:color w:val="auto"/>
              </w:rPr>
            </w:pPr>
            <w:r>
              <w:rPr>
                <w:rFonts w:ascii="Arial" w:cs="Arial" w:eastAsia="Arial" w:hAnsi="Arial"/>
                <w:sz w:val="13"/>
                <w:szCs w:val="13"/>
                <w:color w:val="auto"/>
              </w:rPr>
              <w:t>Accrued liabilities and interest</w:t>
            </w:r>
          </w:p>
        </w:tc>
        <w:tc>
          <w:tcPr>
            <w:tcW w:w="360" w:type="dxa"/>
            <w:vAlign w:val="bottom"/>
            <w:shd w:val="clear" w:color="auto" w:fill="DBDBDB"/>
          </w:tcPr>
          <w:p>
            <w:pPr>
              <w:spacing w:after="0"/>
              <w:rPr>
                <w:sz w:val="15"/>
                <w:szCs w:val="15"/>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(40,335)</w:t>
            </w:r>
          </w:p>
        </w:tc>
      </w:tr>
      <w:tr>
        <w:trPr>
          <w:trHeight w:val="172"/>
        </w:trPr>
        <w:tc>
          <w:tcPr>
            <w:tcW w:w="9280" w:type="dxa"/>
            <w:vAlign w:val="bottom"/>
          </w:tcPr>
          <w:p>
            <w:pPr>
              <w:ind w:left="20"/>
              <w:spacing w:after="0"/>
              <w:rPr>
                <w:sz w:val="20"/>
                <w:szCs w:val="20"/>
                <w:color w:val="auto"/>
              </w:rPr>
            </w:pPr>
            <w:r>
              <w:rPr>
                <w:rFonts w:ascii="Arial" w:cs="Arial" w:eastAsia="Arial" w:hAnsi="Arial"/>
                <w:sz w:val="13"/>
                <w:szCs w:val="13"/>
                <w:color w:val="auto"/>
              </w:rPr>
              <w:t>Deferred revenue and customer deposits</w:t>
            </w:r>
          </w:p>
        </w:tc>
        <w:tc>
          <w:tcPr>
            <w:tcW w:w="36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(38,846)</w:t>
            </w:r>
          </w:p>
        </w:tc>
      </w:tr>
      <w:tr>
        <w:trPr>
          <w:trHeight w:val="178"/>
        </w:trPr>
        <w:tc>
          <w:tcPr>
            <w:tcW w:w="9280" w:type="dxa"/>
            <w:vAlign w:val="bottom"/>
            <w:shd w:val="clear" w:color="auto" w:fill="DBDBDB"/>
          </w:tcPr>
          <w:p>
            <w:pPr>
              <w:ind w:left="20"/>
              <w:spacing w:after="0"/>
              <w:rPr>
                <w:sz w:val="20"/>
                <w:szCs w:val="20"/>
                <w:color w:val="auto"/>
              </w:rPr>
            </w:pPr>
            <w:r>
              <w:rPr>
                <w:rFonts w:ascii="Arial" w:cs="Arial" w:eastAsia="Arial" w:hAnsi="Arial"/>
                <w:sz w:val="13"/>
                <w:szCs w:val="13"/>
                <w:color w:val="auto"/>
              </w:rPr>
              <w:t>Operating lease liabilities</w:t>
            </w:r>
          </w:p>
        </w:tc>
        <w:tc>
          <w:tcPr>
            <w:tcW w:w="360" w:type="dxa"/>
            <w:vAlign w:val="bottom"/>
            <w:shd w:val="clear" w:color="auto" w:fill="DBDBDB"/>
          </w:tcPr>
          <w:p>
            <w:pPr>
              <w:spacing w:after="0"/>
              <w:rPr>
                <w:sz w:val="15"/>
                <w:szCs w:val="15"/>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(89,968)</w:t>
            </w:r>
          </w:p>
        </w:tc>
      </w:tr>
      <w:tr>
        <w:trPr>
          <w:trHeight w:val="172"/>
        </w:trPr>
        <w:tc>
          <w:tcPr>
            <w:tcW w:w="9280" w:type="dxa"/>
            <w:vAlign w:val="bottom"/>
          </w:tcPr>
          <w:p>
            <w:pPr>
              <w:ind w:left="20"/>
              <w:spacing w:after="0"/>
              <w:rPr>
                <w:sz w:val="20"/>
                <w:szCs w:val="20"/>
                <w:color w:val="auto"/>
              </w:rPr>
            </w:pPr>
            <w:r>
              <w:rPr>
                <w:rFonts w:ascii="Arial" w:cs="Arial" w:eastAsia="Arial" w:hAnsi="Arial"/>
                <w:sz w:val="13"/>
                <w:szCs w:val="13"/>
                <w:color w:val="auto"/>
              </w:rPr>
              <w:t>Debt and finance lease liabilities</w:t>
            </w:r>
          </w:p>
        </w:tc>
        <w:tc>
          <w:tcPr>
            <w:tcW w:w="36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(897,244)</w:t>
            </w:r>
          </w:p>
        </w:tc>
      </w:tr>
      <w:tr>
        <w:trPr>
          <w:trHeight w:val="178"/>
        </w:trPr>
        <w:tc>
          <w:tcPr>
            <w:tcW w:w="9280" w:type="dxa"/>
            <w:vAlign w:val="bottom"/>
            <w:shd w:val="clear" w:color="auto" w:fill="DBDBDB"/>
          </w:tcPr>
          <w:p>
            <w:pPr>
              <w:ind w:left="20"/>
              <w:spacing w:after="0"/>
              <w:rPr>
                <w:sz w:val="20"/>
                <w:szCs w:val="20"/>
                <w:color w:val="auto"/>
              </w:rPr>
            </w:pPr>
            <w:r>
              <w:rPr>
                <w:rFonts w:ascii="Arial" w:cs="Arial" w:eastAsia="Arial" w:hAnsi="Arial"/>
                <w:sz w:val="13"/>
                <w:szCs w:val="13"/>
                <w:color w:val="auto"/>
              </w:rPr>
              <w:t>Deferred tax liabilities</w:t>
            </w:r>
          </w:p>
        </w:tc>
        <w:tc>
          <w:tcPr>
            <w:tcW w:w="360" w:type="dxa"/>
            <w:vAlign w:val="bottom"/>
            <w:shd w:val="clear" w:color="auto" w:fill="DBDBDB"/>
          </w:tcPr>
          <w:p>
            <w:pPr>
              <w:spacing w:after="0"/>
              <w:rPr>
                <w:sz w:val="15"/>
                <w:szCs w:val="15"/>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(276,555)</w:t>
            </w:r>
          </w:p>
        </w:tc>
      </w:tr>
      <w:tr>
        <w:trPr>
          <w:trHeight w:val="172"/>
        </w:trPr>
        <w:tc>
          <w:tcPr>
            <w:tcW w:w="928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Other long-term liabilities</w:t>
            </w:r>
          </w:p>
        </w:tc>
        <w:tc>
          <w:tcPr>
            <w:tcW w:w="3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(1,428)</w:t>
            </w:r>
          </w:p>
        </w:tc>
      </w:tr>
      <w:tr>
        <w:trPr>
          <w:trHeight w:val="169"/>
        </w:trPr>
        <w:tc>
          <w:tcPr>
            <w:tcW w:w="9280" w:type="dxa"/>
            <w:vAlign w:val="bottom"/>
            <w:shd w:val="clear" w:color="auto" w:fill="DBDBDB"/>
          </w:tcPr>
          <w:p>
            <w:pPr>
              <w:ind w:left="200"/>
              <w:spacing w:after="0"/>
              <w:rPr>
                <w:sz w:val="20"/>
                <w:szCs w:val="20"/>
                <w:color w:val="auto"/>
              </w:rPr>
            </w:pPr>
            <w:r>
              <w:rPr>
                <w:rFonts w:ascii="Arial" w:cs="Arial" w:eastAsia="Arial" w:hAnsi="Arial"/>
                <w:sz w:val="13"/>
                <w:szCs w:val="13"/>
                <w:color w:val="auto"/>
              </w:rPr>
              <w:t>Total liabilities assumed</w:t>
            </w:r>
          </w:p>
        </w:tc>
        <w:tc>
          <w:tcPr>
            <w:tcW w:w="360" w:type="dxa"/>
            <w:vAlign w:val="bottom"/>
            <w:tcBorders>
              <w:bottom w:val="single" w:sz="8" w:color="auto"/>
            </w:tcBorders>
            <w:shd w:val="clear" w:color="auto" w:fill="DBDBDB"/>
          </w:tcPr>
          <w:p>
            <w:pPr>
              <w:spacing w:after="0"/>
              <w:rPr>
                <w:sz w:val="14"/>
                <w:szCs w:val="14"/>
                <w:color w:val="auto"/>
              </w:rPr>
            </w:pP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(1,374,173)</w:t>
            </w:r>
          </w:p>
        </w:tc>
      </w:tr>
      <w:tr>
        <w:trPr>
          <w:trHeight w:val="163"/>
        </w:trPr>
        <w:tc>
          <w:tcPr>
            <w:tcW w:w="9280" w:type="dxa"/>
            <w:vAlign w:val="bottom"/>
          </w:tcPr>
          <w:p>
            <w:pPr>
              <w:ind w:left="20"/>
              <w:spacing w:after="0"/>
              <w:rPr>
                <w:sz w:val="20"/>
                <w:szCs w:val="20"/>
                <w:color w:val="auto"/>
              </w:rPr>
            </w:pPr>
            <w:r>
              <w:rPr>
                <w:rFonts w:ascii="Arial" w:cs="Arial" w:eastAsia="Arial" w:hAnsi="Arial"/>
                <w:sz w:val="13"/>
                <w:szCs w:val="13"/>
                <w:color w:val="auto"/>
              </w:rPr>
              <w:t>Net assets acquired (purchase price)</w:t>
            </w:r>
          </w:p>
        </w:tc>
        <w:tc>
          <w:tcPr>
            <w:tcW w:w="36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color w:val="auto"/>
                <w:w w:val="82"/>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1,352,836</w:t>
            </w:r>
          </w:p>
        </w:tc>
      </w:tr>
      <w:tr>
        <w:trPr>
          <w:trHeight w:val="20"/>
        </w:trPr>
        <w:tc>
          <w:tcPr>
            <w:tcW w:w="9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The goodwill is reflective of Mobile Mini's going concern value and operational synergies that would not be available to other market participants. Goodwill from the Mobile Mini acquisition is not deductible for income tax purposes.</w:t>
      </w:r>
    </w:p>
    <w:p>
      <w:pPr>
        <w:spacing w:after="0" w:line="31"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Mobile Mini generated $ 730.7 million of revenue and $147.3 million of pre-tax income in the year ended December 31, 2021, which is included in the consolidated statement of operations. Mobile Mini generated $316.5 million of revenue and $23.1 million of pre-tax income from the acquisition date to December 31, 2020, which is included in the consolidated statement of operations for the year ended December 31, 2020.</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Pro Forma Information</w:t>
      </w:r>
    </w:p>
    <w:p>
      <w:pPr>
        <w:spacing w:after="0" w:line="63"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The below pro forma results give effect to the following as if they occurred on January 1, 2019, (i) the Merger, (ii) borrowings under the Company's 2025 Secured Notes and 2020 ABL Facility (terms as defined in Note 9) used to repay certain debt in connection with the Merger, (iii) extinguishment of the Mobile Mini revolving credit facility and senior notes assumed in the Merger and immediately repaid, (iv) extinguishment of WillScot's 2017 ABL Facility and WillScot's 2022 Secured Notes (terms as defined in Note 9) repaid in connection with the Merger and (v) elimination of WillScot's non-controlling interest and WillScot's Class B Common Stock in connection with the Merger. See Note 10 for further details. The pro forma information is not necessarily indicative of the Company’s results of operations had the Merger been completed on January 1, 2019, nor is it necessarily indicative of the Company’s future results. The pro forma information does not reflect any cost savings from operating efficiencies, synergies, or revenue opportunities that could result from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12" w:right="319" w:bottom="1440" w:gutter="0" w:footer="0" w:header="0"/>
        </w:sectPr>
      </w:pPr>
    </w:p>
    <w:bookmarkStart w:id="87" w:name="page88"/>
    <w:bookmarkEnd w:id="87"/>
    <w:p>
      <w:pPr>
        <w:ind w:left="540"/>
        <w:spacing w:after="0"/>
        <w:rPr>
          <w:sz w:val="20"/>
          <w:szCs w:val="20"/>
          <w:color w:val="auto"/>
        </w:rPr>
      </w:pPr>
      <w:r>
        <w:rPr>
          <w:rFonts w:ascii="Arial" w:cs="Arial" w:eastAsia="Arial" w:hAnsi="Arial"/>
          <w:sz w:val="13"/>
          <w:szCs w:val="13"/>
          <w:color w:val="auto"/>
        </w:rPr>
        <w:t>The tables below present unaudited pro forma combined statements of operations information for the years ended December 31, 2020 and 2019:</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2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(unaudited, in thousands)</w:t>
            </w:r>
          </w:p>
        </w:tc>
        <w:tc>
          <w:tcPr>
            <w:tcW w:w="100" w:type="dxa"/>
            <w:vAlign w:val="bottom"/>
            <w:shd w:val="clear" w:color="auto" w:fill="1D2758"/>
          </w:tcPr>
          <w:p>
            <w:pPr>
              <w:spacing w:after="0"/>
              <w:rPr>
                <w:sz w:val="15"/>
                <w:szCs w:val="15"/>
                <w:color w:val="auto"/>
              </w:rPr>
            </w:pPr>
          </w:p>
        </w:tc>
        <w:tc>
          <w:tcPr>
            <w:tcW w:w="2140" w:type="dxa"/>
            <w:vAlign w:val="bottom"/>
            <w:gridSpan w:val="2"/>
            <w:shd w:val="clear" w:color="auto" w:fill="1D2758"/>
          </w:tcPr>
          <w:p>
            <w:pPr>
              <w:ind w:left="20"/>
              <w:spacing w:after="0"/>
              <w:rPr>
                <w:sz w:val="20"/>
                <w:szCs w:val="20"/>
                <w:color w:val="auto"/>
              </w:rPr>
            </w:pPr>
            <w:r>
              <w:rPr>
                <w:rFonts w:ascii="Arial" w:cs="Arial" w:eastAsia="Arial" w:hAnsi="Arial"/>
                <w:sz w:val="13"/>
                <w:szCs w:val="13"/>
                <w:b w:val="1"/>
                <w:bCs w:val="1"/>
                <w:color w:val="FFFFFF"/>
              </w:rPr>
              <w:t>Year Ended December 31, 2020</w:t>
            </w:r>
          </w:p>
        </w:tc>
        <w:tc>
          <w:tcPr>
            <w:tcW w:w="100" w:type="dxa"/>
            <w:vAlign w:val="bottom"/>
            <w:shd w:val="clear" w:color="auto" w:fill="1D2758"/>
          </w:tcPr>
          <w:p>
            <w:pPr>
              <w:spacing w:after="0"/>
              <w:rPr>
                <w:sz w:val="15"/>
                <w:szCs w:val="15"/>
                <w:color w:val="auto"/>
              </w:rPr>
            </w:pPr>
          </w:p>
        </w:tc>
        <w:tc>
          <w:tcPr>
            <w:tcW w:w="2080" w:type="dxa"/>
            <w:vAlign w:val="bottom"/>
            <w:shd w:val="clear" w:color="auto" w:fill="1D2758"/>
          </w:tcPr>
          <w:p>
            <w:pPr>
              <w:jc w:val="right"/>
              <w:ind w:right="54"/>
              <w:spacing w:after="0"/>
              <w:rPr>
                <w:sz w:val="20"/>
                <w:szCs w:val="20"/>
                <w:color w:val="auto"/>
              </w:rPr>
            </w:pPr>
            <w:r>
              <w:rPr>
                <w:rFonts w:ascii="Arial" w:cs="Arial" w:eastAsia="Arial" w:hAnsi="Arial"/>
                <w:sz w:val="13"/>
                <w:szCs w:val="13"/>
                <w:b w:val="1"/>
                <w:bCs w:val="1"/>
                <w:color w:val="FFFFFF"/>
              </w:rPr>
              <w:t>Year Ended December 31, 2019</w:t>
            </w:r>
          </w:p>
        </w:tc>
        <w:tc>
          <w:tcPr>
            <w:tcW w:w="340" w:type="dxa"/>
            <w:vAlign w:val="bottom"/>
            <w:shd w:val="clear" w:color="auto" w:fill="1D2758"/>
          </w:tcPr>
          <w:p>
            <w:pPr>
              <w:spacing w:after="0"/>
              <w:rPr>
                <w:sz w:val="15"/>
                <w:szCs w:val="15"/>
                <w:color w:val="auto"/>
              </w:rPr>
            </w:pPr>
          </w:p>
        </w:tc>
      </w:tr>
      <w:tr>
        <w:trPr>
          <w:trHeight w:val="175"/>
        </w:trPr>
        <w:tc>
          <w:tcPr>
            <w:tcW w:w="6520" w:type="dxa"/>
            <w:vAlign w:val="bottom"/>
            <w:shd w:val="clear" w:color="auto" w:fill="DBDBDB"/>
          </w:tcPr>
          <w:p>
            <w:pPr>
              <w:ind w:left="20"/>
              <w:spacing w:after="0"/>
              <w:rPr>
                <w:sz w:val="20"/>
                <w:szCs w:val="20"/>
                <w:color w:val="auto"/>
              </w:rPr>
            </w:pPr>
            <w:r>
              <w:rPr>
                <w:rFonts w:ascii="Arial" w:cs="Arial" w:eastAsia="Arial" w:hAnsi="Arial"/>
                <w:sz w:val="13"/>
                <w:szCs w:val="13"/>
                <w:color w:val="auto"/>
              </w:rPr>
              <w:t>WillScot revenues</w:t>
            </w:r>
          </w:p>
        </w:tc>
        <w:tc>
          <w:tcPr>
            <w:tcW w:w="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1,367,645</w:t>
            </w: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1,063,665</w:t>
            </w:r>
          </w:p>
        </w:tc>
        <w:tc>
          <w:tcPr>
            <w:tcW w:w="340" w:type="dxa"/>
            <w:vAlign w:val="bottom"/>
            <w:shd w:val="clear" w:color="auto" w:fill="DBDBDB"/>
          </w:tcPr>
          <w:p>
            <w:pPr>
              <w:spacing w:after="0"/>
              <w:rPr>
                <w:sz w:val="15"/>
                <w:szCs w:val="15"/>
                <w:color w:val="auto"/>
              </w:rPr>
            </w:pPr>
          </w:p>
        </w:tc>
      </w:tr>
      <w:tr>
        <w:trPr>
          <w:trHeight w:val="172"/>
        </w:trPr>
        <w:tc>
          <w:tcPr>
            <w:tcW w:w="652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Mobile Mini revenues</w:t>
            </w: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284,240</w:t>
            </w:r>
          </w:p>
        </w:tc>
        <w:tc>
          <w:tcPr>
            <w:tcW w:w="80" w:type="dxa"/>
            <w:vAlign w:val="bottom"/>
            <w:tcBorders>
              <w:bottom w:val="single" w:sz="8" w:color="DBDBDB"/>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620,018</w:t>
            </w:r>
          </w:p>
        </w:tc>
        <w:tc>
          <w:tcPr>
            <w:tcW w:w="340" w:type="dxa"/>
            <w:vAlign w:val="bottom"/>
            <w:tcBorders>
              <w:bottom w:val="single" w:sz="8" w:color="DBDBDB"/>
            </w:tcBorders>
          </w:tcPr>
          <w:p>
            <w:pPr>
              <w:spacing w:after="0"/>
              <w:rPr>
                <w:sz w:val="14"/>
                <w:szCs w:val="14"/>
                <w:color w:val="auto"/>
              </w:rPr>
            </w:pPr>
          </w:p>
        </w:tc>
      </w:tr>
      <w:tr>
        <w:trPr>
          <w:trHeight w:val="191"/>
        </w:trPr>
        <w:tc>
          <w:tcPr>
            <w:tcW w:w="65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Pro forma revenues</w:t>
            </w: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1,651,885</w:t>
            </w:r>
          </w:p>
        </w:tc>
        <w:tc>
          <w:tcPr>
            <w:tcW w:w="8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1,683,683</w:t>
            </w:r>
          </w:p>
        </w:tc>
        <w:tc>
          <w:tcPr>
            <w:tcW w:w="340" w:type="dxa"/>
            <w:vAlign w:val="bottom"/>
            <w:tcBorders>
              <w:bottom w:val="single" w:sz="8" w:color="DBDBDB"/>
            </w:tcBorders>
            <w:shd w:val="clear" w:color="auto" w:fill="DBDBDB"/>
          </w:tcPr>
          <w:p>
            <w:pPr>
              <w:spacing w:after="0"/>
              <w:rPr>
                <w:sz w:val="16"/>
                <w:szCs w:val="16"/>
                <w:color w:val="auto"/>
              </w:rPr>
            </w:pPr>
          </w:p>
        </w:tc>
      </w:tr>
      <w:tr>
        <w:trPr>
          <w:trHeight w:val="20"/>
        </w:trPr>
        <w:tc>
          <w:tcPr>
            <w:tcW w:w="652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20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2080" w:type="dxa"/>
            <w:vAlign w:val="bottom"/>
            <w:tcBorders>
              <w:top w:val="single" w:sz="8" w:color="DBDBDB"/>
              <w:bottom w:val="single" w:sz="8" w:color="auto"/>
            </w:tcBorders>
          </w:tcPr>
          <w:p>
            <w:pPr>
              <w:spacing w:after="0" w:line="20" w:lineRule="exact"/>
              <w:rPr>
                <w:sz w:val="1"/>
                <w:szCs w:val="1"/>
                <w:color w:val="auto"/>
              </w:rPr>
            </w:pPr>
          </w:p>
        </w:tc>
        <w:tc>
          <w:tcPr>
            <w:tcW w:w="340" w:type="dxa"/>
            <w:vAlign w:val="bottom"/>
            <w:tcBorders>
              <w:top w:val="single" w:sz="8" w:color="DBDBDB"/>
            </w:tcBorders>
          </w:tcPr>
          <w:p>
            <w:pPr>
              <w:spacing w:after="0" w:line="20" w:lineRule="exact"/>
              <w:rPr>
                <w:sz w:val="1"/>
                <w:szCs w:val="1"/>
                <w:color w:val="auto"/>
              </w:rPr>
            </w:pPr>
          </w:p>
        </w:tc>
      </w:tr>
      <w:tr>
        <w:trPr>
          <w:trHeight w:val="163"/>
        </w:trPr>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75"/>
        </w:trPr>
        <w:tc>
          <w:tcPr>
            <w:tcW w:w="6520" w:type="dxa"/>
            <w:vAlign w:val="bottom"/>
            <w:shd w:val="clear" w:color="auto" w:fill="DBDBDB"/>
          </w:tcPr>
          <w:p>
            <w:pPr>
              <w:ind w:left="20"/>
              <w:spacing w:after="0"/>
              <w:rPr>
                <w:sz w:val="20"/>
                <w:szCs w:val="20"/>
                <w:color w:val="auto"/>
              </w:rPr>
            </w:pPr>
            <w:r>
              <w:rPr>
                <w:rFonts w:ascii="Arial" w:cs="Arial" w:eastAsia="Arial" w:hAnsi="Arial"/>
                <w:sz w:val="13"/>
                <w:szCs w:val="13"/>
                <w:color w:val="auto"/>
              </w:rPr>
              <w:t>WillScot Mobile Mini pretax income (loss)</w:t>
            </w:r>
          </w:p>
        </w:tc>
        <w:tc>
          <w:tcPr>
            <w:tcW w:w="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23,889</w:t>
            </w: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(123,356)</w:t>
            </w:r>
          </w:p>
        </w:tc>
        <w:tc>
          <w:tcPr>
            <w:tcW w:w="340" w:type="dxa"/>
            <w:vAlign w:val="bottom"/>
            <w:shd w:val="clear" w:color="auto" w:fill="DBDBDB"/>
          </w:tcPr>
          <w:p>
            <w:pPr>
              <w:jc w:val="center"/>
              <w:spacing w:after="0"/>
              <w:rPr>
                <w:sz w:val="20"/>
                <w:szCs w:val="20"/>
                <w:color w:val="auto"/>
              </w:rPr>
            </w:pPr>
            <w:r>
              <w:rPr>
                <w:rFonts w:ascii="Arial" w:cs="Arial" w:eastAsia="Arial" w:hAnsi="Arial"/>
                <w:sz w:val="13"/>
                <w:szCs w:val="13"/>
                <w:color w:val="auto"/>
              </w:rPr>
              <w:t>(a)</w:t>
            </w:r>
          </w:p>
        </w:tc>
      </w:tr>
      <w:tr>
        <w:trPr>
          <w:trHeight w:val="172"/>
        </w:trPr>
        <w:tc>
          <w:tcPr>
            <w:tcW w:w="652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Mobile Mini pretax income</w:t>
            </w: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37,875</w:t>
            </w:r>
          </w:p>
        </w:tc>
        <w:tc>
          <w:tcPr>
            <w:tcW w:w="80" w:type="dxa"/>
            <w:vAlign w:val="bottom"/>
            <w:tcBorders>
              <w:bottom w:val="single" w:sz="8" w:color="DBDBDB"/>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111,705</w:t>
            </w:r>
          </w:p>
        </w:tc>
        <w:tc>
          <w:tcPr>
            <w:tcW w:w="340" w:type="dxa"/>
            <w:vAlign w:val="bottom"/>
            <w:tcBorders>
              <w:bottom w:val="single" w:sz="8" w:color="DBDBDB"/>
            </w:tcBorders>
          </w:tcPr>
          <w:p>
            <w:pPr>
              <w:spacing w:after="0"/>
              <w:rPr>
                <w:sz w:val="14"/>
                <w:szCs w:val="14"/>
                <w:color w:val="auto"/>
              </w:rPr>
            </w:pPr>
          </w:p>
        </w:tc>
      </w:tr>
      <w:tr>
        <w:trPr>
          <w:trHeight w:val="169"/>
        </w:trPr>
        <w:tc>
          <w:tcPr>
            <w:tcW w:w="6520" w:type="dxa"/>
            <w:vAlign w:val="bottom"/>
            <w:shd w:val="clear" w:color="auto" w:fill="DBDBDB"/>
          </w:tcPr>
          <w:p>
            <w:pPr>
              <w:ind w:left="20"/>
              <w:spacing w:after="0"/>
              <w:rPr>
                <w:sz w:val="20"/>
                <w:szCs w:val="20"/>
                <w:color w:val="auto"/>
              </w:rPr>
            </w:pPr>
            <w:r>
              <w:rPr>
                <w:rFonts w:ascii="Arial" w:cs="Arial" w:eastAsia="Arial" w:hAnsi="Arial"/>
                <w:sz w:val="13"/>
                <w:szCs w:val="13"/>
                <w:color w:val="auto"/>
              </w:rPr>
              <w:t>Pro forma pretax income (loss)</w:t>
            </w:r>
          </w:p>
        </w:tc>
        <w:tc>
          <w:tcPr>
            <w:tcW w:w="100" w:type="dxa"/>
            <w:vAlign w:val="bottom"/>
            <w:shd w:val="clear" w:color="auto" w:fill="DBDBDB"/>
          </w:tcPr>
          <w:p>
            <w:pPr>
              <w:spacing w:after="0"/>
              <w:rPr>
                <w:sz w:val="14"/>
                <w:szCs w:val="14"/>
                <w:color w:val="auto"/>
              </w:rPr>
            </w:pPr>
          </w:p>
        </w:tc>
        <w:tc>
          <w:tcPr>
            <w:tcW w:w="2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61,764</w:t>
            </w: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(11,651)</w:t>
            </w:r>
          </w:p>
        </w:tc>
        <w:tc>
          <w:tcPr>
            <w:tcW w:w="340" w:type="dxa"/>
            <w:vAlign w:val="bottom"/>
            <w:shd w:val="clear" w:color="auto" w:fill="DBDBDB"/>
          </w:tcPr>
          <w:p>
            <w:pPr>
              <w:spacing w:after="0"/>
              <w:rPr>
                <w:sz w:val="14"/>
                <w:szCs w:val="14"/>
                <w:color w:val="auto"/>
              </w:rPr>
            </w:pPr>
          </w:p>
        </w:tc>
      </w:tr>
      <w:tr>
        <w:trPr>
          <w:trHeight w:val="172"/>
        </w:trPr>
        <w:tc>
          <w:tcPr>
            <w:tcW w:w="6520" w:type="dxa"/>
            <w:vAlign w:val="bottom"/>
          </w:tcPr>
          <w:p>
            <w:pPr>
              <w:ind w:left="20"/>
              <w:spacing w:after="0"/>
              <w:rPr>
                <w:sz w:val="20"/>
                <w:szCs w:val="20"/>
                <w:color w:val="auto"/>
              </w:rPr>
            </w:pPr>
            <w:r>
              <w:rPr>
                <w:rFonts w:ascii="Arial" w:cs="Arial" w:eastAsia="Arial" w:hAnsi="Arial"/>
                <w:sz w:val="13"/>
                <w:szCs w:val="13"/>
                <w:color w:val="auto"/>
              </w:rPr>
              <w:t>Pro forma adjustments to combined pretax income (loss):</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78"/>
        </w:trPr>
        <w:tc>
          <w:tcPr>
            <w:tcW w:w="6520" w:type="dxa"/>
            <w:vAlign w:val="bottom"/>
            <w:shd w:val="clear" w:color="auto" w:fill="DBDBDB"/>
          </w:tcPr>
          <w:p>
            <w:pPr>
              <w:ind w:left="20"/>
              <w:spacing w:after="0"/>
              <w:rPr>
                <w:sz w:val="20"/>
                <w:szCs w:val="20"/>
                <w:color w:val="auto"/>
              </w:rPr>
            </w:pPr>
            <w:r>
              <w:rPr>
                <w:rFonts w:ascii="Arial" w:cs="Arial" w:eastAsia="Arial" w:hAnsi="Arial"/>
                <w:sz w:val="13"/>
                <w:szCs w:val="13"/>
                <w:color w:val="auto"/>
              </w:rPr>
              <w:t>Elimination of Merger transaction costs</w:t>
            </w:r>
          </w:p>
        </w:tc>
        <w:tc>
          <w:tcPr>
            <w:tcW w:w="100" w:type="dxa"/>
            <w:vAlign w:val="bottom"/>
            <w:shd w:val="clear" w:color="auto" w:fill="DBDBDB"/>
          </w:tcPr>
          <w:p>
            <w:pPr>
              <w:spacing w:after="0"/>
              <w:rPr>
                <w:sz w:val="15"/>
                <w:szCs w:val="15"/>
                <w:color w:val="auto"/>
              </w:rPr>
            </w:pPr>
          </w:p>
        </w:tc>
        <w:tc>
          <w:tcPr>
            <w:tcW w:w="2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80,852</w:t>
            </w: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DBDBDB"/>
          </w:tcPr>
          <w:p>
            <w:pPr>
              <w:jc w:val="center"/>
              <w:spacing w:after="0"/>
              <w:rPr>
                <w:sz w:val="20"/>
                <w:szCs w:val="20"/>
                <w:color w:val="auto"/>
              </w:rPr>
            </w:pPr>
            <w:r>
              <w:rPr>
                <w:rFonts w:ascii="Arial" w:cs="Arial" w:eastAsia="Arial" w:hAnsi="Arial"/>
                <w:sz w:val="13"/>
                <w:szCs w:val="13"/>
                <w:color w:val="auto"/>
              </w:rPr>
              <w:t>(b)</w:t>
            </w:r>
          </w:p>
        </w:tc>
      </w:tr>
      <w:tr>
        <w:trPr>
          <w:trHeight w:val="172"/>
        </w:trPr>
        <w:tc>
          <w:tcPr>
            <w:tcW w:w="6520" w:type="dxa"/>
            <w:vAlign w:val="bottom"/>
          </w:tcPr>
          <w:p>
            <w:pPr>
              <w:ind w:left="20"/>
              <w:spacing w:after="0"/>
              <w:rPr>
                <w:sz w:val="20"/>
                <w:szCs w:val="20"/>
                <w:color w:val="auto"/>
              </w:rPr>
            </w:pPr>
            <w:r>
              <w:rPr>
                <w:rFonts w:ascii="Arial" w:cs="Arial" w:eastAsia="Arial" w:hAnsi="Arial"/>
                <w:sz w:val="13"/>
                <w:szCs w:val="13"/>
                <w:color w:val="auto"/>
              </w:rPr>
              <w:t>Impact of fair value mark-ups on rental fleet depreciation</w:t>
            </w:r>
          </w:p>
        </w:tc>
        <w:tc>
          <w:tcPr>
            <w:tcW w:w="10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Arial" w:cs="Arial" w:eastAsia="Arial" w:hAnsi="Arial"/>
                <w:sz w:val="13"/>
                <w:szCs w:val="13"/>
                <w:color w:val="auto"/>
              </w:rPr>
              <w:t>(2,334)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Pr>
          <w:p>
            <w:pPr>
              <w:jc w:val="right"/>
              <w:spacing w:after="0"/>
              <w:rPr>
                <w:sz w:val="20"/>
                <w:szCs w:val="20"/>
                <w:color w:val="auto"/>
              </w:rPr>
            </w:pPr>
            <w:r>
              <w:rPr>
                <w:rFonts w:ascii="Arial" w:cs="Arial" w:eastAsia="Arial" w:hAnsi="Arial"/>
                <w:sz w:val="13"/>
                <w:szCs w:val="13"/>
                <w:color w:val="auto"/>
              </w:rPr>
              <w:t>(4,667)</w:t>
            </w:r>
          </w:p>
        </w:tc>
        <w:tc>
          <w:tcPr>
            <w:tcW w:w="340" w:type="dxa"/>
            <w:vAlign w:val="bottom"/>
          </w:tcPr>
          <w:p>
            <w:pPr>
              <w:jc w:val="center"/>
              <w:spacing w:after="0"/>
              <w:rPr>
                <w:sz w:val="20"/>
                <w:szCs w:val="20"/>
                <w:color w:val="auto"/>
              </w:rPr>
            </w:pPr>
            <w:r>
              <w:rPr>
                <w:rFonts w:ascii="Arial" w:cs="Arial" w:eastAsia="Arial" w:hAnsi="Arial"/>
                <w:sz w:val="13"/>
                <w:szCs w:val="13"/>
                <w:color w:val="auto"/>
              </w:rPr>
              <w:t>(c)</w:t>
            </w:r>
          </w:p>
        </w:tc>
      </w:tr>
      <w:tr>
        <w:trPr>
          <w:trHeight w:val="178"/>
        </w:trPr>
        <w:tc>
          <w:tcPr>
            <w:tcW w:w="6520" w:type="dxa"/>
            <w:vAlign w:val="bottom"/>
            <w:shd w:val="clear" w:color="auto" w:fill="DBDBDB"/>
          </w:tcPr>
          <w:p>
            <w:pPr>
              <w:ind w:left="20"/>
              <w:spacing w:after="0"/>
              <w:rPr>
                <w:sz w:val="20"/>
                <w:szCs w:val="20"/>
                <w:color w:val="auto"/>
              </w:rPr>
            </w:pPr>
            <w:r>
              <w:rPr>
                <w:rFonts w:ascii="Arial" w:cs="Arial" w:eastAsia="Arial" w:hAnsi="Arial"/>
                <w:sz w:val="13"/>
                <w:szCs w:val="13"/>
                <w:color w:val="auto"/>
              </w:rPr>
              <w:t>Other depreciation expense and intangible asset amortization</w:t>
            </w:r>
          </w:p>
        </w:tc>
        <w:tc>
          <w:tcPr>
            <w:tcW w:w="100" w:type="dxa"/>
            <w:vAlign w:val="bottom"/>
            <w:shd w:val="clear" w:color="auto" w:fill="DBDBDB"/>
          </w:tcPr>
          <w:p>
            <w:pPr>
              <w:spacing w:after="0"/>
              <w:rPr>
                <w:sz w:val="15"/>
                <w:szCs w:val="15"/>
                <w:color w:val="auto"/>
              </w:rPr>
            </w:pPr>
          </w:p>
        </w:tc>
        <w:tc>
          <w:tcPr>
            <w:tcW w:w="2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(11,397)</w:t>
            </w: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(22,399)</w:t>
            </w:r>
          </w:p>
        </w:tc>
        <w:tc>
          <w:tcPr>
            <w:tcW w:w="340" w:type="dxa"/>
            <w:vAlign w:val="bottom"/>
            <w:shd w:val="clear" w:color="auto" w:fill="DBDBDB"/>
          </w:tcPr>
          <w:p>
            <w:pPr>
              <w:jc w:val="center"/>
              <w:spacing w:after="0"/>
              <w:rPr>
                <w:sz w:val="20"/>
                <w:szCs w:val="20"/>
                <w:color w:val="auto"/>
              </w:rPr>
            </w:pPr>
            <w:r>
              <w:rPr>
                <w:rFonts w:ascii="Arial" w:cs="Arial" w:eastAsia="Arial" w:hAnsi="Arial"/>
                <w:sz w:val="13"/>
                <w:szCs w:val="13"/>
                <w:color w:val="auto"/>
              </w:rPr>
              <w:t>(d)</w:t>
            </w:r>
          </w:p>
        </w:tc>
      </w:tr>
      <w:tr>
        <w:trPr>
          <w:trHeight w:val="172"/>
        </w:trPr>
        <w:tc>
          <w:tcPr>
            <w:tcW w:w="6520" w:type="dxa"/>
            <w:vAlign w:val="bottom"/>
          </w:tcPr>
          <w:p>
            <w:pPr>
              <w:ind w:left="20"/>
              <w:spacing w:after="0"/>
              <w:rPr>
                <w:sz w:val="20"/>
                <w:szCs w:val="20"/>
                <w:color w:val="auto"/>
              </w:rPr>
            </w:pPr>
            <w:r>
              <w:rPr>
                <w:rFonts w:ascii="Arial" w:cs="Arial" w:eastAsia="Arial" w:hAnsi="Arial"/>
                <w:sz w:val="13"/>
                <w:szCs w:val="13"/>
                <w:color w:val="auto"/>
              </w:rPr>
              <w:t>Interest expense</w:t>
            </w:r>
          </w:p>
        </w:tc>
        <w:tc>
          <w:tcPr>
            <w:tcW w:w="10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Arial" w:cs="Arial" w:eastAsia="Arial" w:hAnsi="Arial"/>
                <w:sz w:val="13"/>
                <w:szCs w:val="13"/>
                <w:color w:val="auto"/>
              </w:rPr>
              <w:t>(6,113)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Pr>
          <w:p>
            <w:pPr>
              <w:jc w:val="right"/>
              <w:spacing w:after="0"/>
              <w:rPr>
                <w:sz w:val="20"/>
                <w:szCs w:val="20"/>
                <w:color w:val="auto"/>
              </w:rPr>
            </w:pPr>
            <w:r>
              <w:rPr>
                <w:rFonts w:ascii="Arial" w:cs="Arial" w:eastAsia="Arial" w:hAnsi="Arial"/>
                <w:sz w:val="13"/>
                <w:szCs w:val="13"/>
                <w:color w:val="auto"/>
              </w:rPr>
              <w:t>(1,916)</w:t>
            </w:r>
          </w:p>
        </w:tc>
        <w:tc>
          <w:tcPr>
            <w:tcW w:w="340" w:type="dxa"/>
            <w:vAlign w:val="bottom"/>
          </w:tcPr>
          <w:p>
            <w:pPr>
              <w:jc w:val="center"/>
              <w:spacing w:after="0"/>
              <w:rPr>
                <w:sz w:val="20"/>
                <w:szCs w:val="20"/>
                <w:color w:val="auto"/>
              </w:rPr>
            </w:pPr>
            <w:r>
              <w:rPr>
                <w:rFonts w:ascii="Arial" w:cs="Arial" w:eastAsia="Arial" w:hAnsi="Arial"/>
                <w:sz w:val="13"/>
                <w:szCs w:val="13"/>
                <w:color w:val="auto"/>
              </w:rPr>
              <w:t>(e)</w:t>
            </w:r>
          </w:p>
        </w:tc>
      </w:tr>
      <w:tr>
        <w:trPr>
          <w:trHeight w:val="178"/>
        </w:trPr>
        <w:tc>
          <w:tcPr>
            <w:tcW w:w="6520" w:type="dxa"/>
            <w:vAlign w:val="bottom"/>
            <w:shd w:val="clear" w:color="auto" w:fill="DBDBDB"/>
          </w:tcPr>
          <w:p>
            <w:pPr>
              <w:ind w:left="20"/>
              <w:spacing w:after="0"/>
              <w:rPr>
                <w:sz w:val="20"/>
                <w:szCs w:val="20"/>
                <w:color w:val="auto"/>
              </w:rPr>
            </w:pPr>
            <w:r>
              <w:rPr>
                <w:rFonts w:ascii="Arial" w:cs="Arial" w:eastAsia="Arial" w:hAnsi="Arial"/>
                <w:sz w:val="13"/>
                <w:szCs w:val="13"/>
                <w:color w:val="auto"/>
              </w:rPr>
              <w:t>Elimination of Mobile Mini interest</w:t>
            </w:r>
          </w:p>
        </w:tc>
        <w:tc>
          <w:tcPr>
            <w:tcW w:w="100" w:type="dxa"/>
            <w:vAlign w:val="bottom"/>
            <w:shd w:val="clear" w:color="auto" w:fill="DBDBDB"/>
          </w:tcPr>
          <w:p>
            <w:pPr>
              <w:spacing w:after="0"/>
              <w:rPr>
                <w:sz w:val="15"/>
                <w:szCs w:val="15"/>
                <w:color w:val="auto"/>
              </w:rPr>
            </w:pPr>
          </w:p>
        </w:tc>
        <w:tc>
          <w:tcPr>
            <w:tcW w:w="2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15,921</w:t>
            </w: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39,672</w:t>
            </w:r>
          </w:p>
        </w:tc>
        <w:tc>
          <w:tcPr>
            <w:tcW w:w="340" w:type="dxa"/>
            <w:vAlign w:val="bottom"/>
            <w:shd w:val="clear" w:color="auto" w:fill="DBDBDB"/>
          </w:tcPr>
          <w:p>
            <w:pPr>
              <w:jc w:val="center"/>
              <w:spacing w:after="0"/>
              <w:rPr>
                <w:sz w:val="20"/>
                <w:szCs w:val="20"/>
                <w:color w:val="auto"/>
              </w:rPr>
            </w:pPr>
            <w:r>
              <w:rPr>
                <w:rFonts w:ascii="Arial" w:cs="Arial" w:eastAsia="Arial" w:hAnsi="Arial"/>
                <w:sz w:val="13"/>
                <w:szCs w:val="13"/>
                <w:color w:val="auto"/>
                <w:w w:val="97"/>
              </w:rPr>
              <w:t>(f)</w:t>
            </w:r>
          </w:p>
        </w:tc>
      </w:tr>
      <w:tr>
        <w:trPr>
          <w:trHeight w:val="172"/>
        </w:trPr>
        <w:tc>
          <w:tcPr>
            <w:tcW w:w="652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Elimination of loss on extinguishment of debt</w:t>
            </w: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19,682</w:t>
            </w:r>
          </w:p>
        </w:tc>
        <w:tc>
          <w:tcPr>
            <w:tcW w:w="80" w:type="dxa"/>
            <w:vAlign w:val="bottom"/>
            <w:tcBorders>
              <w:bottom w:val="single" w:sz="8" w:color="DBDBDB"/>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1,512</w:t>
            </w:r>
          </w:p>
        </w:tc>
        <w:tc>
          <w:tcPr>
            <w:tcW w:w="340" w:type="dxa"/>
            <w:vAlign w:val="bottom"/>
            <w:tcBorders>
              <w:bottom w:val="single" w:sz="8" w:color="DBDBDB"/>
            </w:tcBorders>
          </w:tcPr>
          <w:p>
            <w:pPr>
              <w:jc w:val="center"/>
              <w:spacing w:after="0"/>
              <w:rPr>
                <w:sz w:val="20"/>
                <w:szCs w:val="20"/>
                <w:color w:val="auto"/>
              </w:rPr>
            </w:pPr>
            <w:r>
              <w:rPr>
                <w:rFonts w:ascii="Arial" w:cs="Arial" w:eastAsia="Arial" w:hAnsi="Arial"/>
                <w:sz w:val="13"/>
                <w:szCs w:val="13"/>
                <w:color w:val="auto"/>
              </w:rPr>
              <w:t>(g)</w:t>
            </w:r>
          </w:p>
        </w:tc>
      </w:tr>
      <w:tr>
        <w:trPr>
          <w:trHeight w:val="169"/>
        </w:trPr>
        <w:tc>
          <w:tcPr>
            <w:tcW w:w="6520" w:type="dxa"/>
            <w:vAlign w:val="bottom"/>
            <w:shd w:val="clear" w:color="auto" w:fill="DBDBDB"/>
          </w:tcPr>
          <w:p>
            <w:pPr>
              <w:ind w:left="20"/>
              <w:spacing w:after="0"/>
              <w:rPr>
                <w:sz w:val="20"/>
                <w:szCs w:val="20"/>
                <w:color w:val="auto"/>
              </w:rPr>
            </w:pPr>
            <w:r>
              <w:rPr>
                <w:rFonts w:ascii="Arial" w:cs="Arial" w:eastAsia="Arial" w:hAnsi="Arial"/>
                <w:sz w:val="13"/>
                <w:szCs w:val="13"/>
                <w:color w:val="auto"/>
              </w:rPr>
              <w:t>Pro forma pretax income</w:t>
            </w:r>
          </w:p>
        </w:tc>
        <w:tc>
          <w:tcPr>
            <w:tcW w:w="100" w:type="dxa"/>
            <w:vAlign w:val="bottom"/>
            <w:shd w:val="clear" w:color="auto" w:fill="DBDBDB"/>
          </w:tcPr>
          <w:p>
            <w:pPr>
              <w:spacing w:after="0"/>
              <w:rPr>
                <w:sz w:val="14"/>
                <w:szCs w:val="14"/>
                <w:color w:val="auto"/>
              </w:rPr>
            </w:pPr>
          </w:p>
        </w:tc>
        <w:tc>
          <w:tcPr>
            <w:tcW w:w="2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158,375</w:t>
            </w: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551</w:t>
            </w:r>
          </w:p>
        </w:tc>
        <w:tc>
          <w:tcPr>
            <w:tcW w:w="340" w:type="dxa"/>
            <w:vAlign w:val="bottom"/>
            <w:shd w:val="clear" w:color="auto" w:fill="DBDBDB"/>
          </w:tcPr>
          <w:p>
            <w:pPr>
              <w:spacing w:after="0"/>
              <w:rPr>
                <w:sz w:val="14"/>
                <w:szCs w:val="14"/>
                <w:color w:val="auto"/>
              </w:rPr>
            </w:pPr>
          </w:p>
        </w:tc>
      </w:tr>
      <w:tr>
        <w:trPr>
          <w:trHeight w:val="172"/>
        </w:trPr>
        <w:tc>
          <w:tcPr>
            <w:tcW w:w="652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Income tax expense</w:t>
            </w: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(34,549)</w:t>
            </w:r>
          </w:p>
        </w:tc>
        <w:tc>
          <w:tcPr>
            <w:tcW w:w="80" w:type="dxa"/>
            <w:vAlign w:val="bottom"/>
            <w:tcBorders>
              <w:bottom w:val="single" w:sz="8" w:color="DBDBDB"/>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(28,892)</w:t>
            </w:r>
          </w:p>
        </w:tc>
        <w:tc>
          <w:tcPr>
            <w:tcW w:w="340" w:type="dxa"/>
            <w:vAlign w:val="bottom"/>
            <w:tcBorders>
              <w:bottom w:val="single" w:sz="8" w:color="DBDBDB"/>
            </w:tcBorders>
          </w:tcPr>
          <w:p>
            <w:pPr>
              <w:jc w:val="center"/>
              <w:spacing w:after="0"/>
              <w:rPr>
                <w:sz w:val="20"/>
                <w:szCs w:val="20"/>
                <w:color w:val="auto"/>
              </w:rPr>
            </w:pPr>
            <w:r>
              <w:rPr>
                <w:rFonts w:ascii="Arial" w:cs="Arial" w:eastAsia="Arial" w:hAnsi="Arial"/>
                <w:sz w:val="13"/>
                <w:szCs w:val="13"/>
                <w:color w:val="auto"/>
              </w:rPr>
              <w:t>(h)</w:t>
            </w:r>
          </w:p>
        </w:tc>
      </w:tr>
      <w:tr>
        <w:trPr>
          <w:trHeight w:val="191"/>
        </w:trPr>
        <w:tc>
          <w:tcPr>
            <w:tcW w:w="65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Pro forma net income</w:t>
            </w: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123,826</w:t>
            </w:r>
          </w:p>
        </w:tc>
        <w:tc>
          <w:tcPr>
            <w:tcW w:w="8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(28,341)</w:t>
            </w:r>
          </w:p>
        </w:tc>
        <w:tc>
          <w:tcPr>
            <w:tcW w:w="340" w:type="dxa"/>
            <w:vAlign w:val="bottom"/>
            <w:tcBorders>
              <w:bottom w:val="single" w:sz="8" w:color="DBDBDB"/>
            </w:tcBorders>
            <w:shd w:val="clear" w:color="auto" w:fill="DBDBDB"/>
          </w:tcPr>
          <w:p>
            <w:pPr>
              <w:spacing w:after="0"/>
              <w:rPr>
                <w:sz w:val="16"/>
                <w:szCs w:val="16"/>
                <w:color w:val="auto"/>
              </w:rPr>
            </w:pPr>
          </w:p>
        </w:tc>
      </w:tr>
      <w:tr>
        <w:trPr>
          <w:trHeight w:val="20"/>
        </w:trPr>
        <w:tc>
          <w:tcPr>
            <w:tcW w:w="652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20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2080" w:type="dxa"/>
            <w:vAlign w:val="bottom"/>
            <w:tcBorders>
              <w:top w:val="single" w:sz="8" w:color="DBDBDB"/>
              <w:bottom w:val="single" w:sz="8" w:color="auto"/>
            </w:tcBorders>
          </w:tcPr>
          <w:p>
            <w:pPr>
              <w:spacing w:after="0" w:line="20" w:lineRule="exact"/>
              <w:rPr>
                <w:sz w:val="1"/>
                <w:szCs w:val="1"/>
                <w:color w:val="auto"/>
              </w:rPr>
            </w:pPr>
          </w:p>
        </w:tc>
        <w:tc>
          <w:tcPr>
            <w:tcW w:w="340" w:type="dxa"/>
            <w:vAlign w:val="bottom"/>
            <w:tcBorders>
              <w:top w:val="single" w:sz="8" w:color="DBDBDB"/>
            </w:tcBorders>
          </w:tcPr>
          <w:p>
            <w:pPr>
              <w:spacing w:after="0" w:line="20" w:lineRule="exact"/>
              <w:rPr>
                <w:sz w:val="1"/>
                <w:szCs w:val="1"/>
                <w:color w:val="auto"/>
              </w:rPr>
            </w:pPr>
          </w:p>
        </w:tc>
      </w:tr>
    </w:tbl>
    <w:p>
      <w:pPr>
        <w:spacing w:after="0" w:line="113" w:lineRule="exact"/>
        <w:rPr>
          <w:sz w:val="20"/>
          <w:szCs w:val="20"/>
          <w:color w:val="auto"/>
        </w:rPr>
      </w:pPr>
    </w:p>
    <w:p>
      <w:pPr>
        <w:ind w:left="460" w:hanging="438"/>
        <w:spacing w:after="0"/>
        <w:tabs>
          <w:tab w:leader="none" w:pos="460" w:val="left"/>
        </w:tabs>
        <w:numPr>
          <w:ilvl w:val="0"/>
          <w:numId w:val="29"/>
        </w:numPr>
        <w:rPr>
          <w:rFonts w:ascii="Arial" w:cs="Arial" w:eastAsia="Arial" w:hAnsi="Arial"/>
          <w:sz w:val="12"/>
          <w:szCs w:val="12"/>
          <w:color w:val="auto"/>
        </w:rPr>
      </w:pPr>
      <w:r>
        <w:rPr>
          <w:rFonts w:ascii="Arial" w:cs="Arial" w:eastAsia="Arial" w:hAnsi="Arial"/>
          <w:sz w:val="12"/>
          <w:szCs w:val="12"/>
          <w:color w:val="auto"/>
        </w:rPr>
        <w:t>Excludes impact of non-controlling interest which was eliminated as part of the Sapphire Exchange. See Note 10.</w:t>
      </w:r>
    </w:p>
    <w:p>
      <w:pPr>
        <w:spacing w:after="0" w:line="14" w:lineRule="exact"/>
        <w:rPr>
          <w:rFonts w:ascii="Arial" w:cs="Arial" w:eastAsia="Arial" w:hAnsi="Arial"/>
          <w:sz w:val="12"/>
          <w:szCs w:val="12"/>
          <w:color w:val="auto"/>
        </w:rPr>
      </w:pPr>
    </w:p>
    <w:p>
      <w:pPr>
        <w:ind w:left="460" w:hanging="438"/>
        <w:spacing w:after="0"/>
        <w:tabs>
          <w:tab w:leader="none" w:pos="460" w:val="left"/>
        </w:tabs>
        <w:numPr>
          <w:ilvl w:val="0"/>
          <w:numId w:val="29"/>
        </w:numPr>
        <w:rPr>
          <w:rFonts w:ascii="Arial" w:cs="Arial" w:eastAsia="Arial" w:hAnsi="Arial"/>
          <w:sz w:val="12"/>
          <w:szCs w:val="12"/>
          <w:color w:val="auto"/>
        </w:rPr>
      </w:pPr>
      <w:r>
        <w:rPr>
          <w:rFonts w:ascii="Arial" w:cs="Arial" w:eastAsia="Arial" w:hAnsi="Arial"/>
          <w:sz w:val="12"/>
          <w:szCs w:val="12"/>
          <w:color w:val="auto"/>
        </w:rPr>
        <w:t>Eliminates discrete Merger transaction costs incurred as a result of the Mobile Mini Merger.</w:t>
      </w:r>
    </w:p>
    <w:p>
      <w:pPr>
        <w:spacing w:after="0" w:line="14" w:lineRule="exact"/>
        <w:rPr>
          <w:rFonts w:ascii="Arial" w:cs="Arial" w:eastAsia="Arial" w:hAnsi="Arial"/>
          <w:sz w:val="12"/>
          <w:szCs w:val="12"/>
          <w:color w:val="auto"/>
        </w:rPr>
      </w:pPr>
    </w:p>
    <w:p>
      <w:pPr>
        <w:ind w:left="460" w:hanging="438"/>
        <w:spacing w:after="0"/>
        <w:tabs>
          <w:tab w:leader="none" w:pos="460" w:val="left"/>
        </w:tabs>
        <w:numPr>
          <w:ilvl w:val="0"/>
          <w:numId w:val="29"/>
        </w:numPr>
        <w:rPr>
          <w:rFonts w:ascii="Arial" w:cs="Arial" w:eastAsia="Arial" w:hAnsi="Arial"/>
          <w:sz w:val="12"/>
          <w:szCs w:val="12"/>
          <w:color w:val="auto"/>
        </w:rPr>
      </w:pPr>
      <w:r>
        <w:rPr>
          <w:rFonts w:ascii="Arial" w:cs="Arial" w:eastAsia="Arial" w:hAnsi="Arial"/>
          <w:sz w:val="12"/>
          <w:szCs w:val="12"/>
          <w:color w:val="auto"/>
        </w:rPr>
        <w:t>Depreciation on rental equipment and property, plant and equipment were adjusted for the determination of the fair value of equipment acquired in the Mobile Mini Merger.</w:t>
      </w:r>
    </w:p>
    <w:p>
      <w:pPr>
        <w:spacing w:after="0" w:line="14" w:lineRule="exact"/>
        <w:rPr>
          <w:rFonts w:ascii="Arial" w:cs="Arial" w:eastAsia="Arial" w:hAnsi="Arial"/>
          <w:sz w:val="12"/>
          <w:szCs w:val="12"/>
          <w:color w:val="auto"/>
        </w:rPr>
      </w:pPr>
    </w:p>
    <w:p>
      <w:pPr>
        <w:ind w:left="460" w:right="20" w:hanging="438"/>
        <w:spacing w:after="0" w:line="216" w:lineRule="auto"/>
        <w:tabs>
          <w:tab w:leader="none" w:pos="460" w:val="left"/>
        </w:tabs>
        <w:numPr>
          <w:ilvl w:val="0"/>
          <w:numId w:val="29"/>
        </w:numPr>
        <w:rPr>
          <w:rFonts w:ascii="Arial" w:cs="Arial" w:eastAsia="Arial" w:hAnsi="Arial"/>
          <w:sz w:val="12"/>
          <w:szCs w:val="12"/>
          <w:color w:val="auto"/>
        </w:rPr>
      </w:pPr>
      <w:r>
        <w:rPr>
          <w:rFonts w:ascii="Arial" w:cs="Arial" w:eastAsia="Arial" w:hAnsi="Arial"/>
          <w:sz w:val="12"/>
          <w:szCs w:val="12"/>
          <w:color w:val="auto"/>
        </w:rPr>
        <w:t>Represents the differential in other depreciation and amortization expense related to the fair value purchase accounting adjustments as a result of the Merger, principally the amortization of the Mobile Mini customer relationship valued at $209.0 million.</w:t>
      </w:r>
    </w:p>
    <w:p>
      <w:pPr>
        <w:spacing w:after="0" w:line="13" w:lineRule="exact"/>
        <w:rPr>
          <w:rFonts w:ascii="Arial" w:cs="Arial" w:eastAsia="Arial" w:hAnsi="Arial"/>
          <w:sz w:val="12"/>
          <w:szCs w:val="12"/>
          <w:color w:val="auto"/>
        </w:rPr>
      </w:pPr>
    </w:p>
    <w:p>
      <w:pPr>
        <w:jc w:val="both"/>
        <w:ind w:left="460" w:right="20" w:hanging="438"/>
        <w:spacing w:after="0" w:line="207" w:lineRule="auto"/>
        <w:tabs>
          <w:tab w:leader="none" w:pos="460" w:val="left"/>
        </w:tabs>
        <w:numPr>
          <w:ilvl w:val="0"/>
          <w:numId w:val="29"/>
        </w:numPr>
        <w:rPr>
          <w:rFonts w:ascii="Arial" w:cs="Arial" w:eastAsia="Arial" w:hAnsi="Arial"/>
          <w:sz w:val="12"/>
          <w:szCs w:val="12"/>
          <w:color w:val="auto"/>
        </w:rPr>
      </w:pPr>
      <w:r>
        <w:rPr>
          <w:rFonts w:ascii="Arial" w:cs="Arial" w:eastAsia="Arial" w:hAnsi="Arial"/>
          <w:sz w:val="12"/>
          <w:szCs w:val="12"/>
          <w:color w:val="auto"/>
        </w:rPr>
        <w:t>In connection with the Merger, the Company entered into a new ABL Facility and drew $1.47 billion at close with an estimated interest rate of 2.046%, issued the 2025 Secured Notes at 6.125%, repaid the 2022 Secured Notes and repaid the 2017 ABL Facility. Interest and amortization of deferred financing fees for the 2020 ABL Facility and the 2025 Secured Notes has been included offset by the removal of interest and amortization of deferred financing fees attributable to the 2022 Secured Notes and the 2017 ABL Facility. See Note 9 for definitions of terms.</w:t>
      </w:r>
    </w:p>
    <w:p>
      <w:pPr>
        <w:spacing w:after="0" w:line="14" w:lineRule="exact"/>
        <w:rPr>
          <w:rFonts w:ascii="Arial" w:cs="Arial" w:eastAsia="Arial" w:hAnsi="Arial"/>
          <w:sz w:val="12"/>
          <w:szCs w:val="12"/>
          <w:color w:val="auto"/>
        </w:rPr>
      </w:pPr>
    </w:p>
    <w:p>
      <w:pPr>
        <w:ind w:left="460" w:right="20" w:hanging="438"/>
        <w:spacing w:after="0" w:line="216" w:lineRule="auto"/>
        <w:tabs>
          <w:tab w:leader="none" w:pos="460" w:val="left"/>
        </w:tabs>
        <w:numPr>
          <w:ilvl w:val="0"/>
          <w:numId w:val="29"/>
        </w:numPr>
        <w:rPr>
          <w:rFonts w:ascii="Arial" w:cs="Arial" w:eastAsia="Arial" w:hAnsi="Arial"/>
          <w:sz w:val="12"/>
          <w:szCs w:val="12"/>
          <w:color w:val="auto"/>
        </w:rPr>
      </w:pPr>
      <w:r>
        <w:rPr>
          <w:rFonts w:ascii="Arial" w:cs="Arial" w:eastAsia="Arial" w:hAnsi="Arial"/>
          <w:sz w:val="12"/>
          <w:szCs w:val="12"/>
          <w:color w:val="auto"/>
        </w:rPr>
        <w:t>Interest and amortization of deferred financing fees on the senior notes and line of credit maintained by Mobile Mini which were assumed at acquisition and repaid immediately using proceeds from the 2020 ABL Facility and 2025 Secured Notes was eliminated. See Note 9 for definition of terms.</w:t>
      </w:r>
    </w:p>
    <w:p>
      <w:pPr>
        <w:spacing w:after="0" w:line="13" w:lineRule="exact"/>
        <w:rPr>
          <w:rFonts w:ascii="Arial" w:cs="Arial" w:eastAsia="Arial" w:hAnsi="Arial"/>
          <w:sz w:val="12"/>
          <w:szCs w:val="12"/>
          <w:color w:val="auto"/>
        </w:rPr>
      </w:pPr>
    </w:p>
    <w:p>
      <w:pPr>
        <w:ind w:left="460" w:right="20" w:hanging="438"/>
        <w:spacing w:after="0" w:line="216" w:lineRule="auto"/>
        <w:tabs>
          <w:tab w:leader="none" w:pos="460" w:val="left"/>
        </w:tabs>
        <w:numPr>
          <w:ilvl w:val="0"/>
          <w:numId w:val="29"/>
        </w:numPr>
        <w:rPr>
          <w:rFonts w:ascii="Arial" w:cs="Arial" w:eastAsia="Arial" w:hAnsi="Arial"/>
          <w:sz w:val="12"/>
          <w:szCs w:val="12"/>
          <w:color w:val="auto"/>
        </w:rPr>
      </w:pPr>
      <w:r>
        <w:rPr>
          <w:rFonts w:ascii="Arial" w:cs="Arial" w:eastAsia="Arial" w:hAnsi="Arial"/>
          <w:sz w:val="12"/>
          <w:szCs w:val="12"/>
          <w:color w:val="auto"/>
        </w:rPr>
        <w:t>Elimination of loss on extinguishment of debt in connection with the redemption premium on the 2022 Secured Notes and unamortized deferred financing costs on the 2022 Secured Notes and 2017 ABL Facility. See Note 9 for definitions of terms.</w:t>
      </w:r>
    </w:p>
    <w:p>
      <w:pPr>
        <w:spacing w:after="0" w:line="13" w:lineRule="exact"/>
        <w:rPr>
          <w:rFonts w:ascii="Arial" w:cs="Arial" w:eastAsia="Arial" w:hAnsi="Arial"/>
          <w:sz w:val="12"/>
          <w:szCs w:val="12"/>
          <w:color w:val="auto"/>
        </w:rPr>
      </w:pPr>
    </w:p>
    <w:p>
      <w:pPr>
        <w:jc w:val="both"/>
        <w:ind w:left="460" w:right="20" w:hanging="438"/>
        <w:spacing w:after="0" w:line="207" w:lineRule="auto"/>
        <w:tabs>
          <w:tab w:leader="none" w:pos="460" w:val="left"/>
        </w:tabs>
        <w:numPr>
          <w:ilvl w:val="0"/>
          <w:numId w:val="29"/>
        </w:numPr>
        <w:rPr>
          <w:rFonts w:ascii="Arial" w:cs="Arial" w:eastAsia="Arial" w:hAnsi="Arial"/>
          <w:sz w:val="12"/>
          <w:szCs w:val="12"/>
          <w:color w:val="auto"/>
        </w:rPr>
      </w:pPr>
      <w:r>
        <w:rPr>
          <w:rFonts w:ascii="Arial" w:cs="Arial" w:eastAsia="Arial" w:hAnsi="Arial"/>
          <w:sz w:val="12"/>
          <w:szCs w:val="12"/>
          <w:color w:val="auto"/>
        </w:rPr>
        <w:t>Reflects the recorded income tax provision plus the adjustment to recognize the income tax impacts of the unaudited pro forma adjustments for which a tax expense is recognized using a US federal and state statutory tax rate of 25.5%. This rate may vary from the effective tax rates of the historical and combined businesses. In addition, eliminates the 2020 reversal of $54.6 million of valuation allowance as a result of reassessment of the realizability of deferred tax assets as a result of the Merger. See Note 12.</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Asset Acquisitions</w:t>
      </w:r>
    </w:p>
    <w:p>
      <w:pPr>
        <w:spacing w:after="0" w:line="66"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During 2021, the Company acquired certain assets and liabilities of several smaller entities, which consisted primarily of 15,700 storage units and 5,800 modular units for $147.2 million in cash. The accompanying consolidated financial statements include $142.1 million of rental equipment as a result of these acquisitions.</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Transaction and Integration Costs</w:t>
      </w:r>
    </w:p>
    <w:p>
      <w:pPr>
        <w:spacing w:after="0" w:line="66"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The Company recorded $1.4 million and $64.1 million in transaction costs in the years ended December 31, 2021 and 2020, respectively. The Company records integration costs within selling, general and administrative ("SG&amp;A") expense. The Company incurred $28.4 million and $16.6 million in integration costs related to the other acquisitions and the Merger for the years ended December 31, 2021 and 2020, respectively. The Company incurred $26.6 million in integration costs related to the ModSpace acquisition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28" w:right="319" w:bottom="1440" w:gutter="0" w:footer="0" w:header="0"/>
        </w:sectPr>
      </w:pPr>
    </w:p>
    <w:bookmarkStart w:id="88" w:name="page89"/>
    <w:bookmarkEnd w:id="88"/>
    <w:p>
      <w:pPr>
        <w:spacing w:after="0"/>
        <w:rPr>
          <w:sz w:val="20"/>
          <w:szCs w:val="20"/>
          <w:color w:val="auto"/>
        </w:rPr>
      </w:pPr>
      <w:r>
        <w:rPr>
          <w:rFonts w:ascii="Arial" w:cs="Arial" w:eastAsia="Arial" w:hAnsi="Arial"/>
          <w:sz w:val="19"/>
          <w:szCs w:val="19"/>
          <w:color w:val="1D2758"/>
        </w:rPr>
        <w:t>NOTE 3 - Revenue</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Revenue Disaggregation</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60" w:type="dxa"/>
            <w:vAlign w:val="bottom"/>
          </w:tcPr>
          <w:p>
            <w:pPr>
              <w:spacing w:after="0"/>
              <w:rPr>
                <w:sz w:val="20"/>
                <w:szCs w:val="20"/>
                <w:color w:val="auto"/>
              </w:rPr>
            </w:pPr>
            <w:r>
              <w:rPr>
                <w:rFonts w:ascii="Arial" w:cs="Arial" w:eastAsia="Arial" w:hAnsi="Arial"/>
                <w:sz w:val="13"/>
                <w:szCs w:val="13"/>
                <w:b w:val="1"/>
                <w:bCs w:val="1"/>
                <w:i w:val="1"/>
                <w:iCs w:val="1"/>
                <w:color w:val="1D2758"/>
              </w:rPr>
              <w:t>Geographic Areas</w:t>
            </w: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97"/>
        </w:trPr>
        <w:tc>
          <w:tcPr>
            <w:tcW w:w="7220" w:type="dxa"/>
            <w:vAlign w:val="bottom"/>
            <w:gridSpan w:val="2"/>
          </w:tcPr>
          <w:p>
            <w:pPr>
              <w:ind w:left="540"/>
              <w:spacing w:after="0"/>
              <w:rPr>
                <w:sz w:val="20"/>
                <w:szCs w:val="20"/>
                <w:color w:val="auto"/>
              </w:rPr>
            </w:pPr>
            <w:r>
              <w:rPr>
                <w:rFonts w:ascii="Arial" w:cs="Arial" w:eastAsia="Arial" w:hAnsi="Arial"/>
                <w:sz w:val="13"/>
                <w:szCs w:val="13"/>
                <w:color w:val="auto"/>
              </w:rPr>
              <w:t>The Company had total revenue in the following geographic areas for the years ended December 31, as follows:</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60"/>
        </w:trPr>
        <w:tc>
          <w:tcPr>
            <w:tcW w:w="6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2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40" w:type="dxa"/>
            <w:vAlign w:val="bottom"/>
          </w:tcPr>
          <w:p>
            <w:pPr>
              <w:spacing w:after="0"/>
              <w:rPr>
                <w:sz w:val="5"/>
                <w:szCs w:val="5"/>
                <w:color w:val="auto"/>
              </w:rPr>
            </w:pPr>
          </w:p>
        </w:tc>
      </w:tr>
      <w:tr>
        <w:trPr>
          <w:trHeight w:val="173"/>
        </w:trPr>
        <w:tc>
          <w:tcPr>
            <w:tcW w:w="6260" w:type="dxa"/>
            <w:vAlign w:val="bottom"/>
            <w:shd w:val="clear" w:color="auto" w:fill="1D2758"/>
          </w:tcPr>
          <w:p>
            <w:pPr>
              <w:spacing w:after="0"/>
              <w:rPr>
                <w:sz w:val="15"/>
                <w:szCs w:val="15"/>
                <w:color w:val="auto"/>
              </w:rPr>
            </w:pPr>
          </w:p>
        </w:tc>
        <w:tc>
          <w:tcPr>
            <w:tcW w:w="960" w:type="dxa"/>
            <w:vAlign w:val="bottom"/>
            <w:shd w:val="clear" w:color="auto" w:fill="1D2758"/>
          </w:tcPr>
          <w:p>
            <w:pPr>
              <w:spacing w:after="0"/>
              <w:rPr>
                <w:sz w:val="15"/>
                <w:szCs w:val="15"/>
                <w:color w:val="auto"/>
              </w:rPr>
            </w:pPr>
          </w:p>
        </w:tc>
        <w:tc>
          <w:tcPr>
            <w:tcW w:w="66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1700" w:type="dxa"/>
            <w:vAlign w:val="bottom"/>
            <w:gridSpan w:val="3"/>
            <w:shd w:val="clear" w:color="auto" w:fill="1D2758"/>
          </w:tcPr>
          <w:p>
            <w:pPr>
              <w:spacing w:after="0"/>
              <w:rPr>
                <w:sz w:val="20"/>
                <w:szCs w:val="20"/>
                <w:color w:val="auto"/>
              </w:rPr>
            </w:pPr>
            <w:r>
              <w:rPr>
                <w:rFonts w:ascii="Arial" w:cs="Arial" w:eastAsia="Arial" w:hAnsi="Arial"/>
                <w:sz w:val="13"/>
                <w:szCs w:val="13"/>
                <w:b w:val="1"/>
                <w:bCs w:val="1"/>
                <w:color w:val="FFFFFF"/>
              </w:rPr>
              <w:t>Year Ended December 31,</w:t>
            </w:r>
          </w:p>
        </w:tc>
        <w:tc>
          <w:tcPr>
            <w:tcW w:w="380" w:type="dxa"/>
            <w:vAlign w:val="bottom"/>
            <w:shd w:val="clear" w:color="auto" w:fill="1D2758"/>
          </w:tcPr>
          <w:p>
            <w:pPr>
              <w:spacing w:after="0"/>
              <w:rPr>
                <w:sz w:val="15"/>
                <w:szCs w:val="15"/>
                <w:color w:val="auto"/>
              </w:rPr>
            </w:pPr>
          </w:p>
        </w:tc>
        <w:tc>
          <w:tcPr>
            <w:tcW w:w="1240" w:type="dxa"/>
            <w:vAlign w:val="bottom"/>
            <w:shd w:val="clear" w:color="auto" w:fill="1D2758"/>
          </w:tcPr>
          <w:p>
            <w:pPr>
              <w:spacing w:after="0"/>
              <w:rPr>
                <w:sz w:val="15"/>
                <w:szCs w:val="15"/>
                <w:color w:val="auto"/>
              </w:rPr>
            </w:pPr>
          </w:p>
        </w:tc>
      </w:tr>
      <w:tr>
        <w:trPr>
          <w:trHeight w:val="177"/>
        </w:trPr>
        <w:tc>
          <w:tcPr>
            <w:tcW w:w="626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960" w:type="dxa"/>
            <w:vAlign w:val="bottom"/>
            <w:shd w:val="clear" w:color="auto" w:fill="1D2758"/>
          </w:tcPr>
          <w:p>
            <w:pPr>
              <w:jc w:val="right"/>
              <w:spacing w:after="0"/>
              <w:rPr>
                <w:sz w:val="20"/>
                <w:szCs w:val="20"/>
                <w:color w:val="auto"/>
              </w:rPr>
            </w:pPr>
            <w:r>
              <w:rPr>
                <w:rFonts w:ascii="Arial" w:cs="Arial" w:eastAsia="Arial" w:hAnsi="Arial"/>
                <w:sz w:val="13"/>
                <w:szCs w:val="13"/>
                <w:b w:val="1"/>
                <w:bCs w:val="1"/>
                <w:color w:val="FFFFFF"/>
              </w:rPr>
              <w:t>2021</w:t>
            </w:r>
          </w:p>
        </w:tc>
        <w:tc>
          <w:tcPr>
            <w:tcW w:w="66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1240" w:type="dxa"/>
            <w:vAlign w:val="bottom"/>
            <w:shd w:val="clear" w:color="auto" w:fill="1D2758"/>
          </w:tcPr>
          <w:p>
            <w:pPr>
              <w:jc w:val="right"/>
              <w:ind w:right="594"/>
              <w:spacing w:after="0"/>
              <w:rPr>
                <w:sz w:val="20"/>
                <w:szCs w:val="20"/>
                <w:color w:val="auto"/>
              </w:rPr>
            </w:pPr>
            <w:r>
              <w:rPr>
                <w:rFonts w:ascii="Arial" w:cs="Arial" w:eastAsia="Arial" w:hAnsi="Arial"/>
                <w:sz w:val="13"/>
                <w:szCs w:val="13"/>
                <w:b w:val="1"/>
                <w:bCs w:val="1"/>
                <w:color w:val="FFFFFF"/>
              </w:rPr>
              <w:t>2020</w:t>
            </w:r>
          </w:p>
        </w:tc>
        <w:tc>
          <w:tcPr>
            <w:tcW w:w="80" w:type="dxa"/>
            <w:vAlign w:val="bottom"/>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1240" w:type="dxa"/>
            <w:vAlign w:val="bottom"/>
            <w:shd w:val="clear" w:color="auto" w:fill="1D2758"/>
          </w:tcPr>
          <w:p>
            <w:pPr>
              <w:jc w:val="right"/>
              <w:ind w:right="594"/>
              <w:spacing w:after="0"/>
              <w:rPr>
                <w:sz w:val="20"/>
                <w:szCs w:val="20"/>
                <w:color w:val="auto"/>
              </w:rPr>
            </w:pPr>
            <w:r>
              <w:rPr>
                <w:rFonts w:ascii="Arial" w:cs="Arial" w:eastAsia="Arial" w:hAnsi="Arial"/>
                <w:sz w:val="13"/>
                <w:szCs w:val="13"/>
                <w:b w:val="1"/>
                <w:bCs w:val="1"/>
                <w:color w:val="FFFFFF"/>
              </w:rPr>
              <w:t>2019</w:t>
            </w:r>
          </w:p>
        </w:tc>
      </w:tr>
      <w:tr>
        <w:trPr>
          <w:trHeight w:val="175"/>
        </w:trPr>
        <w:tc>
          <w:tcPr>
            <w:tcW w:w="6260" w:type="dxa"/>
            <w:vAlign w:val="bottom"/>
            <w:shd w:val="clear" w:color="auto" w:fill="DBDBDB"/>
          </w:tcPr>
          <w:p>
            <w:pPr>
              <w:ind w:left="20"/>
              <w:spacing w:after="0"/>
              <w:rPr>
                <w:sz w:val="20"/>
                <w:szCs w:val="20"/>
                <w:color w:val="auto"/>
              </w:rPr>
            </w:pPr>
            <w:r>
              <w:rPr>
                <w:rFonts w:ascii="Arial" w:cs="Arial" w:eastAsia="Arial" w:hAnsi="Arial"/>
                <w:sz w:val="13"/>
                <w:szCs w:val="13"/>
                <w:color w:val="auto"/>
              </w:rPr>
              <w:t>US</w:t>
            </w:r>
          </w:p>
        </w:tc>
        <w:tc>
          <w:tcPr>
            <w:tcW w:w="960" w:type="dxa"/>
            <w:vAlign w:val="bottom"/>
            <w:shd w:val="clear" w:color="auto" w:fill="DBDBDB"/>
          </w:tcPr>
          <w:p>
            <w:pPr>
              <w:jc w:val="right"/>
              <w:ind w:right="814"/>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1,652,967</w:t>
            </w:r>
          </w:p>
        </w:tc>
        <w:tc>
          <w:tcPr>
            <w:tcW w:w="80" w:type="dxa"/>
            <w:vAlign w:val="bottom"/>
            <w:shd w:val="clear" w:color="auto" w:fill="DBDBDB"/>
          </w:tcPr>
          <w:p>
            <w:pPr>
              <w:spacing w:after="0"/>
              <w:rPr>
                <w:sz w:val="15"/>
                <w:szCs w:val="15"/>
                <w:color w:val="auto"/>
              </w:rPr>
            </w:pPr>
          </w:p>
        </w:tc>
        <w:tc>
          <w:tcPr>
            <w:tcW w:w="380" w:type="dxa"/>
            <w:vAlign w:val="bottom"/>
            <w:shd w:val="clear" w:color="auto" w:fill="DBDBDB"/>
          </w:tcPr>
          <w:p>
            <w:pPr>
              <w:ind w:left="20"/>
              <w:spacing w:after="0"/>
              <w:rPr>
                <w:sz w:val="20"/>
                <w:szCs w:val="20"/>
                <w:color w:val="auto"/>
              </w:rPr>
            </w:pPr>
            <w:r>
              <w:rPr>
                <w:rFonts w:ascii="Arial" w:cs="Arial" w:eastAsia="Arial" w:hAnsi="Arial"/>
                <w:sz w:val="13"/>
                <w:szCs w:val="13"/>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1,227,465</w:t>
            </w:r>
          </w:p>
        </w:tc>
        <w:tc>
          <w:tcPr>
            <w:tcW w:w="80" w:type="dxa"/>
            <w:vAlign w:val="bottom"/>
            <w:shd w:val="clear" w:color="auto" w:fill="DBDBDB"/>
          </w:tcPr>
          <w:p>
            <w:pPr>
              <w:spacing w:after="0"/>
              <w:rPr>
                <w:sz w:val="15"/>
                <w:szCs w:val="15"/>
                <w:color w:val="auto"/>
              </w:rPr>
            </w:pPr>
          </w:p>
        </w:tc>
        <w:tc>
          <w:tcPr>
            <w:tcW w:w="380" w:type="dxa"/>
            <w:vAlign w:val="bottom"/>
            <w:shd w:val="clear" w:color="auto" w:fill="DBDBDB"/>
          </w:tcPr>
          <w:p>
            <w:pPr>
              <w:jc w:val="right"/>
              <w:ind w:right="214"/>
              <w:spacing w:after="0"/>
              <w:rPr>
                <w:sz w:val="20"/>
                <w:szCs w:val="20"/>
                <w:color w:val="auto"/>
              </w:rPr>
            </w:pPr>
            <w:r>
              <w:rPr>
                <w:rFonts w:ascii="Arial" w:cs="Arial" w:eastAsia="Arial" w:hAnsi="Arial"/>
                <w:sz w:val="13"/>
                <w:szCs w:val="13"/>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966,766</w:t>
            </w:r>
          </w:p>
        </w:tc>
      </w:tr>
      <w:tr>
        <w:trPr>
          <w:trHeight w:val="172"/>
        </w:trPr>
        <w:tc>
          <w:tcPr>
            <w:tcW w:w="6260" w:type="dxa"/>
            <w:vAlign w:val="bottom"/>
          </w:tcPr>
          <w:p>
            <w:pPr>
              <w:ind w:left="20"/>
              <w:spacing w:after="0"/>
              <w:rPr>
                <w:sz w:val="20"/>
                <w:szCs w:val="20"/>
                <w:color w:val="auto"/>
              </w:rPr>
            </w:pPr>
            <w:r>
              <w:rPr>
                <w:rFonts w:ascii="Arial" w:cs="Arial" w:eastAsia="Arial" w:hAnsi="Arial"/>
                <w:sz w:val="13"/>
                <w:szCs w:val="13"/>
                <w:color w:val="auto"/>
              </w:rPr>
              <w:t>Canada</w:t>
            </w:r>
          </w:p>
        </w:tc>
        <w:tc>
          <w:tcPr>
            <w:tcW w:w="9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116,070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79,630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80,514</w:t>
            </w:r>
          </w:p>
        </w:tc>
      </w:tr>
      <w:tr>
        <w:trPr>
          <w:trHeight w:val="178"/>
        </w:trPr>
        <w:tc>
          <w:tcPr>
            <w:tcW w:w="6260" w:type="dxa"/>
            <w:vAlign w:val="bottom"/>
            <w:shd w:val="clear" w:color="auto" w:fill="DBDBDB"/>
          </w:tcPr>
          <w:p>
            <w:pPr>
              <w:ind w:left="20"/>
              <w:spacing w:after="0"/>
              <w:rPr>
                <w:sz w:val="20"/>
                <w:szCs w:val="20"/>
                <w:color w:val="auto"/>
              </w:rPr>
            </w:pPr>
            <w:r>
              <w:rPr>
                <w:rFonts w:ascii="Arial" w:cs="Arial" w:eastAsia="Arial" w:hAnsi="Arial"/>
                <w:sz w:val="13"/>
                <w:szCs w:val="13"/>
                <w:color w:val="auto"/>
              </w:rPr>
              <w:t>Mexico</w:t>
            </w:r>
          </w:p>
        </w:tc>
        <w:tc>
          <w:tcPr>
            <w:tcW w:w="960" w:type="dxa"/>
            <w:vAlign w:val="bottom"/>
            <w:shd w:val="clear" w:color="auto" w:fill="DBDBDB"/>
          </w:tcPr>
          <w:p>
            <w:pPr>
              <w:spacing w:after="0"/>
              <w:rPr>
                <w:sz w:val="15"/>
                <w:szCs w:val="15"/>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14,834</w:t>
            </w:r>
          </w:p>
        </w:tc>
        <w:tc>
          <w:tcPr>
            <w:tcW w:w="8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14,190</w:t>
            </w:r>
          </w:p>
        </w:tc>
        <w:tc>
          <w:tcPr>
            <w:tcW w:w="8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16,385</w:t>
            </w:r>
          </w:p>
        </w:tc>
      </w:tr>
      <w:tr>
        <w:trPr>
          <w:trHeight w:val="172"/>
        </w:trPr>
        <w:tc>
          <w:tcPr>
            <w:tcW w:w="626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UK</w:t>
            </w:r>
          </w:p>
        </w:tc>
        <w:tc>
          <w:tcPr>
            <w:tcW w:w="9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111,026</w:t>
            </w:r>
          </w:p>
        </w:tc>
        <w:tc>
          <w:tcPr>
            <w:tcW w:w="80" w:type="dxa"/>
            <w:vAlign w:val="bottom"/>
            <w:tcBorders>
              <w:bottom w:val="single" w:sz="8" w:color="DBDBDB"/>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46,360</w:t>
            </w:r>
          </w:p>
        </w:tc>
        <w:tc>
          <w:tcPr>
            <w:tcW w:w="80" w:type="dxa"/>
            <w:vAlign w:val="bottom"/>
            <w:tcBorders>
              <w:bottom w:val="single" w:sz="8" w:color="DBDBDB"/>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94"/>
        </w:trPr>
        <w:tc>
          <w:tcPr>
            <w:tcW w:w="6260" w:type="dxa"/>
            <w:vAlign w:val="bottom"/>
            <w:tcBorders>
              <w:bottom w:val="single" w:sz="8" w:color="DBDBDB"/>
            </w:tcBorders>
            <w:shd w:val="clear" w:color="auto" w:fill="DBDBDB"/>
          </w:tcPr>
          <w:p>
            <w:pPr>
              <w:ind w:left="200"/>
              <w:spacing w:after="0"/>
              <w:rPr>
                <w:sz w:val="20"/>
                <w:szCs w:val="20"/>
                <w:color w:val="auto"/>
              </w:rPr>
            </w:pPr>
            <w:r>
              <w:rPr>
                <w:rFonts w:ascii="Arial" w:cs="Arial" w:eastAsia="Arial" w:hAnsi="Arial"/>
                <w:sz w:val="13"/>
                <w:szCs w:val="13"/>
                <w:color w:val="auto"/>
              </w:rPr>
              <w:t>Total revenues</w:t>
            </w:r>
          </w:p>
        </w:tc>
        <w:tc>
          <w:tcPr>
            <w:tcW w:w="960" w:type="dxa"/>
            <w:vAlign w:val="bottom"/>
            <w:tcBorders>
              <w:bottom w:val="single" w:sz="8" w:color="auto"/>
            </w:tcBorders>
            <w:shd w:val="clear" w:color="auto" w:fill="DBDBDB"/>
          </w:tcPr>
          <w:p>
            <w:pPr>
              <w:jc w:val="right"/>
              <w:ind w:right="814"/>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1,894,897</w:t>
            </w:r>
          </w:p>
        </w:tc>
        <w:tc>
          <w:tcPr>
            <w:tcW w:w="80" w:type="dxa"/>
            <w:vAlign w:val="bottom"/>
            <w:tcBorders>
              <w:bottom w:val="single" w:sz="8" w:color="DBDBDB"/>
            </w:tcBorders>
            <w:shd w:val="clear" w:color="auto" w:fill="DBDBDB"/>
          </w:tcPr>
          <w:p>
            <w:pPr>
              <w:spacing w:after="0"/>
              <w:rPr>
                <w:sz w:val="16"/>
                <w:szCs w:val="16"/>
                <w:color w:val="auto"/>
              </w:rPr>
            </w:pPr>
          </w:p>
        </w:tc>
        <w:tc>
          <w:tcPr>
            <w:tcW w:w="3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1,367,645</w:t>
            </w:r>
          </w:p>
        </w:tc>
        <w:tc>
          <w:tcPr>
            <w:tcW w:w="80" w:type="dxa"/>
            <w:vAlign w:val="bottom"/>
            <w:tcBorders>
              <w:bottom w:val="single" w:sz="8" w:color="DBDBDB"/>
            </w:tcBorders>
            <w:shd w:val="clear" w:color="auto" w:fill="DBDBDB"/>
          </w:tcPr>
          <w:p>
            <w:pPr>
              <w:spacing w:after="0"/>
              <w:rPr>
                <w:sz w:val="16"/>
                <w:szCs w:val="16"/>
                <w:color w:val="auto"/>
              </w:rPr>
            </w:pPr>
          </w:p>
        </w:tc>
        <w:tc>
          <w:tcPr>
            <w:tcW w:w="380" w:type="dxa"/>
            <w:vAlign w:val="bottom"/>
            <w:tcBorders>
              <w:bottom w:val="single" w:sz="8" w:color="auto"/>
            </w:tcBorders>
            <w:shd w:val="clear" w:color="auto" w:fill="DBDBDB"/>
          </w:tcPr>
          <w:p>
            <w:pPr>
              <w:jc w:val="right"/>
              <w:ind w:right="214"/>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1,063,665</w:t>
            </w:r>
          </w:p>
        </w:tc>
      </w:tr>
      <w:tr>
        <w:trPr>
          <w:trHeight w:val="20"/>
        </w:trPr>
        <w:tc>
          <w:tcPr>
            <w:tcW w:w="6260" w:type="dxa"/>
            <w:vAlign w:val="bottom"/>
            <w:tcBorders>
              <w:top w:val="single" w:sz="8" w:color="DBDBDB"/>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6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Major Product and Service Lines</w:t>
      </w:r>
    </w:p>
    <w:p>
      <w:pPr>
        <w:spacing w:after="0" w:line="63" w:lineRule="exact"/>
        <w:rPr>
          <w:sz w:val="20"/>
          <w:szCs w:val="20"/>
          <w:color w:val="auto"/>
        </w:rPr>
      </w:pPr>
    </w:p>
    <w:p>
      <w:pPr>
        <w:jc w:val="both"/>
        <w:ind w:firstLine="524"/>
        <w:spacing w:after="0" w:line="248" w:lineRule="auto"/>
        <w:rPr>
          <w:sz w:val="20"/>
          <w:szCs w:val="20"/>
          <w:color w:val="auto"/>
        </w:rPr>
      </w:pPr>
      <w:r>
        <w:rPr>
          <w:rFonts w:ascii="Arial" w:cs="Arial" w:eastAsia="Arial" w:hAnsi="Arial"/>
          <w:sz w:val="13"/>
          <w:szCs w:val="13"/>
          <w:color w:val="auto"/>
        </w:rPr>
        <w:t>Equipment leasing is the Company's core business and the primary driver of the Company's revenue and cash flows. This includes rental modular space, portable space and tank and pump units along with VAPS, which include furniture, steps, ramps, basic appliances, internet connectivity devices, and other items used by customers in connection with the Company's products. Leasing is complemented by new unit sales and sales of rental units. In connection with its leasing and sales activities, the Company provides services including delivery and installation, maintenance and ad hoc services and removal services at the end of lease transactions. The Company’s revenue by major product and service line for the years ended December 31, was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60" w:type="dxa"/>
            <w:vAlign w:val="bottom"/>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124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1700" w:type="dxa"/>
            <w:vAlign w:val="bottom"/>
            <w:gridSpan w:val="3"/>
            <w:shd w:val="clear" w:color="auto" w:fill="1D2758"/>
          </w:tcPr>
          <w:p>
            <w:pPr>
              <w:spacing w:after="0"/>
              <w:rPr>
                <w:sz w:val="20"/>
                <w:szCs w:val="20"/>
                <w:color w:val="auto"/>
              </w:rPr>
            </w:pPr>
            <w:r>
              <w:rPr>
                <w:rFonts w:ascii="Arial" w:cs="Arial" w:eastAsia="Arial" w:hAnsi="Arial"/>
                <w:sz w:val="13"/>
                <w:szCs w:val="13"/>
                <w:b w:val="1"/>
                <w:bCs w:val="1"/>
                <w:color w:val="FFFFFF"/>
              </w:rPr>
              <w:t>Year Ended December 31,</w:t>
            </w:r>
          </w:p>
        </w:tc>
        <w:tc>
          <w:tcPr>
            <w:tcW w:w="380" w:type="dxa"/>
            <w:vAlign w:val="bottom"/>
            <w:shd w:val="clear" w:color="auto" w:fill="1D2758"/>
          </w:tcPr>
          <w:p>
            <w:pPr>
              <w:spacing w:after="0"/>
              <w:rPr>
                <w:sz w:val="15"/>
                <w:szCs w:val="15"/>
                <w:color w:val="auto"/>
              </w:rPr>
            </w:pPr>
          </w:p>
        </w:tc>
        <w:tc>
          <w:tcPr>
            <w:tcW w:w="1240" w:type="dxa"/>
            <w:vAlign w:val="bottom"/>
            <w:shd w:val="clear" w:color="auto" w:fill="1D2758"/>
          </w:tcPr>
          <w:p>
            <w:pPr>
              <w:spacing w:after="0"/>
              <w:rPr>
                <w:sz w:val="15"/>
                <w:szCs w:val="15"/>
                <w:color w:val="auto"/>
              </w:rPr>
            </w:pPr>
          </w:p>
        </w:tc>
      </w:tr>
      <w:tr>
        <w:trPr>
          <w:trHeight w:val="175"/>
        </w:trPr>
        <w:tc>
          <w:tcPr>
            <w:tcW w:w="626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380" w:type="dxa"/>
            <w:vAlign w:val="bottom"/>
            <w:shd w:val="clear" w:color="auto" w:fill="1D2758"/>
          </w:tcPr>
          <w:p>
            <w:pPr>
              <w:spacing w:after="0"/>
              <w:rPr>
                <w:sz w:val="15"/>
                <w:szCs w:val="15"/>
                <w:color w:val="auto"/>
              </w:rPr>
            </w:pPr>
          </w:p>
        </w:tc>
        <w:tc>
          <w:tcPr>
            <w:tcW w:w="1240" w:type="dxa"/>
            <w:vAlign w:val="bottom"/>
            <w:shd w:val="clear" w:color="auto" w:fill="1D2758"/>
          </w:tcPr>
          <w:p>
            <w:pPr>
              <w:jc w:val="right"/>
              <w:ind w:right="614"/>
              <w:spacing w:after="0"/>
              <w:rPr>
                <w:sz w:val="20"/>
                <w:szCs w:val="20"/>
                <w:color w:val="auto"/>
              </w:rPr>
            </w:pPr>
            <w:r>
              <w:rPr>
                <w:rFonts w:ascii="Arial" w:cs="Arial" w:eastAsia="Arial" w:hAnsi="Arial"/>
                <w:sz w:val="13"/>
                <w:szCs w:val="13"/>
                <w:b w:val="1"/>
                <w:bCs w:val="1"/>
                <w:color w:val="FFFFFF"/>
              </w:rPr>
              <w:t>2021</w:t>
            </w:r>
          </w:p>
        </w:tc>
        <w:tc>
          <w:tcPr>
            <w:tcW w:w="80" w:type="dxa"/>
            <w:vAlign w:val="bottom"/>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1240" w:type="dxa"/>
            <w:vAlign w:val="bottom"/>
            <w:shd w:val="clear" w:color="auto" w:fill="1D2758"/>
          </w:tcPr>
          <w:p>
            <w:pPr>
              <w:jc w:val="right"/>
              <w:ind w:right="594"/>
              <w:spacing w:after="0"/>
              <w:rPr>
                <w:sz w:val="20"/>
                <w:szCs w:val="20"/>
                <w:color w:val="auto"/>
              </w:rPr>
            </w:pPr>
            <w:r>
              <w:rPr>
                <w:rFonts w:ascii="Arial" w:cs="Arial" w:eastAsia="Arial" w:hAnsi="Arial"/>
                <w:sz w:val="13"/>
                <w:szCs w:val="13"/>
                <w:b w:val="1"/>
                <w:bCs w:val="1"/>
                <w:color w:val="FFFFFF"/>
              </w:rPr>
              <w:t>2020</w:t>
            </w:r>
          </w:p>
        </w:tc>
        <w:tc>
          <w:tcPr>
            <w:tcW w:w="80" w:type="dxa"/>
            <w:vAlign w:val="bottom"/>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1240" w:type="dxa"/>
            <w:vAlign w:val="bottom"/>
            <w:shd w:val="clear" w:color="auto" w:fill="1D2758"/>
          </w:tcPr>
          <w:p>
            <w:pPr>
              <w:jc w:val="right"/>
              <w:ind w:right="594"/>
              <w:spacing w:after="0"/>
              <w:rPr>
                <w:sz w:val="20"/>
                <w:szCs w:val="20"/>
                <w:color w:val="auto"/>
              </w:rPr>
            </w:pPr>
            <w:r>
              <w:rPr>
                <w:rFonts w:ascii="Arial" w:cs="Arial" w:eastAsia="Arial" w:hAnsi="Arial"/>
                <w:sz w:val="13"/>
                <w:szCs w:val="13"/>
                <w:b w:val="1"/>
                <w:bCs w:val="1"/>
                <w:color w:val="FFFFFF"/>
              </w:rPr>
              <w:t>2019</w:t>
            </w:r>
          </w:p>
        </w:tc>
      </w:tr>
      <w:tr>
        <w:trPr>
          <w:trHeight w:val="175"/>
        </w:trPr>
        <w:tc>
          <w:tcPr>
            <w:tcW w:w="6260" w:type="dxa"/>
            <w:vAlign w:val="bottom"/>
            <w:shd w:val="clear" w:color="auto" w:fill="DBDBDB"/>
          </w:tcPr>
          <w:p>
            <w:pPr>
              <w:ind w:left="20"/>
              <w:spacing w:after="0"/>
              <w:rPr>
                <w:sz w:val="20"/>
                <w:szCs w:val="20"/>
                <w:color w:val="auto"/>
              </w:rPr>
            </w:pPr>
            <w:r>
              <w:rPr>
                <w:rFonts w:ascii="Arial" w:cs="Arial" w:eastAsia="Arial" w:hAnsi="Arial"/>
                <w:sz w:val="13"/>
                <w:szCs w:val="13"/>
                <w:color w:val="auto"/>
              </w:rPr>
              <w:t>Modular space leasing revenue</w:t>
            </w:r>
          </w:p>
        </w:tc>
        <w:tc>
          <w:tcPr>
            <w:tcW w:w="380" w:type="dxa"/>
            <w:vAlign w:val="bottom"/>
            <w:shd w:val="clear" w:color="auto" w:fill="DBDBDB"/>
          </w:tcPr>
          <w:p>
            <w:pPr>
              <w:jc w:val="right"/>
              <w:ind w:right="234"/>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736,066</w:t>
            </w:r>
          </w:p>
        </w:tc>
        <w:tc>
          <w:tcPr>
            <w:tcW w:w="80" w:type="dxa"/>
            <w:vAlign w:val="bottom"/>
            <w:shd w:val="clear" w:color="auto" w:fill="DBDBDB"/>
          </w:tcPr>
          <w:p>
            <w:pPr>
              <w:spacing w:after="0"/>
              <w:rPr>
                <w:sz w:val="15"/>
                <w:szCs w:val="15"/>
                <w:color w:val="auto"/>
              </w:rPr>
            </w:pPr>
          </w:p>
        </w:tc>
        <w:tc>
          <w:tcPr>
            <w:tcW w:w="380" w:type="dxa"/>
            <w:vAlign w:val="bottom"/>
            <w:shd w:val="clear" w:color="auto" w:fill="DBDBDB"/>
          </w:tcPr>
          <w:p>
            <w:pPr>
              <w:ind w:left="20"/>
              <w:spacing w:after="0"/>
              <w:rPr>
                <w:sz w:val="20"/>
                <w:szCs w:val="20"/>
                <w:color w:val="auto"/>
              </w:rPr>
            </w:pPr>
            <w:r>
              <w:rPr>
                <w:rFonts w:ascii="Arial" w:cs="Arial" w:eastAsia="Arial" w:hAnsi="Arial"/>
                <w:sz w:val="13"/>
                <w:szCs w:val="13"/>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596,880</w:t>
            </w:r>
          </w:p>
        </w:tc>
        <w:tc>
          <w:tcPr>
            <w:tcW w:w="80" w:type="dxa"/>
            <w:vAlign w:val="bottom"/>
            <w:shd w:val="clear" w:color="auto" w:fill="DBDBDB"/>
          </w:tcPr>
          <w:p>
            <w:pPr>
              <w:spacing w:after="0"/>
              <w:rPr>
                <w:sz w:val="15"/>
                <w:szCs w:val="15"/>
                <w:color w:val="auto"/>
              </w:rPr>
            </w:pPr>
          </w:p>
        </w:tc>
        <w:tc>
          <w:tcPr>
            <w:tcW w:w="380" w:type="dxa"/>
            <w:vAlign w:val="bottom"/>
            <w:shd w:val="clear" w:color="auto" w:fill="DBDBDB"/>
          </w:tcPr>
          <w:p>
            <w:pPr>
              <w:jc w:val="right"/>
              <w:ind w:right="214"/>
              <w:spacing w:after="0"/>
              <w:rPr>
                <w:sz w:val="20"/>
                <w:szCs w:val="20"/>
                <w:color w:val="auto"/>
              </w:rPr>
            </w:pPr>
            <w:r>
              <w:rPr>
                <w:rFonts w:ascii="Arial" w:cs="Arial" w:eastAsia="Arial" w:hAnsi="Arial"/>
                <w:sz w:val="13"/>
                <w:szCs w:val="13"/>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516,299</w:t>
            </w:r>
          </w:p>
        </w:tc>
      </w:tr>
      <w:tr>
        <w:trPr>
          <w:trHeight w:val="172"/>
        </w:trPr>
        <w:tc>
          <w:tcPr>
            <w:tcW w:w="6260" w:type="dxa"/>
            <w:vAlign w:val="bottom"/>
          </w:tcPr>
          <w:p>
            <w:pPr>
              <w:ind w:left="20"/>
              <w:spacing w:after="0"/>
              <w:rPr>
                <w:sz w:val="20"/>
                <w:szCs w:val="20"/>
                <w:color w:val="auto"/>
              </w:rPr>
            </w:pPr>
            <w:r>
              <w:rPr>
                <w:rFonts w:ascii="Arial" w:cs="Arial" w:eastAsia="Arial" w:hAnsi="Arial"/>
                <w:sz w:val="13"/>
                <w:szCs w:val="13"/>
                <w:color w:val="auto"/>
              </w:rPr>
              <w:t>Portable storage leasing revenue</w:t>
            </w:r>
          </w:p>
        </w:tc>
        <w:tc>
          <w:tcPr>
            <w:tcW w:w="3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259,308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125,216</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24,277</w:t>
            </w:r>
          </w:p>
        </w:tc>
      </w:tr>
      <w:tr>
        <w:trPr>
          <w:trHeight w:val="178"/>
        </w:trPr>
        <w:tc>
          <w:tcPr>
            <w:tcW w:w="6260" w:type="dxa"/>
            <w:vAlign w:val="bottom"/>
            <w:shd w:val="clear" w:color="auto" w:fill="DBDBDB"/>
          </w:tcPr>
          <w:p>
            <w:pPr>
              <w:ind w:left="20"/>
              <w:spacing w:after="0"/>
              <w:rPr>
                <w:sz w:val="20"/>
                <w:szCs w:val="20"/>
                <w:color w:val="auto"/>
              </w:rPr>
            </w:pPr>
            <w:r>
              <w:rPr>
                <w:rFonts w:ascii="Arial" w:cs="Arial" w:eastAsia="Arial" w:hAnsi="Arial"/>
                <w:sz w:val="13"/>
                <w:szCs w:val="13"/>
                <w:color w:val="auto"/>
              </w:rPr>
              <w:t>Tank and pump leasing revenue</w:t>
            </w:r>
          </w:p>
        </w:tc>
        <w:tc>
          <w:tcPr>
            <w:tcW w:w="380" w:type="dxa"/>
            <w:vAlign w:val="bottom"/>
            <w:shd w:val="clear" w:color="auto" w:fill="DBDBDB"/>
          </w:tcPr>
          <w:p>
            <w:pPr>
              <w:spacing w:after="0"/>
              <w:rPr>
                <w:sz w:val="15"/>
                <w:szCs w:val="15"/>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71,404</w:t>
            </w:r>
          </w:p>
        </w:tc>
        <w:tc>
          <w:tcPr>
            <w:tcW w:w="8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29,798</w:t>
            </w:r>
          </w:p>
        </w:tc>
        <w:tc>
          <w:tcPr>
            <w:tcW w:w="8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6260" w:type="dxa"/>
            <w:vAlign w:val="bottom"/>
          </w:tcPr>
          <w:p>
            <w:pPr>
              <w:ind w:left="20"/>
              <w:spacing w:after="0" w:line="175" w:lineRule="exact"/>
              <w:rPr>
                <w:sz w:val="20"/>
                <w:szCs w:val="20"/>
                <w:color w:val="auto"/>
              </w:rPr>
            </w:pPr>
            <w:r>
              <w:rPr>
                <w:rFonts w:ascii="Arial" w:cs="Arial" w:eastAsia="Arial" w:hAnsi="Arial"/>
                <w:sz w:val="13"/>
                <w:szCs w:val="13"/>
                <w:color w:val="auto"/>
              </w:rPr>
              <w:t>VAPS and third party leasing revenues</w:t>
            </w:r>
            <w:r>
              <w:rPr>
                <w:rFonts w:ascii="Arial" w:cs="Arial" w:eastAsia="Arial" w:hAnsi="Arial"/>
                <w:sz w:val="17"/>
                <w:szCs w:val="17"/>
                <w:color w:val="auto"/>
                <w:vertAlign w:val="superscript"/>
              </w:rPr>
              <w:t>(a)</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284,901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202,938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159,327</w:t>
            </w:r>
          </w:p>
        </w:tc>
      </w:tr>
      <w:tr>
        <w:trPr>
          <w:trHeight w:val="175"/>
        </w:trPr>
        <w:tc>
          <w:tcPr>
            <w:tcW w:w="6260" w:type="dxa"/>
            <w:vAlign w:val="bottom"/>
            <w:shd w:val="clear" w:color="auto" w:fill="DBDBDB"/>
          </w:tcPr>
          <w:p>
            <w:pPr>
              <w:ind w:left="20"/>
              <w:spacing w:after="0" w:line="175" w:lineRule="exact"/>
              <w:rPr>
                <w:sz w:val="20"/>
                <w:szCs w:val="20"/>
                <w:color w:val="auto"/>
              </w:rPr>
            </w:pPr>
            <w:r>
              <w:rPr>
                <w:rFonts w:ascii="Arial" w:cs="Arial" w:eastAsia="Arial" w:hAnsi="Arial"/>
                <w:sz w:val="13"/>
                <w:szCs w:val="13"/>
                <w:color w:val="auto"/>
              </w:rPr>
              <w:t>Other leasing-related revenue</w:t>
            </w:r>
            <w:r>
              <w:rPr>
                <w:rFonts w:ascii="Arial" w:cs="Arial" w:eastAsia="Arial" w:hAnsi="Arial"/>
                <w:sz w:val="17"/>
                <w:szCs w:val="17"/>
                <w:color w:val="auto"/>
                <w:vertAlign w:val="superscript"/>
              </w:rPr>
              <w:t>(b)</w:t>
            </w:r>
          </w:p>
        </w:tc>
        <w:tc>
          <w:tcPr>
            <w:tcW w:w="380" w:type="dxa"/>
            <w:vAlign w:val="bottom"/>
            <w:tcBorders>
              <w:bottom w:val="single" w:sz="8" w:color="auto"/>
            </w:tcBorders>
            <w:shd w:val="clear" w:color="auto" w:fill="DBDBDB"/>
          </w:tcPr>
          <w:p>
            <w:pPr>
              <w:spacing w:after="0"/>
              <w:rPr>
                <w:sz w:val="15"/>
                <w:szCs w:val="15"/>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60,444</w:t>
            </w:r>
          </w:p>
        </w:tc>
        <w:tc>
          <w:tcPr>
            <w:tcW w:w="80" w:type="dxa"/>
            <w:vAlign w:val="bottom"/>
            <w:shd w:val="clear" w:color="auto" w:fill="DBDBDB"/>
          </w:tcPr>
          <w:p>
            <w:pPr>
              <w:spacing w:after="0"/>
              <w:rPr>
                <w:sz w:val="15"/>
                <w:szCs w:val="15"/>
                <w:color w:val="auto"/>
              </w:rPr>
            </w:pPr>
          </w:p>
        </w:tc>
        <w:tc>
          <w:tcPr>
            <w:tcW w:w="380" w:type="dxa"/>
            <w:vAlign w:val="bottom"/>
            <w:tcBorders>
              <w:bottom w:val="single" w:sz="8" w:color="auto"/>
            </w:tcBorders>
            <w:shd w:val="clear" w:color="auto" w:fill="DBDBDB"/>
          </w:tcPr>
          <w:p>
            <w:pPr>
              <w:spacing w:after="0"/>
              <w:rPr>
                <w:sz w:val="15"/>
                <w:szCs w:val="15"/>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46,615</w:t>
            </w:r>
          </w:p>
        </w:tc>
        <w:tc>
          <w:tcPr>
            <w:tcW w:w="80" w:type="dxa"/>
            <w:vAlign w:val="bottom"/>
            <w:shd w:val="clear" w:color="auto" w:fill="DBDBDB"/>
          </w:tcPr>
          <w:p>
            <w:pPr>
              <w:spacing w:after="0"/>
              <w:rPr>
                <w:sz w:val="15"/>
                <w:szCs w:val="15"/>
                <w:color w:val="auto"/>
              </w:rPr>
            </w:pPr>
          </w:p>
        </w:tc>
        <w:tc>
          <w:tcPr>
            <w:tcW w:w="380" w:type="dxa"/>
            <w:vAlign w:val="bottom"/>
            <w:tcBorders>
              <w:bottom w:val="single" w:sz="8" w:color="auto"/>
            </w:tcBorders>
            <w:shd w:val="clear" w:color="auto" w:fill="DBDBDB"/>
          </w:tcPr>
          <w:p>
            <w:pPr>
              <w:spacing w:after="0"/>
              <w:rPr>
                <w:sz w:val="15"/>
                <w:szCs w:val="15"/>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44,282</w:t>
            </w:r>
          </w:p>
        </w:tc>
      </w:tr>
      <w:tr>
        <w:trPr>
          <w:trHeight w:val="163"/>
        </w:trPr>
        <w:tc>
          <w:tcPr>
            <w:tcW w:w="6260" w:type="dxa"/>
            <w:vAlign w:val="bottom"/>
          </w:tcPr>
          <w:p>
            <w:pPr>
              <w:ind w:left="200"/>
              <w:spacing w:after="0"/>
              <w:rPr>
                <w:sz w:val="20"/>
                <w:szCs w:val="20"/>
                <w:color w:val="auto"/>
              </w:rPr>
            </w:pPr>
            <w:r>
              <w:rPr>
                <w:rFonts w:ascii="Arial" w:cs="Arial" w:eastAsia="Arial" w:hAnsi="Arial"/>
                <w:sz w:val="13"/>
                <w:szCs w:val="13"/>
                <w:color w:val="auto"/>
              </w:rPr>
              <w:t>Leasing revenue</w:t>
            </w:r>
          </w:p>
        </w:tc>
        <w:tc>
          <w:tcPr>
            <w:tcW w:w="3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1,412,123</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1,001,447</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744,185</w:t>
            </w:r>
          </w:p>
        </w:tc>
      </w:tr>
      <w:tr>
        <w:trPr>
          <w:trHeight w:val="175"/>
        </w:trPr>
        <w:tc>
          <w:tcPr>
            <w:tcW w:w="6260" w:type="dxa"/>
            <w:vAlign w:val="bottom"/>
            <w:shd w:val="clear" w:color="auto" w:fill="DBDBDB"/>
          </w:tcPr>
          <w:p>
            <w:pPr>
              <w:ind w:left="20"/>
              <w:spacing w:after="0"/>
              <w:rPr>
                <w:sz w:val="20"/>
                <w:szCs w:val="20"/>
                <w:color w:val="auto"/>
              </w:rPr>
            </w:pPr>
            <w:r>
              <w:rPr>
                <w:rFonts w:ascii="Arial" w:cs="Arial" w:eastAsia="Arial" w:hAnsi="Arial"/>
                <w:sz w:val="13"/>
                <w:szCs w:val="13"/>
                <w:color w:val="auto"/>
              </w:rPr>
              <w:t>Delivery and installation revenue</w:t>
            </w:r>
          </w:p>
        </w:tc>
        <w:tc>
          <w:tcPr>
            <w:tcW w:w="380" w:type="dxa"/>
            <w:vAlign w:val="bottom"/>
            <w:tcBorders>
              <w:bottom w:val="single" w:sz="8" w:color="auto"/>
            </w:tcBorders>
            <w:shd w:val="clear" w:color="auto" w:fill="DBDBDB"/>
          </w:tcPr>
          <w:p>
            <w:pPr>
              <w:spacing w:after="0"/>
              <w:rPr>
                <w:sz w:val="15"/>
                <w:szCs w:val="15"/>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374,682</w:t>
            </w:r>
          </w:p>
        </w:tc>
        <w:tc>
          <w:tcPr>
            <w:tcW w:w="80" w:type="dxa"/>
            <w:vAlign w:val="bottom"/>
            <w:shd w:val="clear" w:color="auto" w:fill="DBDBDB"/>
          </w:tcPr>
          <w:p>
            <w:pPr>
              <w:spacing w:after="0"/>
              <w:rPr>
                <w:sz w:val="15"/>
                <w:szCs w:val="15"/>
                <w:color w:val="auto"/>
              </w:rPr>
            </w:pPr>
          </w:p>
        </w:tc>
        <w:tc>
          <w:tcPr>
            <w:tcW w:w="380" w:type="dxa"/>
            <w:vAlign w:val="bottom"/>
            <w:tcBorders>
              <w:bottom w:val="single" w:sz="8" w:color="auto"/>
            </w:tcBorders>
            <w:shd w:val="clear" w:color="auto" w:fill="DBDBDB"/>
          </w:tcPr>
          <w:p>
            <w:pPr>
              <w:spacing w:after="0"/>
              <w:rPr>
                <w:sz w:val="15"/>
                <w:szCs w:val="15"/>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274,156</w:t>
            </w:r>
          </w:p>
        </w:tc>
        <w:tc>
          <w:tcPr>
            <w:tcW w:w="80" w:type="dxa"/>
            <w:vAlign w:val="bottom"/>
            <w:shd w:val="clear" w:color="auto" w:fill="DBDBDB"/>
          </w:tcPr>
          <w:p>
            <w:pPr>
              <w:spacing w:after="0"/>
              <w:rPr>
                <w:sz w:val="15"/>
                <w:szCs w:val="15"/>
                <w:color w:val="auto"/>
              </w:rPr>
            </w:pPr>
          </w:p>
        </w:tc>
        <w:tc>
          <w:tcPr>
            <w:tcW w:w="380" w:type="dxa"/>
            <w:vAlign w:val="bottom"/>
            <w:tcBorders>
              <w:bottom w:val="single" w:sz="8" w:color="auto"/>
            </w:tcBorders>
            <w:shd w:val="clear" w:color="auto" w:fill="DBDBDB"/>
          </w:tcPr>
          <w:p>
            <w:pPr>
              <w:spacing w:after="0"/>
              <w:rPr>
                <w:sz w:val="15"/>
                <w:szCs w:val="15"/>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220,057</w:t>
            </w:r>
          </w:p>
        </w:tc>
      </w:tr>
      <w:tr>
        <w:trPr>
          <w:trHeight w:val="166"/>
        </w:trPr>
        <w:tc>
          <w:tcPr>
            <w:tcW w:w="6260" w:type="dxa"/>
            <w:vAlign w:val="bottom"/>
          </w:tcPr>
          <w:p>
            <w:pPr>
              <w:ind w:left="200"/>
              <w:spacing w:after="0"/>
              <w:rPr>
                <w:sz w:val="20"/>
                <w:szCs w:val="20"/>
                <w:color w:val="auto"/>
              </w:rPr>
            </w:pPr>
            <w:r>
              <w:rPr>
                <w:rFonts w:ascii="Arial" w:cs="Arial" w:eastAsia="Arial" w:hAnsi="Arial"/>
                <w:sz w:val="13"/>
                <w:szCs w:val="13"/>
                <w:color w:val="auto"/>
              </w:rPr>
              <w:t>Total leasing and services revenue</w:t>
            </w:r>
          </w:p>
        </w:tc>
        <w:tc>
          <w:tcPr>
            <w:tcW w:w="3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1,786,805</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1,275,603</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964,242</w:t>
            </w:r>
          </w:p>
        </w:tc>
      </w:tr>
      <w:tr>
        <w:trPr>
          <w:trHeight w:val="178"/>
        </w:trPr>
        <w:tc>
          <w:tcPr>
            <w:tcW w:w="6260" w:type="dxa"/>
            <w:vAlign w:val="bottom"/>
            <w:shd w:val="clear" w:color="auto" w:fill="DBDBDB"/>
          </w:tcPr>
          <w:p>
            <w:pPr>
              <w:ind w:left="20"/>
              <w:spacing w:after="0"/>
              <w:rPr>
                <w:sz w:val="20"/>
                <w:szCs w:val="20"/>
                <w:color w:val="auto"/>
              </w:rPr>
            </w:pPr>
            <w:r>
              <w:rPr>
                <w:rFonts w:ascii="Arial" w:cs="Arial" w:eastAsia="Arial" w:hAnsi="Arial"/>
                <w:sz w:val="13"/>
                <w:szCs w:val="13"/>
                <w:color w:val="auto"/>
              </w:rPr>
              <w:t>New unit sales revenue</w:t>
            </w:r>
          </w:p>
        </w:tc>
        <w:tc>
          <w:tcPr>
            <w:tcW w:w="380" w:type="dxa"/>
            <w:vAlign w:val="bottom"/>
            <w:shd w:val="clear" w:color="auto" w:fill="DBDBDB"/>
          </w:tcPr>
          <w:p>
            <w:pPr>
              <w:spacing w:after="0"/>
              <w:rPr>
                <w:sz w:val="15"/>
                <w:szCs w:val="15"/>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52,882</w:t>
            </w:r>
          </w:p>
        </w:tc>
        <w:tc>
          <w:tcPr>
            <w:tcW w:w="8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53,093</w:t>
            </w:r>
          </w:p>
        </w:tc>
        <w:tc>
          <w:tcPr>
            <w:tcW w:w="8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59,085</w:t>
            </w:r>
          </w:p>
        </w:tc>
      </w:tr>
      <w:tr>
        <w:trPr>
          <w:trHeight w:val="172"/>
        </w:trPr>
        <w:tc>
          <w:tcPr>
            <w:tcW w:w="626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Rental unit sales revenue</w:t>
            </w: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55,210</w:t>
            </w:r>
          </w:p>
        </w:tc>
        <w:tc>
          <w:tcPr>
            <w:tcW w:w="80" w:type="dxa"/>
            <w:vAlign w:val="bottom"/>
            <w:tcBorders>
              <w:bottom w:val="single" w:sz="8" w:color="DBDBDB"/>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38,949</w:t>
            </w:r>
          </w:p>
        </w:tc>
        <w:tc>
          <w:tcPr>
            <w:tcW w:w="80" w:type="dxa"/>
            <w:vAlign w:val="bottom"/>
            <w:tcBorders>
              <w:bottom w:val="single" w:sz="8" w:color="DBDBDB"/>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40,338</w:t>
            </w:r>
          </w:p>
        </w:tc>
      </w:tr>
      <w:tr>
        <w:trPr>
          <w:trHeight w:val="194"/>
        </w:trPr>
        <w:tc>
          <w:tcPr>
            <w:tcW w:w="6260" w:type="dxa"/>
            <w:vAlign w:val="bottom"/>
            <w:tcBorders>
              <w:bottom w:val="single" w:sz="8" w:color="DBDBDB"/>
            </w:tcBorders>
            <w:shd w:val="clear" w:color="auto" w:fill="DBDBDB"/>
          </w:tcPr>
          <w:p>
            <w:pPr>
              <w:ind w:left="380"/>
              <w:spacing w:after="0"/>
              <w:rPr>
                <w:sz w:val="20"/>
                <w:szCs w:val="20"/>
                <w:color w:val="auto"/>
              </w:rPr>
            </w:pPr>
            <w:r>
              <w:rPr>
                <w:rFonts w:ascii="Arial" w:cs="Arial" w:eastAsia="Arial" w:hAnsi="Arial"/>
                <w:sz w:val="13"/>
                <w:szCs w:val="13"/>
                <w:color w:val="auto"/>
              </w:rPr>
              <w:t>Total revenues</w:t>
            </w:r>
          </w:p>
        </w:tc>
        <w:tc>
          <w:tcPr>
            <w:tcW w:w="380" w:type="dxa"/>
            <w:vAlign w:val="bottom"/>
            <w:tcBorders>
              <w:bottom w:val="single" w:sz="8" w:color="auto"/>
            </w:tcBorders>
            <w:shd w:val="clear" w:color="auto" w:fill="DBDBDB"/>
          </w:tcPr>
          <w:p>
            <w:pPr>
              <w:jc w:val="right"/>
              <w:ind w:right="234"/>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1,894,897</w:t>
            </w:r>
          </w:p>
        </w:tc>
        <w:tc>
          <w:tcPr>
            <w:tcW w:w="80" w:type="dxa"/>
            <w:vAlign w:val="bottom"/>
            <w:tcBorders>
              <w:bottom w:val="single" w:sz="8" w:color="DBDBDB"/>
            </w:tcBorders>
            <w:shd w:val="clear" w:color="auto" w:fill="DBDBDB"/>
          </w:tcPr>
          <w:p>
            <w:pPr>
              <w:spacing w:after="0"/>
              <w:rPr>
                <w:sz w:val="16"/>
                <w:szCs w:val="16"/>
                <w:color w:val="auto"/>
              </w:rPr>
            </w:pPr>
          </w:p>
        </w:tc>
        <w:tc>
          <w:tcPr>
            <w:tcW w:w="3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1,367,645</w:t>
            </w:r>
          </w:p>
        </w:tc>
        <w:tc>
          <w:tcPr>
            <w:tcW w:w="80" w:type="dxa"/>
            <w:vAlign w:val="bottom"/>
            <w:tcBorders>
              <w:bottom w:val="single" w:sz="8" w:color="DBDBDB"/>
            </w:tcBorders>
            <w:shd w:val="clear" w:color="auto" w:fill="DBDBDB"/>
          </w:tcPr>
          <w:p>
            <w:pPr>
              <w:spacing w:after="0"/>
              <w:rPr>
                <w:sz w:val="16"/>
                <w:szCs w:val="16"/>
                <w:color w:val="auto"/>
              </w:rPr>
            </w:pPr>
          </w:p>
        </w:tc>
        <w:tc>
          <w:tcPr>
            <w:tcW w:w="380" w:type="dxa"/>
            <w:vAlign w:val="bottom"/>
            <w:tcBorders>
              <w:bottom w:val="single" w:sz="8" w:color="auto"/>
            </w:tcBorders>
            <w:shd w:val="clear" w:color="auto" w:fill="DBDBDB"/>
          </w:tcPr>
          <w:p>
            <w:pPr>
              <w:jc w:val="right"/>
              <w:ind w:right="214"/>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1,063,665</w:t>
            </w:r>
          </w:p>
        </w:tc>
      </w:tr>
      <w:tr>
        <w:trPr>
          <w:trHeight w:val="20"/>
        </w:trPr>
        <w:tc>
          <w:tcPr>
            <w:tcW w:w="626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180" w:hanging="173"/>
        <w:spacing w:after="0"/>
        <w:tabs>
          <w:tab w:leader="none" w:pos="1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Includes $28.5 million, $18.8 million, and $15.9 million of VAPS service revenue for the years ended December 31, 2021, 2020 and 2019, respectively.</w:t>
      </w:r>
    </w:p>
    <w:p>
      <w:pPr>
        <w:spacing w:after="0" w:line="36" w:lineRule="exact"/>
        <w:rPr>
          <w:rFonts w:ascii="Arial" w:cs="Arial" w:eastAsia="Arial" w:hAnsi="Arial"/>
          <w:sz w:val="12"/>
          <w:szCs w:val="12"/>
          <w:color w:val="auto"/>
        </w:rPr>
      </w:pPr>
    </w:p>
    <w:p>
      <w:pPr>
        <w:ind w:left="180" w:hanging="173"/>
        <w:spacing w:after="0"/>
        <w:tabs>
          <w:tab w:leader="none" w:pos="1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Includes primarily damage billings, delinquent payment charges, and other processing fees.</w:t>
      </w:r>
    </w:p>
    <w:p>
      <w:pPr>
        <w:spacing w:after="0" w:line="6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Leasing and Services Revenue</w:t>
      </w:r>
    </w:p>
    <w:p>
      <w:pPr>
        <w:spacing w:after="0" w:line="63" w:lineRule="exact"/>
        <w:rPr>
          <w:sz w:val="20"/>
          <w:szCs w:val="20"/>
          <w:color w:val="auto"/>
        </w:rPr>
      </w:pPr>
    </w:p>
    <w:p>
      <w:pPr>
        <w:ind w:firstLine="524"/>
        <w:spacing w:after="0" w:line="256" w:lineRule="auto"/>
        <w:rPr>
          <w:sz w:val="20"/>
          <w:szCs w:val="20"/>
          <w:color w:val="auto"/>
        </w:rPr>
      </w:pPr>
      <w:r>
        <w:rPr>
          <w:rFonts w:ascii="Arial" w:cs="Arial" w:eastAsia="Arial" w:hAnsi="Arial"/>
          <w:sz w:val="13"/>
          <w:szCs w:val="13"/>
          <w:color w:val="auto"/>
        </w:rPr>
        <w:t>The majority of revenue (73%, 72%, and 68% for the years ended December 31, 2021, 2020 and 2019, respectively) is generated by lease income subject to the guidance ASC 842. The remaining revenue is generated by performance obligations in contracts with customers for services or sale of units subject to the guidance in ASC 606.</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89" w:name="page90"/>
    <w:bookmarkEnd w:id="89"/>
    <w:p>
      <w:pPr>
        <w:jc w:val="both"/>
        <w:ind w:firstLine="524"/>
        <w:spacing w:after="0" w:line="256" w:lineRule="auto"/>
        <w:rPr>
          <w:sz w:val="20"/>
          <w:szCs w:val="20"/>
          <w:color w:val="auto"/>
        </w:rPr>
      </w:pPr>
      <w:r>
        <w:rPr>
          <w:rFonts w:ascii="Arial" w:cs="Arial" w:eastAsia="Arial" w:hAnsi="Arial"/>
          <w:sz w:val="13"/>
          <w:szCs w:val="13"/>
          <w:color w:val="auto"/>
        </w:rPr>
        <w:t>Future committed leasing revenues under non-cancelable operating leases with the Company’s customers at December 31, 2021 for the years ended December 31, 2022 through 2026 and thereafter were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72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400" w:type="dxa"/>
            <w:vAlign w:val="bottom"/>
            <w:shd w:val="clear" w:color="auto" w:fill="1D2758"/>
          </w:tcPr>
          <w:p>
            <w:pPr>
              <w:spacing w:after="0"/>
              <w:rPr>
                <w:sz w:val="15"/>
                <w:szCs w:val="15"/>
                <w:color w:val="auto"/>
              </w:rPr>
            </w:pPr>
          </w:p>
        </w:tc>
        <w:tc>
          <w:tcPr>
            <w:tcW w:w="2160" w:type="dxa"/>
            <w:vAlign w:val="bottom"/>
            <w:shd w:val="clear" w:color="auto" w:fill="1D2758"/>
          </w:tcPr>
          <w:p>
            <w:pPr>
              <w:jc w:val="right"/>
              <w:ind w:right="674"/>
              <w:spacing w:after="0"/>
              <w:rPr>
                <w:sz w:val="20"/>
                <w:szCs w:val="20"/>
                <w:color w:val="auto"/>
              </w:rPr>
            </w:pPr>
            <w:r>
              <w:rPr>
                <w:rFonts w:ascii="Arial" w:cs="Arial" w:eastAsia="Arial" w:hAnsi="Arial"/>
                <w:sz w:val="13"/>
                <w:szCs w:val="13"/>
                <w:b w:val="1"/>
                <w:bCs w:val="1"/>
                <w:color w:val="FFFFFF"/>
              </w:rPr>
              <w:t>Operating Leases</w:t>
            </w:r>
          </w:p>
        </w:tc>
      </w:tr>
      <w:tr>
        <w:trPr>
          <w:trHeight w:val="175"/>
        </w:trPr>
        <w:tc>
          <w:tcPr>
            <w:tcW w:w="8720" w:type="dxa"/>
            <w:vAlign w:val="bottom"/>
            <w:shd w:val="clear" w:color="auto" w:fill="DBDBDB"/>
          </w:tcPr>
          <w:p>
            <w:pPr>
              <w:ind w:left="20"/>
              <w:spacing w:after="0"/>
              <w:rPr>
                <w:sz w:val="20"/>
                <w:szCs w:val="20"/>
                <w:color w:val="auto"/>
              </w:rPr>
            </w:pPr>
            <w:r>
              <w:rPr>
                <w:rFonts w:ascii="Arial" w:cs="Arial" w:eastAsia="Arial" w:hAnsi="Arial"/>
                <w:sz w:val="13"/>
                <w:szCs w:val="13"/>
                <w:color w:val="auto"/>
              </w:rPr>
              <w:t>2022</w:t>
            </w:r>
          </w:p>
        </w:tc>
        <w:tc>
          <w:tcPr>
            <w:tcW w:w="400" w:type="dxa"/>
            <w:vAlign w:val="bottom"/>
            <w:shd w:val="clear" w:color="auto" w:fill="DBDBDB"/>
          </w:tcPr>
          <w:p>
            <w:pPr>
              <w:jc w:val="right"/>
              <w:ind w:right="254"/>
              <w:spacing w:after="0"/>
              <w:rPr>
                <w:sz w:val="20"/>
                <w:szCs w:val="20"/>
                <w:color w:val="auto"/>
              </w:rPr>
            </w:pPr>
            <w:r>
              <w:rPr>
                <w:rFonts w:ascii="Arial" w:cs="Arial" w:eastAsia="Arial" w:hAnsi="Arial"/>
                <w:sz w:val="13"/>
                <w:szCs w:val="13"/>
                <w:color w:val="auto"/>
                <w:w w:val="82"/>
              </w:rPr>
              <w:t>$</w:t>
            </w:r>
          </w:p>
        </w:tc>
        <w:tc>
          <w:tcPr>
            <w:tcW w:w="2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284,137</w:t>
            </w:r>
          </w:p>
        </w:tc>
      </w:tr>
      <w:tr>
        <w:trPr>
          <w:trHeight w:val="172"/>
        </w:trPr>
        <w:tc>
          <w:tcPr>
            <w:tcW w:w="8720" w:type="dxa"/>
            <w:vAlign w:val="bottom"/>
          </w:tcPr>
          <w:p>
            <w:pPr>
              <w:ind w:left="20"/>
              <w:spacing w:after="0"/>
              <w:rPr>
                <w:sz w:val="20"/>
                <w:szCs w:val="20"/>
                <w:color w:val="auto"/>
              </w:rPr>
            </w:pPr>
            <w:r>
              <w:rPr>
                <w:rFonts w:ascii="Arial" w:cs="Arial" w:eastAsia="Arial" w:hAnsi="Arial"/>
                <w:sz w:val="13"/>
                <w:szCs w:val="13"/>
                <w:color w:val="auto"/>
              </w:rPr>
              <w:t>2023</w:t>
            </w:r>
          </w:p>
        </w:tc>
        <w:tc>
          <w:tcPr>
            <w:tcW w:w="400" w:type="dxa"/>
            <w:vAlign w:val="bottom"/>
          </w:tcPr>
          <w:p>
            <w:pPr>
              <w:spacing w:after="0"/>
              <w:rPr>
                <w:sz w:val="14"/>
                <w:szCs w:val="14"/>
                <w:color w:val="auto"/>
              </w:rPr>
            </w:pPr>
          </w:p>
        </w:tc>
        <w:tc>
          <w:tcPr>
            <w:tcW w:w="2160" w:type="dxa"/>
            <w:vAlign w:val="bottom"/>
          </w:tcPr>
          <w:p>
            <w:pPr>
              <w:jc w:val="right"/>
              <w:spacing w:after="0"/>
              <w:rPr>
                <w:sz w:val="20"/>
                <w:szCs w:val="20"/>
                <w:color w:val="auto"/>
              </w:rPr>
            </w:pPr>
            <w:r>
              <w:rPr>
                <w:rFonts w:ascii="Arial" w:cs="Arial" w:eastAsia="Arial" w:hAnsi="Arial"/>
                <w:sz w:val="13"/>
                <w:szCs w:val="13"/>
                <w:color w:val="auto"/>
              </w:rPr>
              <w:t>117,363</w:t>
            </w:r>
          </w:p>
        </w:tc>
      </w:tr>
      <w:tr>
        <w:trPr>
          <w:trHeight w:val="178"/>
        </w:trPr>
        <w:tc>
          <w:tcPr>
            <w:tcW w:w="8720" w:type="dxa"/>
            <w:vAlign w:val="bottom"/>
            <w:shd w:val="clear" w:color="auto" w:fill="DBDBDB"/>
          </w:tcPr>
          <w:p>
            <w:pPr>
              <w:ind w:left="20"/>
              <w:spacing w:after="0"/>
              <w:rPr>
                <w:sz w:val="20"/>
                <w:szCs w:val="20"/>
                <w:color w:val="auto"/>
              </w:rPr>
            </w:pPr>
            <w:r>
              <w:rPr>
                <w:rFonts w:ascii="Arial" w:cs="Arial" w:eastAsia="Arial" w:hAnsi="Arial"/>
                <w:sz w:val="13"/>
                <w:szCs w:val="13"/>
                <w:color w:val="auto"/>
              </w:rPr>
              <w:t>2024</w:t>
            </w:r>
          </w:p>
        </w:tc>
        <w:tc>
          <w:tcPr>
            <w:tcW w:w="400" w:type="dxa"/>
            <w:vAlign w:val="bottom"/>
            <w:shd w:val="clear" w:color="auto" w:fill="DBDBDB"/>
          </w:tcPr>
          <w:p>
            <w:pPr>
              <w:spacing w:after="0"/>
              <w:rPr>
                <w:sz w:val="15"/>
                <w:szCs w:val="15"/>
                <w:color w:val="auto"/>
              </w:rPr>
            </w:pPr>
          </w:p>
        </w:tc>
        <w:tc>
          <w:tcPr>
            <w:tcW w:w="2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42,646</w:t>
            </w:r>
          </w:p>
        </w:tc>
      </w:tr>
      <w:tr>
        <w:trPr>
          <w:trHeight w:val="172"/>
        </w:trPr>
        <w:tc>
          <w:tcPr>
            <w:tcW w:w="8720" w:type="dxa"/>
            <w:vAlign w:val="bottom"/>
          </w:tcPr>
          <w:p>
            <w:pPr>
              <w:ind w:left="20"/>
              <w:spacing w:after="0"/>
              <w:rPr>
                <w:sz w:val="20"/>
                <w:szCs w:val="20"/>
                <w:color w:val="auto"/>
              </w:rPr>
            </w:pPr>
            <w:r>
              <w:rPr>
                <w:rFonts w:ascii="Arial" w:cs="Arial" w:eastAsia="Arial" w:hAnsi="Arial"/>
                <w:sz w:val="13"/>
                <w:szCs w:val="13"/>
                <w:color w:val="auto"/>
              </w:rPr>
              <w:t>2025</w:t>
            </w:r>
          </w:p>
        </w:tc>
        <w:tc>
          <w:tcPr>
            <w:tcW w:w="400" w:type="dxa"/>
            <w:vAlign w:val="bottom"/>
          </w:tcPr>
          <w:p>
            <w:pPr>
              <w:spacing w:after="0"/>
              <w:rPr>
                <w:sz w:val="14"/>
                <w:szCs w:val="14"/>
                <w:color w:val="auto"/>
              </w:rPr>
            </w:pPr>
          </w:p>
        </w:tc>
        <w:tc>
          <w:tcPr>
            <w:tcW w:w="2160" w:type="dxa"/>
            <w:vAlign w:val="bottom"/>
          </w:tcPr>
          <w:p>
            <w:pPr>
              <w:jc w:val="right"/>
              <w:spacing w:after="0"/>
              <w:rPr>
                <w:sz w:val="20"/>
                <w:szCs w:val="20"/>
                <w:color w:val="auto"/>
              </w:rPr>
            </w:pPr>
            <w:r>
              <w:rPr>
                <w:rFonts w:ascii="Arial" w:cs="Arial" w:eastAsia="Arial" w:hAnsi="Arial"/>
                <w:sz w:val="13"/>
                <w:szCs w:val="13"/>
                <w:color w:val="auto"/>
              </w:rPr>
              <w:t>16,778</w:t>
            </w:r>
          </w:p>
        </w:tc>
      </w:tr>
      <w:tr>
        <w:trPr>
          <w:trHeight w:val="178"/>
        </w:trPr>
        <w:tc>
          <w:tcPr>
            <w:tcW w:w="8720" w:type="dxa"/>
            <w:vAlign w:val="bottom"/>
            <w:shd w:val="clear" w:color="auto" w:fill="DBDBDB"/>
          </w:tcPr>
          <w:p>
            <w:pPr>
              <w:ind w:left="20"/>
              <w:spacing w:after="0"/>
              <w:rPr>
                <w:sz w:val="20"/>
                <w:szCs w:val="20"/>
                <w:color w:val="auto"/>
              </w:rPr>
            </w:pPr>
            <w:r>
              <w:rPr>
                <w:rFonts w:ascii="Arial" w:cs="Arial" w:eastAsia="Arial" w:hAnsi="Arial"/>
                <w:sz w:val="13"/>
                <w:szCs w:val="13"/>
                <w:color w:val="auto"/>
              </w:rPr>
              <w:t>2026</w:t>
            </w:r>
          </w:p>
        </w:tc>
        <w:tc>
          <w:tcPr>
            <w:tcW w:w="400" w:type="dxa"/>
            <w:vAlign w:val="bottom"/>
            <w:shd w:val="clear" w:color="auto" w:fill="DBDBDB"/>
          </w:tcPr>
          <w:p>
            <w:pPr>
              <w:spacing w:after="0"/>
              <w:rPr>
                <w:sz w:val="15"/>
                <w:szCs w:val="15"/>
                <w:color w:val="auto"/>
              </w:rPr>
            </w:pPr>
          </w:p>
        </w:tc>
        <w:tc>
          <w:tcPr>
            <w:tcW w:w="2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8,260</w:t>
            </w:r>
          </w:p>
        </w:tc>
      </w:tr>
      <w:tr>
        <w:trPr>
          <w:trHeight w:val="172"/>
        </w:trPr>
        <w:tc>
          <w:tcPr>
            <w:tcW w:w="872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Thereafter</w:t>
            </w:r>
          </w:p>
        </w:tc>
        <w:tc>
          <w:tcPr>
            <w:tcW w:w="4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5,431</w:t>
            </w:r>
          </w:p>
        </w:tc>
      </w:tr>
      <w:tr>
        <w:trPr>
          <w:trHeight w:val="194"/>
        </w:trPr>
        <w:tc>
          <w:tcPr>
            <w:tcW w:w="87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Total</w:t>
            </w:r>
          </w:p>
        </w:tc>
        <w:tc>
          <w:tcPr>
            <w:tcW w:w="400" w:type="dxa"/>
            <w:vAlign w:val="bottom"/>
            <w:tcBorders>
              <w:bottom w:val="single" w:sz="8" w:color="auto"/>
            </w:tcBorders>
            <w:shd w:val="clear" w:color="auto" w:fill="DBDBDB"/>
          </w:tcPr>
          <w:p>
            <w:pPr>
              <w:jc w:val="right"/>
              <w:ind w:right="254"/>
              <w:spacing w:after="0"/>
              <w:rPr>
                <w:sz w:val="20"/>
                <w:szCs w:val="20"/>
                <w:color w:val="auto"/>
              </w:rPr>
            </w:pPr>
            <w:r>
              <w:rPr>
                <w:rFonts w:ascii="Arial" w:cs="Arial" w:eastAsia="Arial" w:hAnsi="Arial"/>
                <w:sz w:val="13"/>
                <w:szCs w:val="13"/>
                <w:color w:val="auto"/>
                <w:w w:val="82"/>
              </w:rPr>
              <w:t>$</w:t>
            </w:r>
          </w:p>
        </w:tc>
        <w:tc>
          <w:tcPr>
            <w:tcW w:w="2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474,615</w:t>
            </w:r>
          </w:p>
        </w:tc>
      </w:tr>
      <w:tr>
        <w:trPr>
          <w:trHeight w:val="20"/>
        </w:trPr>
        <w:tc>
          <w:tcPr>
            <w:tcW w:w="87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2160" w:type="dxa"/>
            <w:vAlign w:val="bottom"/>
            <w:tcBorders>
              <w:top w:val="single" w:sz="8" w:color="DBDBDB"/>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Receivables</w:t>
      </w:r>
    </w:p>
    <w:p>
      <w:pPr>
        <w:spacing w:after="0" w:line="66"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The Company manages credit risk associated with its accounts receivables at the customer level. Because the same customers generate the revenues that are accounted for under both ASC 606 and ASC 842, the discussions below on credit risk and the Company's allowance for credit losses address the Company's total revenues.</w:t>
      </w:r>
    </w:p>
    <w:p>
      <w:pPr>
        <w:spacing w:after="0" w:line="31"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Concentration of credit risk with respect to the Company's receivables is limited because of a large number of geographically diverse customers who operate in a variety of end user markets. No single customer accounted for more than 1.5% and 1.2% of the Company’s receivables at December 31, 2021 and 2020, respectively. The Company's top five customers with the largest open receivables balances represented 5.0% and 4.9% of the total receivables balance as of December 31, 2021 and 2020, respectively. The Company manages credit risk through credit approvals, credit limits, and other monitoring procedures.</w:t>
      </w:r>
    </w:p>
    <w:p>
      <w:pPr>
        <w:spacing w:after="0" w:line="35"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The Company's allowance for credit losses reflects its estimate of the amount of receivables that it will be unable to collect. The estimated losses are calculated using the loss rate method based upon a review of outstanding receivables, related aging, and historical collection experience. The Company's estimates reflect changing circumstances, and the Company may be required to increase or decrease its allowance. During the years ended December 31, 2021, 2020, and 2019, the Company recognized bad debt expense to reflect changes in the allowance for credit losses of $17.5 million, $13.4 million, and $4.5 million, respectively, within SG&amp;A expense in its consolidated statements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Contract Assets and Liabilities</w:t>
      </w:r>
    </w:p>
    <w:p>
      <w:pPr>
        <w:spacing w:after="0" w:line="66"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When customers are billed in advance for services, the Company defers recognition of revenue until the related services are performed, which generally occurs at the end of the contract. The balance sheet classification of deferred revenue is determined based on the contractual lease term. For contracts that continue beyond their initial contractual lease term, revenue continues to be deferred until the services are performed. During the years ended December 31, 2021 and 2020, $40.8 million and $37.5 million, respectively, of deferred revenue relating to these services, was recognized as revenue. At December 31, 2021 and 2020, the Company had approximately $79.4 million and $74.1 million, respectively, of deferred revenue related to these services.</w:t>
      </w:r>
    </w:p>
    <w:p>
      <w:pPr>
        <w:spacing w:after="0" w:line="35"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Company does not have material contract assets, and it did not recognize any material impairments of any contract assets.</w:t>
      </w:r>
    </w:p>
    <w:p>
      <w:pPr>
        <w:spacing w:after="0" w:line="47"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The Company's uncompleted contracts with customers have unsatisfied (or partially satisfied) performance obligations. For the future services revenues that are expected to be recognized within twelve months, the Company has elected to utilize the optional disclosure exemption made available regarding transaction price allocated to unsatisfied (or partially unsatisfied) performance obligations. The transaction price for performance obligations that will be completed in greater than twelve months is variable based on the costs ultimately incurred to provide those services and therefore the Company is applying the optional exemption to omit disclosure of such amounts.</w:t>
      </w:r>
    </w:p>
    <w:p>
      <w:pPr>
        <w:spacing w:after="0" w:line="35"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The primary costs to obtain contracts for new and rental unit sales with the Company's customers are commissions. The Company pays its sales force commissions on the sale of new and rental units. For new and rental unit sales, the period benefited by each commission is less than one year. As a result, the Company has applied the practical expedient for incremental costs of obtaining a sales contract and expenses commissions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28" w:right="319" w:bottom="1440" w:gutter="0" w:footer="0" w:header="0"/>
        </w:sectPr>
      </w:pPr>
    </w:p>
    <w:bookmarkStart w:id="90" w:name="page91"/>
    <w:bookmarkEnd w:id="90"/>
    <w:p>
      <w:pPr>
        <w:spacing w:after="0"/>
        <w:rPr>
          <w:sz w:val="20"/>
          <w:szCs w:val="20"/>
          <w:color w:val="auto"/>
        </w:rPr>
      </w:pPr>
      <w:r>
        <w:rPr>
          <w:rFonts w:ascii="Arial" w:cs="Arial" w:eastAsia="Arial" w:hAnsi="Arial"/>
          <w:sz w:val="19"/>
          <w:szCs w:val="19"/>
          <w:color w:val="1D2758"/>
        </w:rPr>
        <w:t>NOTE 4 - Leases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460" w:type="dxa"/>
            <w:vAlign w:val="bottom"/>
            <w:gridSpan w:val="2"/>
          </w:tcPr>
          <w:p>
            <w:pPr>
              <w:ind w:left="540"/>
              <w:spacing w:after="0"/>
              <w:rPr>
                <w:sz w:val="20"/>
                <w:szCs w:val="20"/>
                <w:color w:val="auto"/>
              </w:rPr>
            </w:pPr>
            <w:r>
              <w:rPr>
                <w:rFonts w:ascii="Arial" w:cs="Arial" w:eastAsia="Arial" w:hAnsi="Arial"/>
                <w:sz w:val="13"/>
                <w:szCs w:val="13"/>
                <w:color w:val="auto"/>
              </w:rPr>
              <w:t>As of December 31, 2021, the undiscounted future lease payments for operating and finance lease liabilities were as follows:</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60"/>
        </w:trPr>
        <w:tc>
          <w:tcPr>
            <w:tcW w:w="70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60" w:type="dxa"/>
            <w:vAlign w:val="bottom"/>
          </w:tcPr>
          <w:p>
            <w:pPr>
              <w:spacing w:after="0"/>
              <w:rPr>
                <w:sz w:val="5"/>
                <w:szCs w:val="5"/>
                <w:color w:val="auto"/>
              </w:rPr>
            </w:pPr>
          </w:p>
        </w:tc>
      </w:tr>
      <w:tr>
        <w:trPr>
          <w:trHeight w:val="175"/>
        </w:trPr>
        <w:tc>
          <w:tcPr>
            <w:tcW w:w="700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1460" w:type="dxa"/>
            <w:vAlign w:val="bottom"/>
            <w:shd w:val="clear" w:color="auto" w:fill="1D2758"/>
          </w:tcPr>
          <w:p>
            <w:pPr>
              <w:jc w:val="right"/>
              <w:ind w:right="34"/>
              <w:spacing w:after="0"/>
              <w:rPr>
                <w:sz w:val="20"/>
                <w:szCs w:val="20"/>
                <w:color w:val="auto"/>
              </w:rPr>
            </w:pPr>
            <w:r>
              <w:rPr>
                <w:rFonts w:ascii="Arial" w:cs="Arial" w:eastAsia="Arial" w:hAnsi="Arial"/>
                <w:sz w:val="13"/>
                <w:szCs w:val="13"/>
                <w:b w:val="1"/>
                <w:bCs w:val="1"/>
                <w:color w:val="FFFFFF"/>
              </w:rPr>
              <w:t>Operating</w:t>
            </w:r>
          </w:p>
        </w:tc>
        <w:tc>
          <w:tcPr>
            <w:tcW w:w="64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440" w:type="dxa"/>
            <w:vAlign w:val="bottom"/>
            <w:shd w:val="clear" w:color="auto" w:fill="1D2758"/>
          </w:tcPr>
          <w:p>
            <w:pPr>
              <w:spacing w:after="0"/>
              <w:rPr>
                <w:sz w:val="15"/>
                <w:szCs w:val="15"/>
                <w:color w:val="auto"/>
              </w:rPr>
            </w:pPr>
          </w:p>
        </w:tc>
        <w:tc>
          <w:tcPr>
            <w:tcW w:w="1660" w:type="dxa"/>
            <w:vAlign w:val="bottom"/>
            <w:shd w:val="clear" w:color="auto" w:fill="1D2758"/>
          </w:tcPr>
          <w:p>
            <w:pPr>
              <w:jc w:val="right"/>
              <w:ind w:right="734"/>
              <w:spacing w:after="0"/>
              <w:rPr>
                <w:sz w:val="20"/>
                <w:szCs w:val="20"/>
                <w:color w:val="auto"/>
              </w:rPr>
            </w:pPr>
            <w:r>
              <w:rPr>
                <w:rFonts w:ascii="Arial" w:cs="Arial" w:eastAsia="Arial" w:hAnsi="Arial"/>
                <w:sz w:val="13"/>
                <w:szCs w:val="13"/>
                <w:b w:val="1"/>
                <w:bCs w:val="1"/>
                <w:color w:val="FFFFFF"/>
              </w:rPr>
              <w:t>Finance</w:t>
            </w:r>
          </w:p>
        </w:tc>
      </w:tr>
      <w:tr>
        <w:trPr>
          <w:trHeight w:val="175"/>
        </w:trPr>
        <w:tc>
          <w:tcPr>
            <w:tcW w:w="7000" w:type="dxa"/>
            <w:vAlign w:val="bottom"/>
            <w:shd w:val="clear" w:color="auto" w:fill="DBDBDB"/>
          </w:tcPr>
          <w:p>
            <w:pPr>
              <w:ind w:left="20"/>
              <w:spacing w:after="0"/>
              <w:rPr>
                <w:sz w:val="20"/>
                <w:szCs w:val="20"/>
                <w:color w:val="auto"/>
              </w:rPr>
            </w:pPr>
            <w:r>
              <w:rPr>
                <w:rFonts w:ascii="Arial" w:cs="Arial" w:eastAsia="Arial" w:hAnsi="Arial"/>
                <w:sz w:val="13"/>
                <w:szCs w:val="13"/>
                <w:color w:val="auto"/>
              </w:rPr>
              <w:t>2022</w:t>
            </w:r>
          </w:p>
        </w:tc>
        <w:tc>
          <w:tcPr>
            <w:tcW w:w="1460" w:type="dxa"/>
            <w:vAlign w:val="bottom"/>
            <w:shd w:val="clear" w:color="auto" w:fill="DBDBDB"/>
          </w:tcPr>
          <w:p>
            <w:pPr>
              <w:jc w:val="right"/>
              <w:ind w:right="1314"/>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63,679</w:t>
            </w:r>
          </w:p>
        </w:tc>
        <w:tc>
          <w:tcPr>
            <w:tcW w:w="80" w:type="dxa"/>
            <w:vAlign w:val="bottom"/>
            <w:shd w:val="clear" w:color="auto" w:fill="DBDBDB"/>
          </w:tcPr>
          <w:p>
            <w:pPr>
              <w:spacing w:after="0"/>
              <w:rPr>
                <w:sz w:val="15"/>
                <w:szCs w:val="15"/>
                <w:color w:val="auto"/>
              </w:rPr>
            </w:pPr>
          </w:p>
        </w:tc>
        <w:tc>
          <w:tcPr>
            <w:tcW w:w="440" w:type="dxa"/>
            <w:vAlign w:val="bottom"/>
            <w:shd w:val="clear" w:color="auto" w:fill="DBDBDB"/>
          </w:tcPr>
          <w:p>
            <w:pPr>
              <w:jc w:val="right"/>
              <w:ind w:right="274"/>
              <w:spacing w:after="0"/>
              <w:rPr>
                <w:sz w:val="20"/>
                <w:szCs w:val="20"/>
                <w:color w:val="auto"/>
              </w:rPr>
            </w:pPr>
            <w:r>
              <w:rPr>
                <w:rFonts w:ascii="Arial" w:cs="Arial" w:eastAsia="Arial" w:hAnsi="Arial"/>
                <w:sz w:val="13"/>
                <w:szCs w:val="13"/>
                <w:color w:val="auto"/>
              </w:rPr>
              <w:t>$</w:t>
            </w:r>
          </w:p>
        </w:tc>
        <w:tc>
          <w:tcPr>
            <w:tcW w:w="16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21,842</w:t>
            </w:r>
          </w:p>
        </w:tc>
      </w:tr>
      <w:tr>
        <w:trPr>
          <w:trHeight w:val="172"/>
        </w:trPr>
        <w:tc>
          <w:tcPr>
            <w:tcW w:w="7000" w:type="dxa"/>
            <w:vAlign w:val="bottom"/>
          </w:tcPr>
          <w:p>
            <w:pPr>
              <w:ind w:left="20"/>
              <w:spacing w:after="0"/>
              <w:rPr>
                <w:sz w:val="20"/>
                <w:szCs w:val="20"/>
                <w:color w:val="auto"/>
              </w:rPr>
            </w:pPr>
            <w:r>
              <w:rPr>
                <w:rFonts w:ascii="Arial" w:cs="Arial" w:eastAsia="Arial" w:hAnsi="Arial"/>
                <w:sz w:val="13"/>
                <w:szCs w:val="13"/>
                <w:color w:val="auto"/>
              </w:rPr>
              <w:t>2023</w:t>
            </w:r>
          </w:p>
        </w:tc>
        <w:tc>
          <w:tcPr>
            <w:tcW w:w="14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52,893</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17,665</w:t>
            </w:r>
          </w:p>
        </w:tc>
      </w:tr>
      <w:tr>
        <w:trPr>
          <w:trHeight w:val="178"/>
        </w:trPr>
        <w:tc>
          <w:tcPr>
            <w:tcW w:w="7000" w:type="dxa"/>
            <w:vAlign w:val="bottom"/>
            <w:shd w:val="clear" w:color="auto" w:fill="DBDBDB"/>
          </w:tcPr>
          <w:p>
            <w:pPr>
              <w:ind w:left="20"/>
              <w:spacing w:after="0"/>
              <w:rPr>
                <w:sz w:val="20"/>
                <w:szCs w:val="20"/>
                <w:color w:val="auto"/>
              </w:rPr>
            </w:pPr>
            <w:r>
              <w:rPr>
                <w:rFonts w:ascii="Arial" w:cs="Arial" w:eastAsia="Arial" w:hAnsi="Arial"/>
                <w:sz w:val="13"/>
                <w:szCs w:val="13"/>
                <w:color w:val="auto"/>
              </w:rPr>
              <w:t>2024</w:t>
            </w:r>
          </w:p>
        </w:tc>
        <w:tc>
          <w:tcPr>
            <w:tcW w:w="1460" w:type="dxa"/>
            <w:vAlign w:val="bottom"/>
            <w:shd w:val="clear" w:color="auto" w:fill="DBDBDB"/>
          </w:tcPr>
          <w:p>
            <w:pPr>
              <w:spacing w:after="0"/>
              <w:rPr>
                <w:sz w:val="15"/>
                <w:szCs w:val="15"/>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44,859</w:t>
            </w:r>
          </w:p>
        </w:tc>
        <w:tc>
          <w:tcPr>
            <w:tcW w:w="8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14,743</w:t>
            </w:r>
          </w:p>
        </w:tc>
      </w:tr>
      <w:tr>
        <w:trPr>
          <w:trHeight w:val="172"/>
        </w:trPr>
        <w:tc>
          <w:tcPr>
            <w:tcW w:w="7000" w:type="dxa"/>
            <w:vAlign w:val="bottom"/>
          </w:tcPr>
          <w:p>
            <w:pPr>
              <w:ind w:left="20"/>
              <w:spacing w:after="0"/>
              <w:rPr>
                <w:sz w:val="20"/>
                <w:szCs w:val="20"/>
                <w:color w:val="auto"/>
              </w:rPr>
            </w:pPr>
            <w:r>
              <w:rPr>
                <w:rFonts w:ascii="Arial" w:cs="Arial" w:eastAsia="Arial" w:hAnsi="Arial"/>
                <w:sz w:val="13"/>
                <w:szCs w:val="13"/>
                <w:color w:val="auto"/>
              </w:rPr>
              <w:t>2025</w:t>
            </w:r>
          </w:p>
        </w:tc>
        <w:tc>
          <w:tcPr>
            <w:tcW w:w="14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37,850</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14,851</w:t>
            </w:r>
          </w:p>
        </w:tc>
      </w:tr>
      <w:tr>
        <w:trPr>
          <w:trHeight w:val="178"/>
        </w:trPr>
        <w:tc>
          <w:tcPr>
            <w:tcW w:w="7000" w:type="dxa"/>
            <w:vAlign w:val="bottom"/>
            <w:shd w:val="clear" w:color="auto" w:fill="DBDBDB"/>
          </w:tcPr>
          <w:p>
            <w:pPr>
              <w:ind w:left="20"/>
              <w:spacing w:after="0"/>
              <w:rPr>
                <w:sz w:val="20"/>
                <w:szCs w:val="20"/>
                <w:color w:val="auto"/>
              </w:rPr>
            </w:pPr>
            <w:r>
              <w:rPr>
                <w:rFonts w:ascii="Arial" w:cs="Arial" w:eastAsia="Arial" w:hAnsi="Arial"/>
                <w:sz w:val="13"/>
                <w:szCs w:val="13"/>
                <w:color w:val="auto"/>
              </w:rPr>
              <w:t>2026</w:t>
            </w:r>
          </w:p>
        </w:tc>
        <w:tc>
          <w:tcPr>
            <w:tcW w:w="1460" w:type="dxa"/>
            <w:vAlign w:val="bottom"/>
            <w:shd w:val="clear" w:color="auto" w:fill="DBDBDB"/>
          </w:tcPr>
          <w:p>
            <w:pPr>
              <w:spacing w:after="0"/>
              <w:rPr>
                <w:sz w:val="15"/>
                <w:szCs w:val="15"/>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27,853</w:t>
            </w:r>
          </w:p>
        </w:tc>
        <w:tc>
          <w:tcPr>
            <w:tcW w:w="8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12,839</w:t>
            </w:r>
          </w:p>
        </w:tc>
      </w:tr>
      <w:tr>
        <w:trPr>
          <w:trHeight w:val="172"/>
        </w:trPr>
        <w:tc>
          <w:tcPr>
            <w:tcW w:w="700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Thereafter</w:t>
            </w:r>
          </w:p>
        </w:tc>
        <w:tc>
          <w:tcPr>
            <w:tcW w:w="14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63,181</w:t>
            </w:r>
          </w:p>
        </w:tc>
        <w:tc>
          <w:tcPr>
            <w:tcW w:w="80" w:type="dxa"/>
            <w:vAlign w:val="bottom"/>
            <w:tcBorders>
              <w:bottom w:val="single" w:sz="8" w:color="DBDBDB"/>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14,202</w:t>
            </w:r>
          </w:p>
        </w:tc>
      </w:tr>
      <w:tr>
        <w:trPr>
          <w:trHeight w:val="169"/>
        </w:trPr>
        <w:tc>
          <w:tcPr>
            <w:tcW w:w="7000" w:type="dxa"/>
            <w:vAlign w:val="bottom"/>
            <w:shd w:val="clear" w:color="auto" w:fill="DBDBDB"/>
          </w:tcPr>
          <w:p>
            <w:pPr>
              <w:ind w:left="200"/>
              <w:spacing w:after="0"/>
              <w:rPr>
                <w:sz w:val="20"/>
                <w:szCs w:val="20"/>
                <w:color w:val="auto"/>
              </w:rPr>
            </w:pPr>
            <w:r>
              <w:rPr>
                <w:rFonts w:ascii="Arial" w:cs="Arial" w:eastAsia="Arial" w:hAnsi="Arial"/>
                <w:sz w:val="13"/>
                <w:szCs w:val="13"/>
                <w:color w:val="auto"/>
              </w:rPr>
              <w:t>Total lease payments</w:t>
            </w:r>
          </w:p>
        </w:tc>
        <w:tc>
          <w:tcPr>
            <w:tcW w:w="1460" w:type="dxa"/>
            <w:vAlign w:val="bottom"/>
            <w:shd w:val="clear" w:color="auto" w:fill="DBDBDB"/>
          </w:tcPr>
          <w:p>
            <w:pPr>
              <w:spacing w:after="0"/>
              <w:rPr>
                <w:sz w:val="14"/>
                <w:szCs w:val="14"/>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290,315</w:t>
            </w:r>
          </w:p>
        </w:tc>
        <w:tc>
          <w:tcPr>
            <w:tcW w:w="80" w:type="dxa"/>
            <w:vAlign w:val="bottom"/>
            <w:shd w:val="clear" w:color="auto" w:fill="DBDBDB"/>
          </w:tcPr>
          <w:p>
            <w:pPr>
              <w:spacing w:after="0"/>
              <w:rPr>
                <w:sz w:val="14"/>
                <w:szCs w:val="14"/>
                <w:color w:val="auto"/>
              </w:rPr>
            </w:pPr>
          </w:p>
        </w:tc>
        <w:tc>
          <w:tcPr>
            <w:tcW w:w="440" w:type="dxa"/>
            <w:vAlign w:val="bottom"/>
            <w:shd w:val="clear" w:color="auto" w:fill="DBDBDB"/>
          </w:tcPr>
          <w:p>
            <w:pPr>
              <w:spacing w:after="0"/>
              <w:rPr>
                <w:sz w:val="14"/>
                <w:szCs w:val="14"/>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96,142</w:t>
            </w:r>
          </w:p>
        </w:tc>
      </w:tr>
      <w:tr>
        <w:trPr>
          <w:trHeight w:val="172"/>
        </w:trPr>
        <w:tc>
          <w:tcPr>
            <w:tcW w:w="700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Less: interest</w:t>
            </w:r>
          </w:p>
        </w:tc>
        <w:tc>
          <w:tcPr>
            <w:tcW w:w="14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(43,054)</w:t>
            </w:r>
          </w:p>
        </w:tc>
        <w:tc>
          <w:tcPr>
            <w:tcW w:w="80" w:type="dxa"/>
            <w:vAlign w:val="bottom"/>
            <w:tcBorders>
              <w:bottom w:val="single" w:sz="8" w:color="DBDBDB"/>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(7,092)</w:t>
            </w:r>
          </w:p>
        </w:tc>
      </w:tr>
      <w:tr>
        <w:trPr>
          <w:trHeight w:val="191"/>
        </w:trPr>
        <w:tc>
          <w:tcPr>
            <w:tcW w:w="7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Present value of lease liabilities</w:t>
            </w:r>
          </w:p>
        </w:tc>
        <w:tc>
          <w:tcPr>
            <w:tcW w:w="1460" w:type="dxa"/>
            <w:vAlign w:val="bottom"/>
            <w:tcBorders>
              <w:bottom w:val="single" w:sz="8" w:color="auto"/>
            </w:tcBorders>
            <w:shd w:val="clear" w:color="auto" w:fill="DBDBDB"/>
          </w:tcPr>
          <w:p>
            <w:pPr>
              <w:jc w:val="right"/>
              <w:ind w:right="1314"/>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247,261</w:t>
            </w:r>
          </w:p>
        </w:tc>
        <w:tc>
          <w:tcPr>
            <w:tcW w:w="80" w:type="dxa"/>
            <w:vAlign w:val="bottom"/>
            <w:tcBorders>
              <w:bottom w:val="single" w:sz="8" w:color="DBDBDB"/>
            </w:tcBorders>
            <w:shd w:val="clear" w:color="auto" w:fill="DBDBDB"/>
          </w:tcPr>
          <w:p>
            <w:pPr>
              <w:spacing w:after="0"/>
              <w:rPr>
                <w:sz w:val="16"/>
                <w:szCs w:val="16"/>
                <w:color w:val="auto"/>
              </w:rPr>
            </w:pPr>
          </w:p>
        </w:tc>
        <w:tc>
          <w:tcPr>
            <w:tcW w:w="440" w:type="dxa"/>
            <w:vAlign w:val="bottom"/>
            <w:tcBorders>
              <w:bottom w:val="single" w:sz="8" w:color="auto"/>
            </w:tcBorders>
            <w:shd w:val="clear" w:color="auto" w:fill="DBDBDB"/>
          </w:tcPr>
          <w:p>
            <w:pPr>
              <w:jc w:val="right"/>
              <w:ind w:right="274"/>
              <w:spacing w:after="0"/>
              <w:rPr>
                <w:sz w:val="20"/>
                <w:szCs w:val="20"/>
                <w:color w:val="auto"/>
              </w:rPr>
            </w:pPr>
            <w:r>
              <w:rPr>
                <w:rFonts w:ascii="Arial" w:cs="Arial" w:eastAsia="Arial" w:hAnsi="Arial"/>
                <w:sz w:val="13"/>
                <w:szCs w:val="13"/>
                <w:color w:val="auto"/>
              </w:rPr>
              <w:t>$</w:t>
            </w:r>
          </w:p>
        </w:tc>
        <w:tc>
          <w:tcPr>
            <w:tcW w:w="1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89,050</w:t>
            </w:r>
          </w:p>
        </w:tc>
      </w:tr>
      <w:tr>
        <w:trPr>
          <w:trHeight w:val="20"/>
        </w:trPr>
        <w:tc>
          <w:tcPr>
            <w:tcW w:w="7000" w:type="dxa"/>
            <w:vAlign w:val="bottom"/>
            <w:tcBorders>
              <w:top w:val="single" w:sz="8" w:color="DBDBDB"/>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6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1660" w:type="dxa"/>
            <w:vAlign w:val="bottom"/>
            <w:tcBorders>
              <w:top w:val="single" w:sz="8" w:color="DBDBDB"/>
              <w:bottom w:val="single" w:sz="8" w:color="auto"/>
            </w:tcBorders>
          </w:tcPr>
          <w:p>
            <w:pPr>
              <w:spacing w:after="0" w:line="20" w:lineRule="exact"/>
              <w:rPr>
                <w:sz w:val="1"/>
                <w:szCs w:val="1"/>
                <w:color w:val="auto"/>
              </w:rPr>
            </w:pPr>
          </w:p>
        </w:tc>
      </w:tr>
      <w:tr>
        <w:trPr>
          <w:trHeight w:val="234"/>
        </w:trPr>
        <w:tc>
          <w:tcPr>
            <w:tcW w:w="8460" w:type="dxa"/>
            <w:vAlign w:val="bottom"/>
            <w:gridSpan w:val="2"/>
          </w:tcPr>
          <w:p>
            <w:pPr>
              <w:ind w:left="540"/>
              <w:spacing w:after="0"/>
              <w:rPr>
                <w:sz w:val="20"/>
                <w:szCs w:val="20"/>
                <w:color w:val="auto"/>
              </w:rPr>
            </w:pPr>
            <w:r>
              <w:rPr>
                <w:rFonts w:ascii="Arial" w:cs="Arial" w:eastAsia="Arial" w:hAnsi="Arial"/>
                <w:sz w:val="13"/>
                <w:szCs w:val="13"/>
                <w:color w:val="auto"/>
              </w:rPr>
              <w:t>As of December 31, 2020, the undiscounted future lease payments for operating and finance lease liabilities were as follows:</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60"/>
        </w:trPr>
        <w:tc>
          <w:tcPr>
            <w:tcW w:w="70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60" w:type="dxa"/>
            <w:vAlign w:val="bottom"/>
          </w:tcPr>
          <w:p>
            <w:pPr>
              <w:spacing w:after="0"/>
              <w:rPr>
                <w:sz w:val="5"/>
                <w:szCs w:val="5"/>
                <w:color w:val="auto"/>
              </w:rPr>
            </w:pPr>
          </w:p>
        </w:tc>
      </w:tr>
      <w:tr>
        <w:trPr>
          <w:trHeight w:val="175"/>
        </w:trPr>
        <w:tc>
          <w:tcPr>
            <w:tcW w:w="7000" w:type="dxa"/>
            <w:vAlign w:val="bottom"/>
            <w:shd w:val="clear" w:color="auto" w:fill="1D2758"/>
          </w:tcPr>
          <w:p>
            <w:pPr>
              <w:ind w:left="20"/>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3"/>
                <w:szCs w:val="13"/>
                <w:b w:val="1"/>
                <w:bCs w:val="1"/>
                <w:i w:val="1"/>
                <w:iCs w:val="1"/>
                <w:color w:val="FFFFFF"/>
              </w:rPr>
              <w:t>in thousands)</w:t>
            </w:r>
          </w:p>
        </w:tc>
        <w:tc>
          <w:tcPr>
            <w:tcW w:w="1460" w:type="dxa"/>
            <w:vAlign w:val="bottom"/>
            <w:shd w:val="clear" w:color="auto" w:fill="1D2758"/>
          </w:tcPr>
          <w:p>
            <w:pPr>
              <w:jc w:val="right"/>
              <w:ind w:right="34"/>
              <w:spacing w:after="0"/>
              <w:rPr>
                <w:sz w:val="20"/>
                <w:szCs w:val="20"/>
                <w:color w:val="auto"/>
              </w:rPr>
            </w:pPr>
            <w:r>
              <w:rPr>
                <w:rFonts w:ascii="Arial" w:cs="Arial" w:eastAsia="Arial" w:hAnsi="Arial"/>
                <w:sz w:val="13"/>
                <w:szCs w:val="13"/>
                <w:b w:val="1"/>
                <w:bCs w:val="1"/>
                <w:color w:val="FFFFFF"/>
              </w:rPr>
              <w:t>Operating</w:t>
            </w:r>
          </w:p>
        </w:tc>
        <w:tc>
          <w:tcPr>
            <w:tcW w:w="64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440" w:type="dxa"/>
            <w:vAlign w:val="bottom"/>
            <w:shd w:val="clear" w:color="auto" w:fill="1D2758"/>
          </w:tcPr>
          <w:p>
            <w:pPr>
              <w:spacing w:after="0"/>
              <w:rPr>
                <w:sz w:val="15"/>
                <w:szCs w:val="15"/>
                <w:color w:val="auto"/>
              </w:rPr>
            </w:pPr>
          </w:p>
        </w:tc>
        <w:tc>
          <w:tcPr>
            <w:tcW w:w="1660" w:type="dxa"/>
            <w:vAlign w:val="bottom"/>
            <w:shd w:val="clear" w:color="auto" w:fill="1D2758"/>
          </w:tcPr>
          <w:p>
            <w:pPr>
              <w:jc w:val="right"/>
              <w:ind w:right="734"/>
              <w:spacing w:after="0"/>
              <w:rPr>
                <w:sz w:val="20"/>
                <w:szCs w:val="20"/>
                <w:color w:val="auto"/>
              </w:rPr>
            </w:pPr>
            <w:r>
              <w:rPr>
                <w:rFonts w:ascii="Arial" w:cs="Arial" w:eastAsia="Arial" w:hAnsi="Arial"/>
                <w:sz w:val="13"/>
                <w:szCs w:val="13"/>
                <w:b w:val="1"/>
                <w:bCs w:val="1"/>
                <w:color w:val="FFFFFF"/>
              </w:rPr>
              <w:t>Finance</w:t>
            </w:r>
          </w:p>
        </w:tc>
      </w:tr>
      <w:tr>
        <w:trPr>
          <w:trHeight w:val="175"/>
        </w:trPr>
        <w:tc>
          <w:tcPr>
            <w:tcW w:w="7000" w:type="dxa"/>
            <w:vAlign w:val="bottom"/>
            <w:shd w:val="clear" w:color="auto" w:fill="DBDBDB"/>
          </w:tcPr>
          <w:p>
            <w:pPr>
              <w:ind w:left="20"/>
              <w:spacing w:after="0"/>
              <w:rPr>
                <w:sz w:val="20"/>
                <w:szCs w:val="20"/>
                <w:color w:val="auto"/>
              </w:rPr>
            </w:pPr>
            <w:r>
              <w:rPr>
                <w:rFonts w:ascii="Arial" w:cs="Arial" w:eastAsia="Arial" w:hAnsi="Arial"/>
                <w:sz w:val="13"/>
                <w:szCs w:val="13"/>
                <w:color w:val="auto"/>
              </w:rPr>
              <w:t>2021</w:t>
            </w:r>
          </w:p>
        </w:tc>
        <w:tc>
          <w:tcPr>
            <w:tcW w:w="1460" w:type="dxa"/>
            <w:vAlign w:val="bottom"/>
            <w:shd w:val="clear" w:color="auto" w:fill="DBDBDB"/>
          </w:tcPr>
          <w:p>
            <w:pPr>
              <w:jc w:val="right"/>
              <w:ind w:right="1314"/>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60,120</w:t>
            </w:r>
          </w:p>
        </w:tc>
        <w:tc>
          <w:tcPr>
            <w:tcW w:w="80" w:type="dxa"/>
            <w:vAlign w:val="bottom"/>
            <w:shd w:val="clear" w:color="auto" w:fill="DBDBDB"/>
          </w:tcPr>
          <w:p>
            <w:pPr>
              <w:spacing w:after="0"/>
              <w:rPr>
                <w:sz w:val="15"/>
                <w:szCs w:val="15"/>
                <w:color w:val="auto"/>
              </w:rPr>
            </w:pPr>
          </w:p>
        </w:tc>
        <w:tc>
          <w:tcPr>
            <w:tcW w:w="440" w:type="dxa"/>
            <w:vAlign w:val="bottom"/>
            <w:shd w:val="clear" w:color="auto" w:fill="DBDBDB"/>
          </w:tcPr>
          <w:p>
            <w:pPr>
              <w:jc w:val="right"/>
              <w:ind w:right="274"/>
              <w:spacing w:after="0"/>
              <w:rPr>
                <w:sz w:val="20"/>
                <w:szCs w:val="20"/>
                <w:color w:val="auto"/>
              </w:rPr>
            </w:pPr>
            <w:r>
              <w:rPr>
                <w:rFonts w:ascii="Arial" w:cs="Arial" w:eastAsia="Arial" w:hAnsi="Arial"/>
                <w:sz w:val="13"/>
                <w:szCs w:val="13"/>
                <w:color w:val="auto"/>
              </w:rPr>
              <w:t>$</w:t>
            </w:r>
          </w:p>
        </w:tc>
        <w:tc>
          <w:tcPr>
            <w:tcW w:w="16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18,252</w:t>
            </w:r>
          </w:p>
        </w:tc>
      </w:tr>
      <w:tr>
        <w:trPr>
          <w:trHeight w:val="172"/>
        </w:trPr>
        <w:tc>
          <w:tcPr>
            <w:tcW w:w="7000" w:type="dxa"/>
            <w:vAlign w:val="bottom"/>
          </w:tcPr>
          <w:p>
            <w:pPr>
              <w:ind w:left="20"/>
              <w:spacing w:after="0"/>
              <w:rPr>
                <w:sz w:val="20"/>
                <w:szCs w:val="20"/>
                <w:color w:val="auto"/>
              </w:rPr>
            </w:pPr>
            <w:r>
              <w:rPr>
                <w:rFonts w:ascii="Arial" w:cs="Arial" w:eastAsia="Arial" w:hAnsi="Arial"/>
                <w:sz w:val="13"/>
                <w:szCs w:val="13"/>
                <w:color w:val="auto"/>
              </w:rPr>
              <w:t>2022</w:t>
            </w:r>
          </w:p>
        </w:tc>
        <w:tc>
          <w:tcPr>
            <w:tcW w:w="14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51,184</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17,158</w:t>
            </w:r>
          </w:p>
        </w:tc>
      </w:tr>
      <w:tr>
        <w:trPr>
          <w:trHeight w:val="178"/>
        </w:trPr>
        <w:tc>
          <w:tcPr>
            <w:tcW w:w="7000" w:type="dxa"/>
            <w:vAlign w:val="bottom"/>
            <w:shd w:val="clear" w:color="auto" w:fill="DBDBDB"/>
          </w:tcPr>
          <w:p>
            <w:pPr>
              <w:ind w:left="20"/>
              <w:spacing w:after="0"/>
              <w:rPr>
                <w:sz w:val="20"/>
                <w:szCs w:val="20"/>
                <w:color w:val="auto"/>
              </w:rPr>
            </w:pPr>
            <w:r>
              <w:rPr>
                <w:rFonts w:ascii="Arial" w:cs="Arial" w:eastAsia="Arial" w:hAnsi="Arial"/>
                <w:sz w:val="13"/>
                <w:szCs w:val="13"/>
                <w:color w:val="auto"/>
              </w:rPr>
              <w:t>2023</w:t>
            </w:r>
          </w:p>
        </w:tc>
        <w:tc>
          <w:tcPr>
            <w:tcW w:w="1460" w:type="dxa"/>
            <w:vAlign w:val="bottom"/>
            <w:shd w:val="clear" w:color="auto" w:fill="DBDBDB"/>
          </w:tcPr>
          <w:p>
            <w:pPr>
              <w:spacing w:after="0"/>
              <w:rPr>
                <w:sz w:val="15"/>
                <w:szCs w:val="15"/>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41,074</w:t>
            </w:r>
          </w:p>
        </w:tc>
        <w:tc>
          <w:tcPr>
            <w:tcW w:w="8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13,707</w:t>
            </w:r>
          </w:p>
        </w:tc>
      </w:tr>
      <w:tr>
        <w:trPr>
          <w:trHeight w:val="172"/>
        </w:trPr>
        <w:tc>
          <w:tcPr>
            <w:tcW w:w="7000" w:type="dxa"/>
            <w:vAlign w:val="bottom"/>
          </w:tcPr>
          <w:p>
            <w:pPr>
              <w:ind w:left="20"/>
              <w:spacing w:after="0"/>
              <w:rPr>
                <w:sz w:val="20"/>
                <w:szCs w:val="20"/>
                <w:color w:val="auto"/>
              </w:rPr>
            </w:pPr>
            <w:r>
              <w:rPr>
                <w:rFonts w:ascii="Arial" w:cs="Arial" w:eastAsia="Arial" w:hAnsi="Arial"/>
                <w:sz w:val="13"/>
                <w:szCs w:val="13"/>
                <w:color w:val="auto"/>
              </w:rPr>
              <w:t>2024</w:t>
            </w:r>
          </w:p>
        </w:tc>
        <w:tc>
          <w:tcPr>
            <w:tcW w:w="14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33,336</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10,786</w:t>
            </w:r>
          </w:p>
        </w:tc>
      </w:tr>
      <w:tr>
        <w:trPr>
          <w:trHeight w:val="178"/>
        </w:trPr>
        <w:tc>
          <w:tcPr>
            <w:tcW w:w="7000" w:type="dxa"/>
            <w:vAlign w:val="bottom"/>
            <w:shd w:val="clear" w:color="auto" w:fill="DBDBDB"/>
          </w:tcPr>
          <w:p>
            <w:pPr>
              <w:ind w:left="20"/>
              <w:spacing w:after="0"/>
              <w:rPr>
                <w:sz w:val="20"/>
                <w:szCs w:val="20"/>
                <w:color w:val="auto"/>
              </w:rPr>
            </w:pPr>
            <w:r>
              <w:rPr>
                <w:rFonts w:ascii="Arial" w:cs="Arial" w:eastAsia="Arial" w:hAnsi="Arial"/>
                <w:sz w:val="13"/>
                <w:szCs w:val="13"/>
                <w:color w:val="auto"/>
              </w:rPr>
              <w:t>2025</w:t>
            </w:r>
          </w:p>
        </w:tc>
        <w:tc>
          <w:tcPr>
            <w:tcW w:w="1460" w:type="dxa"/>
            <w:vAlign w:val="bottom"/>
            <w:shd w:val="clear" w:color="auto" w:fill="DBDBDB"/>
          </w:tcPr>
          <w:p>
            <w:pPr>
              <w:spacing w:after="0"/>
              <w:rPr>
                <w:sz w:val="15"/>
                <w:szCs w:val="15"/>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26,542</w:t>
            </w:r>
          </w:p>
        </w:tc>
        <w:tc>
          <w:tcPr>
            <w:tcW w:w="8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10,893</w:t>
            </w:r>
          </w:p>
        </w:tc>
      </w:tr>
      <w:tr>
        <w:trPr>
          <w:trHeight w:val="172"/>
        </w:trPr>
        <w:tc>
          <w:tcPr>
            <w:tcW w:w="700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Thereafter</w:t>
            </w:r>
          </w:p>
        </w:tc>
        <w:tc>
          <w:tcPr>
            <w:tcW w:w="14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67,421</w:t>
            </w:r>
          </w:p>
        </w:tc>
        <w:tc>
          <w:tcPr>
            <w:tcW w:w="80" w:type="dxa"/>
            <w:vAlign w:val="bottom"/>
            <w:tcBorders>
              <w:bottom w:val="single" w:sz="8" w:color="DBDBDB"/>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13,410</w:t>
            </w:r>
          </w:p>
        </w:tc>
      </w:tr>
      <w:tr>
        <w:trPr>
          <w:trHeight w:val="169"/>
        </w:trPr>
        <w:tc>
          <w:tcPr>
            <w:tcW w:w="7000" w:type="dxa"/>
            <w:vAlign w:val="bottom"/>
            <w:shd w:val="clear" w:color="auto" w:fill="DBDBDB"/>
          </w:tcPr>
          <w:p>
            <w:pPr>
              <w:ind w:left="200"/>
              <w:spacing w:after="0"/>
              <w:rPr>
                <w:sz w:val="20"/>
                <w:szCs w:val="20"/>
                <w:color w:val="auto"/>
              </w:rPr>
            </w:pPr>
            <w:r>
              <w:rPr>
                <w:rFonts w:ascii="Arial" w:cs="Arial" w:eastAsia="Arial" w:hAnsi="Arial"/>
                <w:sz w:val="13"/>
                <w:szCs w:val="13"/>
                <w:color w:val="auto"/>
              </w:rPr>
              <w:t>Total lease payments</w:t>
            </w:r>
          </w:p>
        </w:tc>
        <w:tc>
          <w:tcPr>
            <w:tcW w:w="1460" w:type="dxa"/>
            <w:vAlign w:val="bottom"/>
            <w:shd w:val="clear" w:color="auto" w:fill="DBDBDB"/>
          </w:tcPr>
          <w:p>
            <w:pPr>
              <w:spacing w:after="0"/>
              <w:rPr>
                <w:sz w:val="14"/>
                <w:szCs w:val="14"/>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279,677</w:t>
            </w:r>
          </w:p>
        </w:tc>
        <w:tc>
          <w:tcPr>
            <w:tcW w:w="80" w:type="dxa"/>
            <w:vAlign w:val="bottom"/>
            <w:shd w:val="clear" w:color="auto" w:fill="DBDBDB"/>
          </w:tcPr>
          <w:p>
            <w:pPr>
              <w:spacing w:after="0"/>
              <w:rPr>
                <w:sz w:val="14"/>
                <w:szCs w:val="14"/>
                <w:color w:val="auto"/>
              </w:rPr>
            </w:pPr>
          </w:p>
        </w:tc>
        <w:tc>
          <w:tcPr>
            <w:tcW w:w="440" w:type="dxa"/>
            <w:vAlign w:val="bottom"/>
            <w:shd w:val="clear" w:color="auto" w:fill="DBDBDB"/>
          </w:tcPr>
          <w:p>
            <w:pPr>
              <w:spacing w:after="0"/>
              <w:rPr>
                <w:sz w:val="14"/>
                <w:szCs w:val="14"/>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84,206</w:t>
            </w:r>
          </w:p>
        </w:tc>
      </w:tr>
      <w:tr>
        <w:trPr>
          <w:trHeight w:val="172"/>
        </w:trPr>
        <w:tc>
          <w:tcPr>
            <w:tcW w:w="700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Less: interest</w:t>
            </w:r>
          </w:p>
        </w:tc>
        <w:tc>
          <w:tcPr>
            <w:tcW w:w="14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(47,853)</w:t>
            </w:r>
          </w:p>
        </w:tc>
        <w:tc>
          <w:tcPr>
            <w:tcW w:w="80" w:type="dxa"/>
            <w:vAlign w:val="bottom"/>
            <w:tcBorders>
              <w:bottom w:val="single" w:sz="8" w:color="DBDBDB"/>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(6,332)</w:t>
            </w:r>
          </w:p>
        </w:tc>
      </w:tr>
      <w:tr>
        <w:trPr>
          <w:trHeight w:val="191"/>
        </w:trPr>
        <w:tc>
          <w:tcPr>
            <w:tcW w:w="7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Present value of lease liabilities</w:t>
            </w:r>
          </w:p>
        </w:tc>
        <w:tc>
          <w:tcPr>
            <w:tcW w:w="1460" w:type="dxa"/>
            <w:vAlign w:val="bottom"/>
            <w:tcBorders>
              <w:bottom w:val="single" w:sz="8" w:color="auto"/>
            </w:tcBorders>
            <w:shd w:val="clear" w:color="auto" w:fill="DBDBDB"/>
          </w:tcPr>
          <w:p>
            <w:pPr>
              <w:jc w:val="right"/>
              <w:ind w:right="1314"/>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231,824</w:t>
            </w:r>
          </w:p>
        </w:tc>
        <w:tc>
          <w:tcPr>
            <w:tcW w:w="80" w:type="dxa"/>
            <w:vAlign w:val="bottom"/>
            <w:tcBorders>
              <w:bottom w:val="single" w:sz="8" w:color="DBDBDB"/>
            </w:tcBorders>
            <w:shd w:val="clear" w:color="auto" w:fill="DBDBDB"/>
          </w:tcPr>
          <w:p>
            <w:pPr>
              <w:spacing w:after="0"/>
              <w:rPr>
                <w:sz w:val="16"/>
                <w:szCs w:val="16"/>
                <w:color w:val="auto"/>
              </w:rPr>
            </w:pPr>
          </w:p>
        </w:tc>
        <w:tc>
          <w:tcPr>
            <w:tcW w:w="440" w:type="dxa"/>
            <w:vAlign w:val="bottom"/>
            <w:tcBorders>
              <w:bottom w:val="single" w:sz="8" w:color="auto"/>
            </w:tcBorders>
            <w:shd w:val="clear" w:color="auto" w:fill="DBDBDB"/>
          </w:tcPr>
          <w:p>
            <w:pPr>
              <w:jc w:val="right"/>
              <w:ind w:right="274"/>
              <w:spacing w:after="0"/>
              <w:rPr>
                <w:sz w:val="20"/>
                <w:szCs w:val="20"/>
                <w:color w:val="auto"/>
              </w:rPr>
            </w:pPr>
            <w:r>
              <w:rPr>
                <w:rFonts w:ascii="Arial" w:cs="Arial" w:eastAsia="Arial" w:hAnsi="Arial"/>
                <w:sz w:val="13"/>
                <w:szCs w:val="13"/>
                <w:color w:val="auto"/>
              </w:rPr>
              <w:t>$</w:t>
            </w:r>
          </w:p>
        </w:tc>
        <w:tc>
          <w:tcPr>
            <w:tcW w:w="1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77,874</w:t>
            </w:r>
          </w:p>
        </w:tc>
      </w:tr>
      <w:tr>
        <w:trPr>
          <w:trHeight w:val="20"/>
        </w:trPr>
        <w:tc>
          <w:tcPr>
            <w:tcW w:w="7000" w:type="dxa"/>
            <w:vAlign w:val="bottom"/>
            <w:tcBorders>
              <w:top w:val="single" w:sz="8" w:color="DBDBDB"/>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6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1660" w:type="dxa"/>
            <w:vAlign w:val="bottom"/>
            <w:tcBorders>
              <w:top w:val="single" w:sz="8" w:color="DBDBDB"/>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ind w:left="540"/>
        <w:spacing w:after="0"/>
        <w:rPr>
          <w:sz w:val="20"/>
          <w:szCs w:val="20"/>
          <w:color w:val="auto"/>
        </w:rPr>
      </w:pPr>
      <w:r>
        <w:rPr>
          <w:rFonts w:ascii="Arial" w:cs="Arial" w:eastAsia="Arial" w:hAnsi="Arial"/>
          <w:sz w:val="13"/>
          <w:szCs w:val="13"/>
          <w:color w:val="auto"/>
        </w:rPr>
        <w:t>Finance lease liabilities are included within long-term debt and current portion of long-term debt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30" w:right="31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57"/>
        </w:trPr>
        <w:tc>
          <w:tcPr>
            <w:tcW w:w="7180" w:type="dxa"/>
            <w:vAlign w:val="bottom"/>
          </w:tcPr>
          <w:p>
            <w:pPr>
              <w:ind w:left="540"/>
              <w:spacing w:after="0"/>
              <w:rPr>
                <w:sz w:val="20"/>
                <w:szCs w:val="20"/>
                <w:color w:val="auto"/>
              </w:rPr>
            </w:pPr>
            <w:r>
              <w:rPr>
                <w:rFonts w:ascii="Arial" w:cs="Arial" w:eastAsia="Arial" w:hAnsi="Arial"/>
                <w:sz w:val="13"/>
                <w:szCs w:val="13"/>
                <w:color w:val="auto"/>
              </w:rPr>
              <w:t>The Company’s lease activity during the years ended December 31, 2021 and 2020 was as follows:</w:t>
            </w:r>
          </w:p>
        </w:tc>
        <w:tc>
          <w:tcPr>
            <w:tcW w:w="4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60"/>
        </w:trPr>
        <w:tc>
          <w:tcPr>
            <w:tcW w:w="7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900" w:type="dxa"/>
            <w:vAlign w:val="bottom"/>
            <w:gridSpan w:val="2"/>
          </w:tcPr>
          <w:p>
            <w:pPr>
              <w:spacing w:after="0"/>
              <w:rPr>
                <w:sz w:val="5"/>
                <w:szCs w:val="5"/>
                <w:color w:val="auto"/>
              </w:rPr>
            </w:pPr>
          </w:p>
        </w:tc>
        <w:tc>
          <w:tcPr>
            <w:tcW w:w="1200" w:type="dxa"/>
            <w:vAlign w:val="bottom"/>
          </w:tcPr>
          <w:p>
            <w:pPr>
              <w:spacing w:after="0"/>
              <w:rPr>
                <w:sz w:val="5"/>
                <w:szCs w:val="5"/>
                <w:color w:val="auto"/>
              </w:rPr>
            </w:pPr>
          </w:p>
        </w:tc>
      </w:tr>
      <w:tr>
        <w:trPr>
          <w:trHeight w:val="173"/>
        </w:trPr>
        <w:tc>
          <w:tcPr>
            <w:tcW w:w="7180" w:type="dxa"/>
            <w:vAlign w:val="bottom"/>
            <w:shd w:val="clear" w:color="auto" w:fill="1D2758"/>
          </w:tcPr>
          <w:p>
            <w:pPr>
              <w:spacing w:after="0"/>
              <w:rPr>
                <w:sz w:val="15"/>
                <w:szCs w:val="15"/>
                <w:color w:val="auto"/>
              </w:rPr>
            </w:pPr>
          </w:p>
        </w:tc>
        <w:tc>
          <w:tcPr>
            <w:tcW w:w="460" w:type="dxa"/>
            <w:vAlign w:val="bottom"/>
            <w:shd w:val="clear" w:color="auto" w:fill="1D2758"/>
          </w:tcPr>
          <w:p>
            <w:pPr>
              <w:spacing w:after="0"/>
              <w:rPr>
                <w:sz w:val="15"/>
                <w:szCs w:val="15"/>
                <w:color w:val="auto"/>
              </w:rPr>
            </w:pPr>
          </w:p>
        </w:tc>
        <w:tc>
          <w:tcPr>
            <w:tcW w:w="2440" w:type="dxa"/>
            <w:vAlign w:val="bottom"/>
            <w:gridSpan w:val="3"/>
            <w:shd w:val="clear" w:color="auto" w:fill="1D2758"/>
          </w:tcPr>
          <w:p>
            <w:pPr>
              <w:jc w:val="right"/>
              <w:spacing w:after="0"/>
              <w:rPr>
                <w:sz w:val="20"/>
                <w:szCs w:val="20"/>
                <w:color w:val="auto"/>
              </w:rPr>
            </w:pPr>
            <w:r>
              <w:rPr>
                <w:rFonts w:ascii="Arial" w:cs="Arial" w:eastAsia="Arial" w:hAnsi="Arial"/>
                <w:sz w:val="13"/>
                <w:szCs w:val="13"/>
                <w:b w:val="1"/>
                <w:bCs w:val="1"/>
                <w:color w:val="FFFFFF"/>
              </w:rPr>
              <w:t>Year Ended December 31,</w:t>
            </w:r>
          </w:p>
        </w:tc>
        <w:tc>
          <w:tcPr>
            <w:tcW w:w="1200" w:type="dxa"/>
            <w:vAlign w:val="bottom"/>
            <w:shd w:val="clear" w:color="auto" w:fill="1D2758"/>
          </w:tcPr>
          <w:p>
            <w:pPr>
              <w:spacing w:after="0"/>
              <w:rPr>
                <w:sz w:val="15"/>
                <w:szCs w:val="15"/>
                <w:color w:val="auto"/>
              </w:rPr>
            </w:pPr>
          </w:p>
        </w:tc>
      </w:tr>
      <w:tr>
        <w:trPr>
          <w:trHeight w:val="177"/>
        </w:trPr>
        <w:tc>
          <w:tcPr>
            <w:tcW w:w="7180" w:type="dxa"/>
            <w:vAlign w:val="bottom"/>
            <w:shd w:val="clear" w:color="auto" w:fill="1D2758"/>
          </w:tcPr>
          <w:p>
            <w:pPr>
              <w:ind w:left="20"/>
              <w:spacing w:after="0"/>
              <w:rPr>
                <w:sz w:val="20"/>
                <w:szCs w:val="20"/>
                <w:color w:val="auto"/>
              </w:rPr>
            </w:pPr>
            <w:r>
              <w:rPr>
                <w:rFonts w:ascii="Arial" w:cs="Arial" w:eastAsia="Arial" w:hAnsi="Arial"/>
                <w:sz w:val="13"/>
                <w:szCs w:val="13"/>
                <w:b w:val="1"/>
                <w:bCs w:val="1"/>
                <w:color w:val="FFFFFF"/>
              </w:rPr>
              <w:t xml:space="preserve">Financial Statement Line </w:t>
            </w:r>
            <w:r>
              <w:rPr>
                <w:rFonts w:ascii="Arial" w:cs="Arial" w:eastAsia="Arial" w:hAnsi="Arial"/>
                <w:sz w:val="13"/>
                <w:szCs w:val="13"/>
                <w:b w:val="1"/>
                <w:bCs w:val="1"/>
                <w:i w:val="1"/>
                <w:iCs w:val="1"/>
                <w:color w:val="FFFFFF"/>
              </w:rPr>
              <w:t>(in thousands)</w:t>
            </w:r>
          </w:p>
        </w:tc>
        <w:tc>
          <w:tcPr>
            <w:tcW w:w="460" w:type="dxa"/>
            <w:vAlign w:val="bottom"/>
            <w:shd w:val="clear" w:color="auto" w:fill="1D2758"/>
          </w:tcPr>
          <w:p>
            <w:pPr>
              <w:spacing w:after="0"/>
              <w:rPr>
                <w:sz w:val="15"/>
                <w:szCs w:val="15"/>
                <w:color w:val="auto"/>
              </w:rPr>
            </w:pPr>
          </w:p>
        </w:tc>
        <w:tc>
          <w:tcPr>
            <w:tcW w:w="1540" w:type="dxa"/>
            <w:vAlign w:val="bottom"/>
            <w:shd w:val="clear" w:color="auto" w:fill="1D2758"/>
          </w:tcPr>
          <w:p>
            <w:pPr>
              <w:jc w:val="right"/>
              <w:ind w:right="794"/>
              <w:spacing w:after="0"/>
              <w:rPr>
                <w:sz w:val="20"/>
                <w:szCs w:val="20"/>
                <w:color w:val="auto"/>
              </w:rPr>
            </w:pPr>
            <w:r>
              <w:rPr>
                <w:rFonts w:ascii="Arial" w:cs="Arial" w:eastAsia="Arial" w:hAnsi="Arial"/>
                <w:sz w:val="13"/>
                <w:szCs w:val="13"/>
                <w:b w:val="1"/>
                <w:bCs w:val="1"/>
                <w:color w:val="FFFFFF"/>
              </w:rPr>
              <w:t>2021</w:t>
            </w:r>
          </w:p>
        </w:tc>
        <w:tc>
          <w:tcPr>
            <w:tcW w:w="100" w:type="dxa"/>
            <w:vAlign w:val="bottom"/>
            <w:shd w:val="clear" w:color="auto" w:fill="1D2758"/>
          </w:tcPr>
          <w:p>
            <w:pPr>
              <w:spacing w:after="0"/>
              <w:rPr>
                <w:sz w:val="15"/>
                <w:szCs w:val="15"/>
                <w:color w:val="auto"/>
              </w:rPr>
            </w:pPr>
          </w:p>
        </w:tc>
        <w:tc>
          <w:tcPr>
            <w:tcW w:w="800" w:type="dxa"/>
            <w:vAlign w:val="bottom"/>
            <w:shd w:val="clear" w:color="auto" w:fill="1D2758"/>
          </w:tcPr>
          <w:p>
            <w:pPr>
              <w:spacing w:after="0"/>
              <w:rPr>
                <w:sz w:val="15"/>
                <w:szCs w:val="15"/>
                <w:color w:val="auto"/>
              </w:rPr>
            </w:pPr>
          </w:p>
        </w:tc>
        <w:tc>
          <w:tcPr>
            <w:tcW w:w="1200" w:type="dxa"/>
            <w:vAlign w:val="bottom"/>
            <w:shd w:val="clear" w:color="auto" w:fill="1D2758"/>
          </w:tcPr>
          <w:p>
            <w:pPr>
              <w:jc w:val="right"/>
              <w:ind w:right="794"/>
              <w:spacing w:after="0"/>
              <w:rPr>
                <w:sz w:val="20"/>
                <w:szCs w:val="20"/>
                <w:color w:val="auto"/>
              </w:rPr>
            </w:pPr>
            <w:r>
              <w:rPr>
                <w:rFonts w:ascii="Arial" w:cs="Arial" w:eastAsia="Arial" w:hAnsi="Arial"/>
                <w:sz w:val="13"/>
                <w:szCs w:val="13"/>
                <w:b w:val="1"/>
                <w:bCs w:val="1"/>
                <w:color w:val="FFFFFF"/>
              </w:rPr>
              <w:t>2020</w:t>
            </w:r>
          </w:p>
        </w:tc>
      </w:tr>
      <w:tr>
        <w:trPr>
          <w:trHeight w:val="175"/>
        </w:trPr>
        <w:tc>
          <w:tcPr>
            <w:tcW w:w="7180" w:type="dxa"/>
            <w:vAlign w:val="bottom"/>
            <w:shd w:val="clear" w:color="auto" w:fill="DBDBDB"/>
          </w:tcPr>
          <w:p>
            <w:pPr>
              <w:ind w:left="20"/>
              <w:spacing w:after="0"/>
              <w:rPr>
                <w:sz w:val="20"/>
                <w:szCs w:val="20"/>
                <w:color w:val="auto"/>
              </w:rPr>
            </w:pPr>
            <w:r>
              <w:rPr>
                <w:rFonts w:ascii="Arial" w:cs="Arial" w:eastAsia="Arial" w:hAnsi="Arial"/>
                <w:sz w:val="13"/>
                <w:szCs w:val="13"/>
                <w:color w:val="auto"/>
              </w:rPr>
              <w:t>Finance Lease Expense</w:t>
            </w:r>
          </w:p>
        </w:tc>
        <w:tc>
          <w:tcPr>
            <w:tcW w:w="460" w:type="dxa"/>
            <w:vAlign w:val="bottom"/>
            <w:shd w:val="clear" w:color="auto" w:fill="DBDBDB"/>
          </w:tcPr>
          <w:p>
            <w:pPr>
              <w:spacing w:after="0"/>
              <w:rPr>
                <w:sz w:val="15"/>
                <w:szCs w:val="15"/>
                <w:color w:val="auto"/>
              </w:rPr>
            </w:pPr>
          </w:p>
        </w:tc>
        <w:tc>
          <w:tcPr>
            <w:tcW w:w="15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c>
          <w:tcPr>
            <w:tcW w:w="1200" w:type="dxa"/>
            <w:vAlign w:val="bottom"/>
            <w:shd w:val="clear" w:color="auto" w:fill="DBDBDB"/>
          </w:tcPr>
          <w:p>
            <w:pPr>
              <w:spacing w:after="0"/>
              <w:rPr>
                <w:sz w:val="15"/>
                <w:szCs w:val="15"/>
                <w:color w:val="auto"/>
              </w:rPr>
            </w:pPr>
          </w:p>
        </w:tc>
      </w:tr>
      <w:tr>
        <w:trPr>
          <w:trHeight w:val="172"/>
        </w:trPr>
        <w:tc>
          <w:tcPr>
            <w:tcW w:w="7180" w:type="dxa"/>
            <w:vAlign w:val="bottom"/>
          </w:tcPr>
          <w:p>
            <w:pPr>
              <w:ind w:left="280"/>
              <w:spacing w:after="0"/>
              <w:rPr>
                <w:sz w:val="20"/>
                <w:szCs w:val="20"/>
                <w:color w:val="auto"/>
              </w:rPr>
            </w:pPr>
            <w:r>
              <w:rPr>
                <w:rFonts w:ascii="Arial" w:cs="Arial" w:eastAsia="Arial" w:hAnsi="Arial"/>
                <w:sz w:val="13"/>
                <w:szCs w:val="13"/>
                <w:color w:val="auto"/>
              </w:rPr>
              <w:t>Amortization of finance lease assets</w:t>
            </w:r>
          </w:p>
        </w:tc>
        <w:tc>
          <w:tcPr>
            <w:tcW w:w="460" w:type="dxa"/>
            <w:vAlign w:val="bottom"/>
          </w:tcPr>
          <w:p>
            <w:pPr>
              <w:jc w:val="right"/>
              <w:ind w:right="314"/>
              <w:spacing w:after="0"/>
              <w:rPr>
                <w:sz w:val="20"/>
                <w:szCs w:val="20"/>
                <w:color w:val="auto"/>
              </w:rPr>
            </w:pPr>
            <w:r>
              <w:rPr>
                <w:rFonts w:ascii="Arial" w:cs="Arial" w:eastAsia="Arial" w:hAnsi="Arial"/>
                <w:sz w:val="13"/>
                <w:szCs w:val="13"/>
                <w:color w:val="auto"/>
                <w:w w:val="82"/>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19,102</w:t>
            </w:r>
          </w:p>
        </w:tc>
        <w:tc>
          <w:tcPr>
            <w:tcW w:w="100" w:type="dxa"/>
            <w:vAlign w:val="bottom"/>
          </w:tcPr>
          <w:p>
            <w:pPr>
              <w:spacing w:after="0"/>
              <w:rPr>
                <w:sz w:val="14"/>
                <w:szCs w:val="14"/>
                <w:color w:val="auto"/>
              </w:rPr>
            </w:pPr>
          </w:p>
        </w:tc>
        <w:tc>
          <w:tcPr>
            <w:tcW w:w="800" w:type="dxa"/>
            <w:vAlign w:val="bottom"/>
          </w:tcPr>
          <w:p>
            <w:pPr>
              <w:jc w:val="right"/>
              <w:ind w:right="654"/>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9,556</w:t>
            </w:r>
          </w:p>
        </w:tc>
      </w:tr>
      <w:tr>
        <w:trPr>
          <w:trHeight w:val="175"/>
        </w:trPr>
        <w:tc>
          <w:tcPr>
            <w:tcW w:w="7180" w:type="dxa"/>
            <w:vAlign w:val="bottom"/>
            <w:shd w:val="clear" w:color="auto" w:fill="DBDBDB"/>
          </w:tcPr>
          <w:p>
            <w:pPr>
              <w:ind w:left="280"/>
              <w:spacing w:after="0"/>
              <w:rPr>
                <w:sz w:val="20"/>
                <w:szCs w:val="20"/>
                <w:color w:val="auto"/>
              </w:rPr>
            </w:pPr>
            <w:r>
              <w:rPr>
                <w:rFonts w:ascii="Arial" w:cs="Arial" w:eastAsia="Arial" w:hAnsi="Arial"/>
                <w:sz w:val="13"/>
                <w:szCs w:val="13"/>
                <w:color w:val="auto"/>
              </w:rPr>
              <w:t>Interest on obligations under finance leases</w:t>
            </w:r>
          </w:p>
        </w:tc>
        <w:tc>
          <w:tcPr>
            <w:tcW w:w="460" w:type="dxa"/>
            <w:vAlign w:val="bottom"/>
            <w:tcBorders>
              <w:bottom w:val="single" w:sz="8" w:color="auto"/>
            </w:tcBorders>
            <w:shd w:val="clear" w:color="auto" w:fill="DBDBDB"/>
          </w:tcPr>
          <w:p>
            <w:pPr>
              <w:spacing w:after="0"/>
              <w:rPr>
                <w:sz w:val="15"/>
                <w:szCs w:val="15"/>
                <w:color w:val="auto"/>
              </w:rPr>
            </w:pP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2,283</w:t>
            </w:r>
          </w:p>
        </w:tc>
        <w:tc>
          <w:tcPr>
            <w:tcW w:w="100" w:type="dxa"/>
            <w:vAlign w:val="bottom"/>
            <w:shd w:val="clear" w:color="auto" w:fill="DBDBDB"/>
          </w:tcPr>
          <w:p>
            <w:pPr>
              <w:spacing w:after="0"/>
              <w:rPr>
                <w:sz w:val="15"/>
                <w:szCs w:val="15"/>
                <w:color w:val="auto"/>
              </w:rPr>
            </w:pPr>
          </w:p>
        </w:tc>
        <w:tc>
          <w:tcPr>
            <w:tcW w:w="800" w:type="dxa"/>
            <w:vAlign w:val="bottom"/>
            <w:tcBorders>
              <w:bottom w:val="single" w:sz="8" w:color="auto"/>
            </w:tcBorders>
            <w:shd w:val="clear" w:color="auto" w:fill="DBDBDB"/>
          </w:tcPr>
          <w:p>
            <w:pPr>
              <w:spacing w:after="0"/>
              <w:rPr>
                <w:sz w:val="15"/>
                <w:szCs w:val="15"/>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1,081</w:t>
            </w:r>
          </w:p>
        </w:tc>
      </w:tr>
      <w:tr>
        <w:trPr>
          <w:trHeight w:val="169"/>
        </w:trPr>
        <w:tc>
          <w:tcPr>
            <w:tcW w:w="7180" w:type="dxa"/>
            <w:vAlign w:val="bottom"/>
          </w:tcPr>
          <w:p>
            <w:pPr>
              <w:ind w:left="20"/>
              <w:spacing w:after="0"/>
              <w:rPr>
                <w:sz w:val="20"/>
                <w:szCs w:val="20"/>
                <w:color w:val="auto"/>
              </w:rPr>
            </w:pPr>
            <w:r>
              <w:rPr>
                <w:rFonts w:ascii="Arial" w:cs="Arial" w:eastAsia="Arial" w:hAnsi="Arial"/>
                <w:sz w:val="13"/>
                <w:szCs w:val="13"/>
                <w:color w:val="auto"/>
              </w:rPr>
              <w:t>Total finance lease expense</w:t>
            </w:r>
          </w:p>
        </w:tc>
        <w:tc>
          <w:tcPr>
            <w:tcW w:w="460" w:type="dxa"/>
            <w:vAlign w:val="bottom"/>
            <w:tcBorders>
              <w:bottom w:val="single" w:sz="8" w:color="auto"/>
            </w:tcBorders>
          </w:tcPr>
          <w:p>
            <w:pPr>
              <w:jc w:val="right"/>
              <w:ind w:right="314"/>
              <w:spacing w:after="0"/>
              <w:rPr>
                <w:sz w:val="20"/>
                <w:szCs w:val="20"/>
                <w:color w:val="auto"/>
              </w:rPr>
            </w:pPr>
            <w:r>
              <w:rPr>
                <w:rFonts w:ascii="Arial" w:cs="Arial" w:eastAsia="Arial" w:hAnsi="Arial"/>
                <w:sz w:val="13"/>
                <w:szCs w:val="13"/>
                <w:color w:val="auto"/>
                <w:w w:val="82"/>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21,385</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ind w:right="654"/>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10,637</w:t>
            </w:r>
          </w:p>
        </w:tc>
      </w:tr>
      <w:tr>
        <w:trPr>
          <w:trHeight w:val="20"/>
        </w:trPr>
        <w:tc>
          <w:tcPr>
            <w:tcW w:w="7180" w:type="dxa"/>
            <w:vAlign w:val="bottom"/>
            <w:tcBorders>
              <w:bottom w:val="single" w:sz="8" w:color="DBDBDB"/>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69"/>
        </w:trPr>
        <w:tc>
          <w:tcPr>
            <w:tcW w:w="7180" w:type="dxa"/>
            <w:vAlign w:val="bottom"/>
            <w:shd w:val="clear" w:color="auto" w:fill="DBDBDB"/>
          </w:tcPr>
          <w:p>
            <w:pPr>
              <w:spacing w:after="0"/>
              <w:rPr>
                <w:sz w:val="14"/>
                <w:szCs w:val="14"/>
                <w:color w:val="auto"/>
              </w:rPr>
            </w:pPr>
          </w:p>
        </w:tc>
        <w:tc>
          <w:tcPr>
            <w:tcW w:w="460" w:type="dxa"/>
            <w:vAlign w:val="bottom"/>
            <w:shd w:val="clear" w:color="auto" w:fill="DBDBDB"/>
          </w:tcPr>
          <w:p>
            <w:pPr>
              <w:spacing w:after="0"/>
              <w:rPr>
                <w:sz w:val="14"/>
                <w:szCs w:val="14"/>
                <w:color w:val="auto"/>
              </w:rPr>
            </w:pPr>
          </w:p>
        </w:tc>
        <w:tc>
          <w:tcPr>
            <w:tcW w:w="154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00" w:type="dxa"/>
            <w:vAlign w:val="bottom"/>
            <w:shd w:val="clear" w:color="auto" w:fill="DBDBDB"/>
          </w:tcPr>
          <w:p>
            <w:pPr>
              <w:spacing w:after="0"/>
              <w:rPr>
                <w:sz w:val="14"/>
                <w:szCs w:val="14"/>
                <w:color w:val="auto"/>
              </w:rPr>
            </w:pPr>
          </w:p>
        </w:tc>
        <w:tc>
          <w:tcPr>
            <w:tcW w:w="1200" w:type="dxa"/>
            <w:vAlign w:val="bottom"/>
            <w:shd w:val="clear" w:color="auto" w:fill="DBDBDB"/>
          </w:tcPr>
          <w:p>
            <w:pPr>
              <w:spacing w:after="0"/>
              <w:rPr>
                <w:sz w:val="14"/>
                <w:szCs w:val="14"/>
                <w:color w:val="auto"/>
              </w:rPr>
            </w:pPr>
          </w:p>
        </w:tc>
      </w:tr>
      <w:tr>
        <w:trPr>
          <w:trHeight w:val="172"/>
        </w:trPr>
        <w:tc>
          <w:tcPr>
            <w:tcW w:w="7180" w:type="dxa"/>
            <w:vAlign w:val="bottom"/>
          </w:tcPr>
          <w:p>
            <w:pPr>
              <w:ind w:left="20"/>
              <w:spacing w:after="0"/>
              <w:rPr>
                <w:sz w:val="20"/>
                <w:szCs w:val="20"/>
                <w:color w:val="auto"/>
              </w:rPr>
            </w:pPr>
            <w:r>
              <w:rPr>
                <w:rFonts w:ascii="Arial" w:cs="Arial" w:eastAsia="Arial" w:hAnsi="Arial"/>
                <w:sz w:val="13"/>
                <w:szCs w:val="13"/>
                <w:color w:val="auto"/>
              </w:rPr>
              <w:t>Operating Lease Expense</w:t>
            </w:r>
          </w:p>
        </w:tc>
        <w:tc>
          <w:tcPr>
            <w:tcW w:w="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8"/>
        </w:trPr>
        <w:tc>
          <w:tcPr>
            <w:tcW w:w="7180" w:type="dxa"/>
            <w:vAlign w:val="bottom"/>
            <w:shd w:val="clear" w:color="auto" w:fill="DBDBDB"/>
          </w:tcPr>
          <w:p>
            <w:pPr>
              <w:ind w:left="280"/>
              <w:spacing w:after="0"/>
              <w:rPr>
                <w:sz w:val="20"/>
                <w:szCs w:val="20"/>
                <w:color w:val="auto"/>
              </w:rPr>
            </w:pPr>
            <w:r>
              <w:rPr>
                <w:rFonts w:ascii="Arial" w:cs="Arial" w:eastAsia="Arial" w:hAnsi="Arial"/>
                <w:sz w:val="13"/>
                <w:szCs w:val="13"/>
                <w:color w:val="auto"/>
              </w:rPr>
              <w:t>Fixed lease expense</w:t>
            </w:r>
          </w:p>
        </w:tc>
        <w:tc>
          <w:tcPr>
            <w:tcW w:w="460" w:type="dxa"/>
            <w:vAlign w:val="bottom"/>
            <w:shd w:val="clear" w:color="auto" w:fill="DBDBDB"/>
          </w:tcPr>
          <w:p>
            <w:pPr>
              <w:spacing w:after="0"/>
              <w:rPr>
                <w:sz w:val="15"/>
                <w:szCs w:val="15"/>
                <w:color w:val="auto"/>
              </w:rPr>
            </w:pPr>
          </w:p>
        </w:tc>
        <w:tc>
          <w:tcPr>
            <w:tcW w:w="15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c>
          <w:tcPr>
            <w:tcW w:w="1200" w:type="dxa"/>
            <w:vAlign w:val="bottom"/>
            <w:shd w:val="clear" w:color="auto" w:fill="DBDBDB"/>
          </w:tcPr>
          <w:p>
            <w:pPr>
              <w:spacing w:after="0"/>
              <w:rPr>
                <w:sz w:val="15"/>
                <w:szCs w:val="15"/>
                <w:color w:val="auto"/>
              </w:rPr>
            </w:pPr>
          </w:p>
        </w:tc>
      </w:tr>
      <w:tr>
        <w:trPr>
          <w:trHeight w:val="172"/>
        </w:trPr>
        <w:tc>
          <w:tcPr>
            <w:tcW w:w="7180" w:type="dxa"/>
            <w:vAlign w:val="bottom"/>
          </w:tcPr>
          <w:p>
            <w:pPr>
              <w:ind w:left="460"/>
              <w:spacing w:after="0"/>
              <w:rPr>
                <w:sz w:val="20"/>
                <w:szCs w:val="20"/>
                <w:color w:val="auto"/>
              </w:rPr>
            </w:pPr>
            <w:r>
              <w:rPr>
                <w:rFonts w:ascii="Arial" w:cs="Arial" w:eastAsia="Arial" w:hAnsi="Arial"/>
                <w:sz w:val="13"/>
                <w:szCs w:val="13"/>
                <w:color w:val="auto"/>
              </w:rPr>
              <w:t>Cost of leasing and services</w:t>
            </w:r>
          </w:p>
        </w:tc>
        <w:tc>
          <w:tcPr>
            <w:tcW w:w="460" w:type="dxa"/>
            <w:vAlign w:val="bottom"/>
          </w:tcPr>
          <w:p>
            <w:pPr>
              <w:jc w:val="right"/>
              <w:ind w:right="314"/>
              <w:spacing w:after="0"/>
              <w:rPr>
                <w:sz w:val="20"/>
                <w:szCs w:val="20"/>
                <w:color w:val="auto"/>
              </w:rPr>
            </w:pPr>
            <w:r>
              <w:rPr>
                <w:rFonts w:ascii="Arial" w:cs="Arial" w:eastAsia="Arial" w:hAnsi="Arial"/>
                <w:sz w:val="13"/>
                <w:szCs w:val="13"/>
                <w:color w:val="auto"/>
                <w:w w:val="82"/>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3,979</w:t>
            </w:r>
          </w:p>
        </w:tc>
        <w:tc>
          <w:tcPr>
            <w:tcW w:w="100" w:type="dxa"/>
            <w:vAlign w:val="bottom"/>
          </w:tcPr>
          <w:p>
            <w:pPr>
              <w:spacing w:after="0"/>
              <w:rPr>
                <w:sz w:val="14"/>
                <w:szCs w:val="14"/>
                <w:color w:val="auto"/>
              </w:rPr>
            </w:pPr>
          </w:p>
        </w:tc>
        <w:tc>
          <w:tcPr>
            <w:tcW w:w="800" w:type="dxa"/>
            <w:vAlign w:val="bottom"/>
          </w:tcPr>
          <w:p>
            <w:pPr>
              <w:jc w:val="right"/>
              <w:ind w:right="654"/>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5,723</w:t>
            </w:r>
          </w:p>
        </w:tc>
      </w:tr>
      <w:tr>
        <w:trPr>
          <w:trHeight w:val="178"/>
        </w:trPr>
        <w:tc>
          <w:tcPr>
            <w:tcW w:w="7180" w:type="dxa"/>
            <w:vAlign w:val="bottom"/>
            <w:shd w:val="clear" w:color="auto" w:fill="DBDBDB"/>
          </w:tcPr>
          <w:p>
            <w:pPr>
              <w:ind w:left="460"/>
              <w:spacing w:after="0"/>
              <w:rPr>
                <w:sz w:val="20"/>
                <w:szCs w:val="20"/>
                <w:color w:val="auto"/>
              </w:rPr>
            </w:pPr>
            <w:r>
              <w:rPr>
                <w:rFonts w:ascii="Arial" w:cs="Arial" w:eastAsia="Arial" w:hAnsi="Arial"/>
                <w:sz w:val="13"/>
                <w:szCs w:val="13"/>
                <w:color w:val="auto"/>
              </w:rPr>
              <w:t>Selling, general and administrative</w:t>
            </w:r>
          </w:p>
        </w:tc>
        <w:tc>
          <w:tcPr>
            <w:tcW w:w="460" w:type="dxa"/>
            <w:vAlign w:val="bottom"/>
            <w:shd w:val="clear" w:color="auto" w:fill="DBDBDB"/>
          </w:tcPr>
          <w:p>
            <w:pPr>
              <w:spacing w:after="0"/>
              <w:rPr>
                <w:sz w:val="15"/>
                <w:szCs w:val="15"/>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60,253</w:t>
            </w:r>
          </w:p>
        </w:tc>
        <w:tc>
          <w:tcPr>
            <w:tcW w:w="10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43,482</w:t>
            </w:r>
          </w:p>
        </w:tc>
      </w:tr>
      <w:tr>
        <w:trPr>
          <w:trHeight w:val="172"/>
        </w:trPr>
        <w:tc>
          <w:tcPr>
            <w:tcW w:w="7180" w:type="dxa"/>
            <w:vAlign w:val="bottom"/>
          </w:tcPr>
          <w:p>
            <w:pPr>
              <w:ind w:left="460"/>
              <w:spacing w:after="0"/>
              <w:rPr>
                <w:sz w:val="20"/>
                <w:szCs w:val="20"/>
                <w:color w:val="auto"/>
              </w:rPr>
            </w:pPr>
            <w:r>
              <w:rPr>
                <w:rFonts w:ascii="Arial" w:cs="Arial" w:eastAsia="Arial" w:hAnsi="Arial"/>
                <w:sz w:val="13"/>
                <w:szCs w:val="13"/>
                <w:color w:val="auto"/>
              </w:rPr>
              <w:t>Lease impairment expense and other related charges</w:t>
            </w:r>
          </w:p>
        </w:tc>
        <w:tc>
          <w:tcPr>
            <w:tcW w:w="4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2,028</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2,800</w:t>
            </w:r>
          </w:p>
        </w:tc>
      </w:tr>
      <w:tr>
        <w:trPr>
          <w:trHeight w:val="178"/>
        </w:trPr>
        <w:tc>
          <w:tcPr>
            <w:tcW w:w="7180" w:type="dxa"/>
            <w:vAlign w:val="bottom"/>
            <w:shd w:val="clear" w:color="auto" w:fill="DBDBDB"/>
          </w:tcPr>
          <w:p>
            <w:pPr>
              <w:ind w:left="200"/>
              <w:spacing w:after="0"/>
              <w:rPr>
                <w:sz w:val="20"/>
                <w:szCs w:val="20"/>
                <w:color w:val="auto"/>
              </w:rPr>
            </w:pPr>
            <w:r>
              <w:rPr>
                <w:rFonts w:ascii="Arial" w:cs="Arial" w:eastAsia="Arial" w:hAnsi="Arial"/>
                <w:sz w:val="13"/>
                <w:szCs w:val="13"/>
                <w:color w:val="auto"/>
              </w:rPr>
              <w:t>Short-term lease expense</w:t>
            </w:r>
          </w:p>
        </w:tc>
        <w:tc>
          <w:tcPr>
            <w:tcW w:w="460" w:type="dxa"/>
            <w:vAlign w:val="bottom"/>
            <w:shd w:val="clear" w:color="auto" w:fill="DBDBDB"/>
          </w:tcPr>
          <w:p>
            <w:pPr>
              <w:spacing w:after="0"/>
              <w:rPr>
                <w:sz w:val="15"/>
                <w:szCs w:val="15"/>
                <w:color w:val="auto"/>
              </w:rPr>
            </w:pPr>
          </w:p>
        </w:tc>
        <w:tc>
          <w:tcPr>
            <w:tcW w:w="15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c>
          <w:tcPr>
            <w:tcW w:w="1200" w:type="dxa"/>
            <w:vAlign w:val="bottom"/>
            <w:shd w:val="clear" w:color="auto" w:fill="DBDBDB"/>
          </w:tcPr>
          <w:p>
            <w:pPr>
              <w:spacing w:after="0"/>
              <w:rPr>
                <w:sz w:val="15"/>
                <w:szCs w:val="15"/>
                <w:color w:val="auto"/>
              </w:rPr>
            </w:pPr>
          </w:p>
        </w:tc>
      </w:tr>
      <w:tr>
        <w:trPr>
          <w:trHeight w:val="172"/>
        </w:trPr>
        <w:tc>
          <w:tcPr>
            <w:tcW w:w="7180" w:type="dxa"/>
            <w:vAlign w:val="bottom"/>
          </w:tcPr>
          <w:p>
            <w:pPr>
              <w:ind w:left="460"/>
              <w:spacing w:after="0"/>
              <w:rPr>
                <w:sz w:val="20"/>
                <w:szCs w:val="20"/>
                <w:color w:val="auto"/>
              </w:rPr>
            </w:pPr>
            <w:r>
              <w:rPr>
                <w:rFonts w:ascii="Arial" w:cs="Arial" w:eastAsia="Arial" w:hAnsi="Arial"/>
                <w:sz w:val="13"/>
                <w:szCs w:val="13"/>
                <w:color w:val="auto"/>
              </w:rPr>
              <w:t>Cost of leasing and services</w:t>
            </w:r>
          </w:p>
        </w:tc>
        <w:tc>
          <w:tcPr>
            <w:tcW w:w="4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22,335</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25,576</w:t>
            </w:r>
          </w:p>
        </w:tc>
      </w:tr>
      <w:tr>
        <w:trPr>
          <w:trHeight w:val="178"/>
        </w:trPr>
        <w:tc>
          <w:tcPr>
            <w:tcW w:w="7180" w:type="dxa"/>
            <w:vAlign w:val="bottom"/>
            <w:shd w:val="clear" w:color="auto" w:fill="DBDBDB"/>
          </w:tcPr>
          <w:p>
            <w:pPr>
              <w:ind w:left="460"/>
              <w:spacing w:after="0"/>
              <w:rPr>
                <w:sz w:val="20"/>
                <w:szCs w:val="20"/>
                <w:color w:val="auto"/>
              </w:rPr>
            </w:pPr>
            <w:r>
              <w:rPr>
                <w:rFonts w:ascii="Arial" w:cs="Arial" w:eastAsia="Arial" w:hAnsi="Arial"/>
                <w:sz w:val="13"/>
                <w:szCs w:val="13"/>
                <w:color w:val="auto"/>
              </w:rPr>
              <w:t>Selling, general and administrative</w:t>
            </w:r>
          </w:p>
        </w:tc>
        <w:tc>
          <w:tcPr>
            <w:tcW w:w="460" w:type="dxa"/>
            <w:vAlign w:val="bottom"/>
            <w:shd w:val="clear" w:color="auto" w:fill="DBDBDB"/>
          </w:tcPr>
          <w:p>
            <w:pPr>
              <w:spacing w:after="0"/>
              <w:rPr>
                <w:sz w:val="15"/>
                <w:szCs w:val="15"/>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894</w:t>
            </w:r>
          </w:p>
        </w:tc>
        <w:tc>
          <w:tcPr>
            <w:tcW w:w="10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2,067</w:t>
            </w:r>
          </w:p>
        </w:tc>
      </w:tr>
      <w:tr>
        <w:trPr>
          <w:trHeight w:val="172"/>
        </w:trPr>
        <w:tc>
          <w:tcPr>
            <w:tcW w:w="7180" w:type="dxa"/>
            <w:vAlign w:val="bottom"/>
          </w:tcPr>
          <w:p>
            <w:pPr>
              <w:ind w:left="460"/>
              <w:spacing w:after="0"/>
              <w:rPr>
                <w:sz w:val="20"/>
                <w:szCs w:val="20"/>
                <w:color w:val="auto"/>
              </w:rPr>
            </w:pPr>
            <w:r>
              <w:rPr>
                <w:rFonts w:ascii="Arial" w:cs="Arial" w:eastAsia="Arial" w:hAnsi="Arial"/>
                <w:sz w:val="13"/>
                <w:szCs w:val="13"/>
                <w:color w:val="auto"/>
              </w:rPr>
              <w:t>Lease impairment expense and other related charges</w:t>
            </w:r>
          </w:p>
        </w:tc>
        <w:tc>
          <w:tcPr>
            <w:tcW w:w="460" w:type="dxa"/>
            <w:vAlign w:val="bottom"/>
          </w:tcPr>
          <w:p>
            <w:pPr>
              <w:spacing w:after="0"/>
              <w:rPr>
                <w:sz w:val="14"/>
                <w:szCs w:val="14"/>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471</w:t>
            </w:r>
          </w:p>
        </w:tc>
      </w:tr>
      <w:tr>
        <w:trPr>
          <w:trHeight w:val="178"/>
        </w:trPr>
        <w:tc>
          <w:tcPr>
            <w:tcW w:w="7180" w:type="dxa"/>
            <w:vAlign w:val="bottom"/>
            <w:shd w:val="clear" w:color="auto" w:fill="DBDBDB"/>
          </w:tcPr>
          <w:p>
            <w:pPr>
              <w:ind w:left="200"/>
              <w:spacing w:after="0"/>
              <w:rPr>
                <w:sz w:val="20"/>
                <w:szCs w:val="20"/>
                <w:color w:val="auto"/>
              </w:rPr>
            </w:pPr>
            <w:r>
              <w:rPr>
                <w:rFonts w:ascii="Arial" w:cs="Arial" w:eastAsia="Arial" w:hAnsi="Arial"/>
                <w:sz w:val="13"/>
                <w:szCs w:val="13"/>
                <w:color w:val="auto"/>
              </w:rPr>
              <w:t>Variable lease expense</w:t>
            </w:r>
          </w:p>
        </w:tc>
        <w:tc>
          <w:tcPr>
            <w:tcW w:w="460" w:type="dxa"/>
            <w:vAlign w:val="bottom"/>
            <w:shd w:val="clear" w:color="auto" w:fill="DBDBDB"/>
          </w:tcPr>
          <w:p>
            <w:pPr>
              <w:spacing w:after="0"/>
              <w:rPr>
                <w:sz w:val="15"/>
                <w:szCs w:val="15"/>
                <w:color w:val="auto"/>
              </w:rPr>
            </w:pPr>
          </w:p>
        </w:tc>
        <w:tc>
          <w:tcPr>
            <w:tcW w:w="15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c>
          <w:tcPr>
            <w:tcW w:w="1200" w:type="dxa"/>
            <w:vAlign w:val="bottom"/>
            <w:shd w:val="clear" w:color="auto" w:fill="DBDBDB"/>
          </w:tcPr>
          <w:p>
            <w:pPr>
              <w:spacing w:after="0"/>
              <w:rPr>
                <w:sz w:val="15"/>
                <w:szCs w:val="15"/>
                <w:color w:val="auto"/>
              </w:rPr>
            </w:pPr>
          </w:p>
        </w:tc>
      </w:tr>
      <w:tr>
        <w:trPr>
          <w:trHeight w:val="172"/>
        </w:trPr>
        <w:tc>
          <w:tcPr>
            <w:tcW w:w="7180" w:type="dxa"/>
            <w:vAlign w:val="bottom"/>
          </w:tcPr>
          <w:p>
            <w:pPr>
              <w:ind w:left="460"/>
              <w:spacing w:after="0"/>
              <w:rPr>
                <w:sz w:val="20"/>
                <w:szCs w:val="20"/>
                <w:color w:val="auto"/>
              </w:rPr>
            </w:pPr>
            <w:r>
              <w:rPr>
                <w:rFonts w:ascii="Arial" w:cs="Arial" w:eastAsia="Arial" w:hAnsi="Arial"/>
                <w:sz w:val="13"/>
                <w:szCs w:val="13"/>
                <w:color w:val="auto"/>
              </w:rPr>
              <w:t>Cost of leasing and services</w:t>
            </w:r>
          </w:p>
        </w:tc>
        <w:tc>
          <w:tcPr>
            <w:tcW w:w="4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7,794</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6,981</w:t>
            </w:r>
          </w:p>
        </w:tc>
      </w:tr>
      <w:tr>
        <w:trPr>
          <w:trHeight w:val="178"/>
        </w:trPr>
        <w:tc>
          <w:tcPr>
            <w:tcW w:w="7180" w:type="dxa"/>
            <w:vAlign w:val="bottom"/>
            <w:shd w:val="clear" w:color="auto" w:fill="DBDBDB"/>
          </w:tcPr>
          <w:p>
            <w:pPr>
              <w:ind w:left="460"/>
              <w:spacing w:after="0"/>
              <w:rPr>
                <w:sz w:val="20"/>
                <w:szCs w:val="20"/>
                <w:color w:val="auto"/>
              </w:rPr>
            </w:pPr>
            <w:r>
              <w:rPr>
                <w:rFonts w:ascii="Arial" w:cs="Arial" w:eastAsia="Arial" w:hAnsi="Arial"/>
                <w:sz w:val="13"/>
                <w:szCs w:val="13"/>
                <w:color w:val="auto"/>
              </w:rPr>
              <w:t>Selling, general and administrative</w:t>
            </w:r>
          </w:p>
        </w:tc>
        <w:tc>
          <w:tcPr>
            <w:tcW w:w="460" w:type="dxa"/>
            <w:vAlign w:val="bottom"/>
            <w:shd w:val="clear" w:color="auto" w:fill="DBDBDB"/>
          </w:tcPr>
          <w:p>
            <w:pPr>
              <w:spacing w:after="0"/>
              <w:rPr>
                <w:sz w:val="15"/>
                <w:szCs w:val="15"/>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6,355</w:t>
            </w:r>
          </w:p>
        </w:tc>
        <w:tc>
          <w:tcPr>
            <w:tcW w:w="10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5,436</w:t>
            </w:r>
          </w:p>
        </w:tc>
      </w:tr>
      <w:tr>
        <w:trPr>
          <w:trHeight w:val="172"/>
        </w:trPr>
        <w:tc>
          <w:tcPr>
            <w:tcW w:w="7180" w:type="dxa"/>
            <w:vAlign w:val="bottom"/>
            <w:tcBorders>
              <w:bottom w:val="single" w:sz="8" w:color="DBDBDB"/>
            </w:tcBorders>
          </w:tcPr>
          <w:p>
            <w:pPr>
              <w:ind w:left="460"/>
              <w:spacing w:after="0"/>
              <w:rPr>
                <w:sz w:val="20"/>
                <w:szCs w:val="20"/>
                <w:color w:val="auto"/>
              </w:rPr>
            </w:pPr>
            <w:r>
              <w:rPr>
                <w:rFonts w:ascii="Arial" w:cs="Arial" w:eastAsia="Arial" w:hAnsi="Arial"/>
                <w:sz w:val="13"/>
                <w:szCs w:val="13"/>
                <w:color w:val="auto"/>
              </w:rPr>
              <w:t>Lease impairment expense and other related charges</w:t>
            </w:r>
          </w:p>
        </w:tc>
        <w:tc>
          <w:tcPr>
            <w:tcW w:w="4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492</w:t>
            </w:r>
          </w:p>
        </w:tc>
        <w:tc>
          <w:tcPr>
            <w:tcW w:w="100" w:type="dxa"/>
            <w:vAlign w:val="bottom"/>
            <w:tcBorders>
              <w:bottom w:val="single" w:sz="8" w:color="DBDBDB"/>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855</w:t>
            </w:r>
          </w:p>
        </w:tc>
      </w:tr>
      <w:tr>
        <w:trPr>
          <w:trHeight w:val="194"/>
        </w:trPr>
        <w:tc>
          <w:tcPr>
            <w:tcW w:w="71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Total operating lease expense</w:t>
            </w:r>
          </w:p>
        </w:tc>
        <w:tc>
          <w:tcPr>
            <w:tcW w:w="460" w:type="dxa"/>
            <w:vAlign w:val="bottom"/>
            <w:tcBorders>
              <w:bottom w:val="single" w:sz="8" w:color="auto"/>
            </w:tcBorders>
            <w:shd w:val="clear" w:color="auto" w:fill="DBDBDB"/>
          </w:tcPr>
          <w:p>
            <w:pPr>
              <w:jc w:val="right"/>
              <w:ind w:right="314"/>
              <w:spacing w:after="0"/>
              <w:rPr>
                <w:sz w:val="20"/>
                <w:szCs w:val="20"/>
                <w:color w:val="auto"/>
              </w:rPr>
            </w:pPr>
            <w:r>
              <w:rPr>
                <w:rFonts w:ascii="Arial" w:cs="Arial" w:eastAsia="Arial" w:hAnsi="Arial"/>
                <w:sz w:val="13"/>
                <w:szCs w:val="13"/>
                <w:color w:val="auto"/>
                <w:w w:val="82"/>
              </w:rPr>
              <w:t>$</w:t>
            </w: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104,130</w:t>
            </w:r>
          </w:p>
        </w:tc>
        <w:tc>
          <w:tcPr>
            <w:tcW w:w="100" w:type="dxa"/>
            <w:vAlign w:val="bottom"/>
            <w:tcBorders>
              <w:bottom w:val="single" w:sz="8" w:color="DBDBDB"/>
            </w:tcBorders>
            <w:shd w:val="clear" w:color="auto" w:fill="DBDBDB"/>
          </w:tcPr>
          <w:p>
            <w:pPr>
              <w:spacing w:after="0"/>
              <w:rPr>
                <w:sz w:val="16"/>
                <w:szCs w:val="16"/>
                <w:color w:val="auto"/>
              </w:rPr>
            </w:pPr>
          </w:p>
        </w:tc>
        <w:tc>
          <w:tcPr>
            <w:tcW w:w="800" w:type="dxa"/>
            <w:vAlign w:val="bottom"/>
            <w:tcBorders>
              <w:bottom w:val="single" w:sz="8" w:color="auto"/>
            </w:tcBorders>
            <w:shd w:val="clear" w:color="auto" w:fill="DBDBDB"/>
          </w:tcPr>
          <w:p>
            <w:pPr>
              <w:jc w:val="right"/>
              <w:ind w:right="654"/>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93,391</w:t>
            </w:r>
          </w:p>
        </w:tc>
      </w:tr>
      <w:tr>
        <w:trPr>
          <w:trHeight w:val="20"/>
        </w:trPr>
        <w:tc>
          <w:tcPr>
            <w:tcW w:w="718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5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The Company initiated certain restructuring plans associated with the 2018 acquisition of Modular Space Holdings, Inc. ("ModSpace") and the Merger in order to capture operating synergies as a result of integrating these entities. The restructuring activities primarily included the termination of leases for duplicative branches, equipment, and other facilities. As part of these plans, certain of its leased locations were vacated and leases were terminated or impaired.</w:t>
      </w:r>
    </w:p>
    <w:p>
      <w:pPr>
        <w:spacing w:after="0" w:line="33" w:lineRule="exact"/>
        <w:rPr>
          <w:sz w:val="20"/>
          <w:szCs w:val="20"/>
          <w:color w:val="auto"/>
        </w:rPr>
      </w:pPr>
    </w:p>
    <w:p>
      <w:pPr>
        <w:jc w:val="both"/>
        <w:ind w:firstLine="524"/>
        <w:spacing w:after="0" w:line="248" w:lineRule="auto"/>
        <w:rPr>
          <w:sz w:val="20"/>
          <w:szCs w:val="20"/>
          <w:color w:val="auto"/>
        </w:rPr>
      </w:pPr>
      <w:r>
        <w:rPr>
          <w:rFonts w:ascii="Arial" w:cs="Arial" w:eastAsia="Arial" w:hAnsi="Arial"/>
          <w:sz w:val="13"/>
          <w:szCs w:val="13"/>
          <w:color w:val="auto"/>
        </w:rPr>
        <w:t>During the year ended December 31, 2021, the Company recorded $2.9 million in lease impairment expense and other related charges which is comprised of $0.3 million loss on lease exit and impairment charges and $2.6 million in closed location rent expense. During the year ended December 31, 2020, the Company recorded $4.9 million in lease impairment expense and other related charges which is comprised of $0.7 million loss on lease exit and $4.2 million in closed location rent expense. During the year ended December 31, 2019, the Company recorded $8.7 million in lease impairment expense and other related charges which is comprised of $4.2 million in ROU asset impairment on leased locations no longer used in operations, $1.9 million loss on lease exit and $2.6 million in closed location rent expense.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460" w:type="dxa"/>
            <w:vAlign w:val="bottom"/>
          </w:tcPr>
          <w:p>
            <w:pPr>
              <w:ind w:left="540"/>
              <w:spacing w:after="0"/>
              <w:rPr>
                <w:sz w:val="20"/>
                <w:szCs w:val="20"/>
                <w:color w:val="auto"/>
              </w:rPr>
            </w:pPr>
            <w:r>
              <w:rPr>
                <w:rFonts w:ascii="Arial" w:cs="Arial" w:eastAsia="Arial" w:hAnsi="Arial"/>
                <w:sz w:val="13"/>
                <w:szCs w:val="13"/>
                <w:color w:val="auto"/>
              </w:rPr>
              <w:t>Supplemental</w:t>
            </w:r>
          </w:p>
        </w:tc>
        <w:tc>
          <w:tcPr>
            <w:tcW w:w="520" w:type="dxa"/>
            <w:vAlign w:val="bottom"/>
          </w:tcPr>
          <w:p>
            <w:pPr>
              <w:ind w:left="120"/>
              <w:spacing w:after="0"/>
              <w:rPr>
                <w:sz w:val="20"/>
                <w:szCs w:val="20"/>
                <w:color w:val="auto"/>
              </w:rPr>
            </w:pPr>
            <w:r>
              <w:rPr>
                <w:rFonts w:ascii="Arial" w:cs="Arial" w:eastAsia="Arial" w:hAnsi="Arial"/>
                <w:sz w:val="13"/>
                <w:szCs w:val="13"/>
                <w:color w:val="auto"/>
              </w:rPr>
              <w:t>cash</w:t>
            </w:r>
          </w:p>
        </w:tc>
        <w:tc>
          <w:tcPr>
            <w:tcW w:w="480" w:type="dxa"/>
            <w:vAlign w:val="bottom"/>
          </w:tcPr>
          <w:p>
            <w:pPr>
              <w:ind w:left="120"/>
              <w:spacing w:after="0"/>
              <w:rPr>
                <w:sz w:val="20"/>
                <w:szCs w:val="20"/>
                <w:color w:val="auto"/>
              </w:rPr>
            </w:pPr>
            <w:r>
              <w:rPr>
                <w:rFonts w:ascii="Arial" w:cs="Arial" w:eastAsia="Arial" w:hAnsi="Arial"/>
                <w:sz w:val="13"/>
                <w:szCs w:val="13"/>
                <w:color w:val="auto"/>
              </w:rPr>
              <w:t>flow</w:t>
            </w:r>
          </w:p>
        </w:tc>
        <w:tc>
          <w:tcPr>
            <w:tcW w:w="940" w:type="dxa"/>
            <w:vAlign w:val="bottom"/>
          </w:tcPr>
          <w:p>
            <w:pPr>
              <w:ind w:left="120"/>
              <w:spacing w:after="0"/>
              <w:rPr>
                <w:sz w:val="20"/>
                <w:szCs w:val="20"/>
                <w:color w:val="auto"/>
              </w:rPr>
            </w:pPr>
            <w:r>
              <w:rPr>
                <w:rFonts w:ascii="Arial" w:cs="Arial" w:eastAsia="Arial" w:hAnsi="Arial"/>
                <w:sz w:val="13"/>
                <w:szCs w:val="13"/>
                <w:color w:val="auto"/>
              </w:rPr>
              <w:t>information</w:t>
            </w:r>
          </w:p>
        </w:tc>
        <w:tc>
          <w:tcPr>
            <w:tcW w:w="600" w:type="dxa"/>
            <w:vAlign w:val="bottom"/>
          </w:tcPr>
          <w:p>
            <w:pPr>
              <w:ind w:left="80"/>
              <w:spacing w:after="0"/>
              <w:rPr>
                <w:sz w:val="20"/>
                <w:szCs w:val="20"/>
                <w:color w:val="auto"/>
              </w:rPr>
            </w:pPr>
            <w:r>
              <w:rPr>
                <w:rFonts w:ascii="Arial" w:cs="Arial" w:eastAsia="Arial" w:hAnsi="Arial"/>
                <w:sz w:val="13"/>
                <w:szCs w:val="13"/>
                <w:color w:val="auto"/>
              </w:rPr>
              <w:t>related</w:t>
            </w:r>
          </w:p>
        </w:tc>
        <w:tc>
          <w:tcPr>
            <w:tcW w:w="360" w:type="dxa"/>
            <w:vAlign w:val="bottom"/>
          </w:tcPr>
          <w:p>
            <w:pPr>
              <w:ind w:left="120"/>
              <w:spacing w:after="0"/>
              <w:rPr>
                <w:sz w:val="20"/>
                <w:szCs w:val="20"/>
                <w:color w:val="auto"/>
              </w:rPr>
            </w:pPr>
            <w:r>
              <w:rPr>
                <w:rFonts w:ascii="Arial" w:cs="Arial" w:eastAsia="Arial" w:hAnsi="Arial"/>
                <w:sz w:val="13"/>
                <w:szCs w:val="13"/>
                <w:color w:val="auto"/>
              </w:rPr>
              <w:t>to</w:t>
            </w:r>
          </w:p>
        </w:tc>
        <w:tc>
          <w:tcPr>
            <w:tcW w:w="620" w:type="dxa"/>
            <w:vAlign w:val="bottom"/>
          </w:tcPr>
          <w:p>
            <w:pPr>
              <w:ind w:left="120"/>
              <w:spacing w:after="0"/>
              <w:rPr>
                <w:sz w:val="20"/>
                <w:szCs w:val="20"/>
                <w:color w:val="auto"/>
              </w:rPr>
            </w:pPr>
            <w:r>
              <w:rPr>
                <w:rFonts w:ascii="Arial" w:cs="Arial" w:eastAsia="Arial" w:hAnsi="Arial"/>
                <w:sz w:val="13"/>
                <w:szCs w:val="13"/>
                <w:color w:val="auto"/>
              </w:rPr>
              <w:t>leases</w:t>
            </w:r>
          </w:p>
        </w:tc>
        <w:tc>
          <w:tcPr>
            <w:tcW w:w="400" w:type="dxa"/>
            <w:vAlign w:val="bottom"/>
          </w:tcPr>
          <w:p>
            <w:pPr>
              <w:ind w:left="120"/>
              <w:spacing w:after="0"/>
              <w:rPr>
                <w:sz w:val="20"/>
                <w:szCs w:val="20"/>
                <w:color w:val="auto"/>
              </w:rPr>
            </w:pPr>
            <w:r>
              <w:rPr>
                <w:rFonts w:ascii="Arial" w:cs="Arial" w:eastAsia="Arial" w:hAnsi="Arial"/>
                <w:sz w:val="13"/>
                <w:szCs w:val="13"/>
                <w:color w:val="auto"/>
              </w:rPr>
              <w:t>for</w:t>
            </w:r>
          </w:p>
        </w:tc>
        <w:tc>
          <w:tcPr>
            <w:tcW w:w="420" w:type="dxa"/>
            <w:vAlign w:val="bottom"/>
          </w:tcPr>
          <w:p>
            <w:pPr>
              <w:ind w:left="120"/>
              <w:spacing w:after="0"/>
              <w:rPr>
                <w:sz w:val="20"/>
                <w:szCs w:val="20"/>
                <w:color w:val="auto"/>
              </w:rPr>
            </w:pPr>
            <w:r>
              <w:rPr>
                <w:rFonts w:ascii="Arial" w:cs="Arial" w:eastAsia="Arial" w:hAnsi="Arial"/>
                <w:sz w:val="13"/>
                <w:szCs w:val="13"/>
                <w:color w:val="auto"/>
              </w:rPr>
              <w:t>the</w:t>
            </w:r>
          </w:p>
        </w:tc>
        <w:tc>
          <w:tcPr>
            <w:tcW w:w="580" w:type="dxa"/>
            <w:vAlign w:val="bottom"/>
          </w:tcPr>
          <w:p>
            <w:pPr>
              <w:ind w:left="120"/>
              <w:spacing w:after="0"/>
              <w:rPr>
                <w:sz w:val="20"/>
                <w:szCs w:val="20"/>
                <w:color w:val="auto"/>
              </w:rPr>
            </w:pPr>
            <w:r>
              <w:rPr>
                <w:rFonts w:ascii="Arial" w:cs="Arial" w:eastAsia="Arial" w:hAnsi="Arial"/>
                <w:sz w:val="13"/>
                <w:szCs w:val="13"/>
                <w:color w:val="auto"/>
              </w:rPr>
              <w:t>years</w:t>
            </w:r>
          </w:p>
        </w:tc>
        <w:tc>
          <w:tcPr>
            <w:tcW w:w="600" w:type="dxa"/>
            <w:vAlign w:val="bottom"/>
          </w:tcPr>
          <w:p>
            <w:pPr>
              <w:jc w:val="right"/>
              <w:ind w:right="54"/>
              <w:spacing w:after="0"/>
              <w:rPr>
                <w:sz w:val="20"/>
                <w:szCs w:val="20"/>
                <w:color w:val="auto"/>
              </w:rPr>
            </w:pPr>
            <w:r>
              <w:rPr>
                <w:rFonts w:ascii="Arial" w:cs="Arial" w:eastAsia="Arial" w:hAnsi="Arial"/>
                <w:sz w:val="13"/>
                <w:szCs w:val="13"/>
                <w:color w:val="auto"/>
              </w:rPr>
              <w:t>ended</w:t>
            </w:r>
          </w:p>
        </w:tc>
        <w:tc>
          <w:tcPr>
            <w:tcW w:w="920" w:type="dxa"/>
            <w:vAlign w:val="bottom"/>
          </w:tcPr>
          <w:p>
            <w:pPr>
              <w:jc w:val="right"/>
              <w:ind w:right="134"/>
              <w:spacing w:after="0"/>
              <w:rPr>
                <w:sz w:val="20"/>
                <w:szCs w:val="20"/>
                <w:color w:val="auto"/>
              </w:rPr>
            </w:pPr>
            <w:r>
              <w:rPr>
                <w:rFonts w:ascii="Arial" w:cs="Arial" w:eastAsia="Arial" w:hAnsi="Arial"/>
                <w:sz w:val="13"/>
                <w:szCs w:val="13"/>
                <w:color w:val="auto"/>
              </w:rPr>
              <w:t>December</w:t>
            </w:r>
          </w:p>
        </w:tc>
        <w:tc>
          <w:tcPr>
            <w:tcW w:w="260" w:type="dxa"/>
            <w:vAlign w:val="bottom"/>
          </w:tcPr>
          <w:p>
            <w:pPr>
              <w:jc w:val="right"/>
              <w:spacing w:after="0"/>
              <w:rPr>
                <w:sz w:val="20"/>
                <w:szCs w:val="20"/>
                <w:color w:val="auto"/>
              </w:rPr>
            </w:pPr>
            <w:r>
              <w:rPr>
                <w:rFonts w:ascii="Arial" w:cs="Arial" w:eastAsia="Arial" w:hAnsi="Arial"/>
                <w:sz w:val="13"/>
                <w:szCs w:val="13"/>
                <w:color w:val="auto"/>
              </w:rPr>
              <w:t>31,</w:t>
            </w:r>
          </w:p>
        </w:tc>
        <w:tc>
          <w:tcPr>
            <w:tcW w:w="640" w:type="dxa"/>
            <w:vAlign w:val="bottom"/>
          </w:tcPr>
          <w:p>
            <w:pPr>
              <w:jc w:val="right"/>
              <w:ind w:right="54"/>
              <w:spacing w:after="0"/>
              <w:rPr>
                <w:sz w:val="20"/>
                <w:szCs w:val="20"/>
                <w:color w:val="auto"/>
              </w:rPr>
            </w:pPr>
            <w:r>
              <w:rPr>
                <w:rFonts w:ascii="Arial" w:cs="Arial" w:eastAsia="Arial" w:hAnsi="Arial"/>
                <w:sz w:val="13"/>
                <w:szCs w:val="13"/>
                <w:color w:val="auto"/>
              </w:rPr>
              <w:t>2021</w:t>
            </w:r>
          </w:p>
        </w:tc>
        <w:tc>
          <w:tcPr>
            <w:tcW w:w="420" w:type="dxa"/>
            <w:vAlign w:val="bottom"/>
          </w:tcPr>
          <w:p>
            <w:pPr>
              <w:ind w:left="120"/>
              <w:spacing w:after="0"/>
              <w:rPr>
                <w:sz w:val="20"/>
                <w:szCs w:val="20"/>
                <w:color w:val="auto"/>
              </w:rPr>
            </w:pPr>
            <w:r>
              <w:rPr>
                <w:rFonts w:ascii="Arial" w:cs="Arial" w:eastAsia="Arial" w:hAnsi="Arial"/>
                <w:sz w:val="13"/>
                <w:szCs w:val="13"/>
                <w:color w:val="auto"/>
              </w:rPr>
              <w:t>and</w:t>
            </w:r>
          </w:p>
        </w:tc>
        <w:tc>
          <w:tcPr>
            <w:tcW w:w="640" w:type="dxa"/>
            <w:vAlign w:val="bottom"/>
          </w:tcPr>
          <w:p>
            <w:pPr>
              <w:jc w:val="right"/>
              <w:ind w:right="114"/>
              <w:spacing w:after="0"/>
              <w:rPr>
                <w:sz w:val="20"/>
                <w:szCs w:val="20"/>
                <w:color w:val="auto"/>
              </w:rPr>
            </w:pPr>
            <w:r>
              <w:rPr>
                <w:rFonts w:ascii="Arial" w:cs="Arial" w:eastAsia="Arial" w:hAnsi="Arial"/>
                <w:sz w:val="13"/>
                <w:szCs w:val="13"/>
                <w:color w:val="auto"/>
              </w:rPr>
              <w:t>2020</w:t>
            </w:r>
          </w:p>
        </w:tc>
        <w:tc>
          <w:tcPr>
            <w:tcW w:w="580" w:type="dxa"/>
            <w:vAlign w:val="bottom"/>
          </w:tcPr>
          <w:p>
            <w:pPr>
              <w:jc w:val="right"/>
              <w:ind w:right="174"/>
              <w:spacing w:after="0"/>
              <w:rPr>
                <w:sz w:val="20"/>
                <w:szCs w:val="20"/>
                <w:color w:val="auto"/>
              </w:rPr>
            </w:pPr>
            <w:r>
              <w:rPr>
                <w:rFonts w:ascii="Arial" w:cs="Arial" w:eastAsia="Arial" w:hAnsi="Arial"/>
                <w:sz w:val="13"/>
                <w:szCs w:val="13"/>
                <w:color w:val="auto"/>
              </w:rPr>
              <w:t>were</w:t>
            </w:r>
          </w:p>
        </w:tc>
        <w:tc>
          <w:tcPr>
            <w:tcW w:w="260" w:type="dxa"/>
            <w:vAlign w:val="bottom"/>
          </w:tcPr>
          <w:p>
            <w:pPr>
              <w:ind w:left="20"/>
              <w:spacing w:after="0"/>
              <w:rPr>
                <w:sz w:val="20"/>
                <w:szCs w:val="20"/>
                <w:color w:val="auto"/>
              </w:rPr>
            </w:pPr>
            <w:r>
              <w:rPr>
                <w:rFonts w:ascii="Arial" w:cs="Arial" w:eastAsia="Arial" w:hAnsi="Arial"/>
                <w:sz w:val="13"/>
                <w:szCs w:val="13"/>
                <w:color w:val="auto"/>
              </w:rPr>
              <w:t>as</w:t>
            </w:r>
          </w:p>
        </w:tc>
        <w:tc>
          <w:tcPr>
            <w:tcW w:w="580" w:type="dxa"/>
            <w:vAlign w:val="bottom"/>
          </w:tcPr>
          <w:p>
            <w:pPr>
              <w:jc w:val="right"/>
              <w:spacing w:after="0"/>
              <w:rPr>
                <w:sz w:val="20"/>
                <w:szCs w:val="20"/>
                <w:color w:val="auto"/>
              </w:rPr>
            </w:pPr>
            <w:r>
              <w:rPr>
                <w:rFonts w:ascii="Arial" w:cs="Arial" w:eastAsia="Arial" w:hAnsi="Arial"/>
                <w:sz w:val="13"/>
                <w:szCs w:val="13"/>
                <w:color w:val="auto"/>
              </w:rPr>
              <w:t>follows:</w:t>
            </w:r>
          </w:p>
        </w:tc>
      </w:tr>
      <w:tr>
        <w:trPr>
          <w:trHeight w:val="181"/>
        </w:trPr>
        <w:tc>
          <w:tcPr>
            <w:tcW w:w="1460" w:type="dxa"/>
            <w:vAlign w:val="bottom"/>
            <w:shd w:val="clear" w:color="auto" w:fill="1D2758"/>
          </w:tcPr>
          <w:p>
            <w:pPr>
              <w:spacing w:after="0"/>
              <w:rPr>
                <w:sz w:val="15"/>
                <w:szCs w:val="15"/>
                <w:color w:val="auto"/>
              </w:rPr>
            </w:pPr>
          </w:p>
        </w:tc>
        <w:tc>
          <w:tcPr>
            <w:tcW w:w="520" w:type="dxa"/>
            <w:vAlign w:val="bottom"/>
            <w:shd w:val="clear" w:color="auto" w:fill="1D2758"/>
          </w:tcPr>
          <w:p>
            <w:pPr>
              <w:spacing w:after="0"/>
              <w:rPr>
                <w:sz w:val="15"/>
                <w:szCs w:val="15"/>
                <w:color w:val="auto"/>
              </w:rPr>
            </w:pPr>
          </w:p>
        </w:tc>
        <w:tc>
          <w:tcPr>
            <w:tcW w:w="480" w:type="dxa"/>
            <w:vAlign w:val="bottom"/>
            <w:shd w:val="clear" w:color="auto" w:fill="1D2758"/>
          </w:tcPr>
          <w:p>
            <w:pPr>
              <w:spacing w:after="0"/>
              <w:rPr>
                <w:sz w:val="15"/>
                <w:szCs w:val="15"/>
                <w:color w:val="auto"/>
              </w:rPr>
            </w:pPr>
          </w:p>
        </w:tc>
        <w:tc>
          <w:tcPr>
            <w:tcW w:w="940" w:type="dxa"/>
            <w:vAlign w:val="bottom"/>
            <w:shd w:val="clear" w:color="auto" w:fill="1D2758"/>
          </w:tcPr>
          <w:p>
            <w:pPr>
              <w:spacing w:after="0"/>
              <w:rPr>
                <w:sz w:val="15"/>
                <w:szCs w:val="15"/>
                <w:color w:val="auto"/>
              </w:rPr>
            </w:pPr>
          </w:p>
        </w:tc>
        <w:tc>
          <w:tcPr>
            <w:tcW w:w="600" w:type="dxa"/>
            <w:vAlign w:val="bottom"/>
            <w:shd w:val="clear" w:color="auto" w:fill="1D2758"/>
          </w:tcPr>
          <w:p>
            <w:pPr>
              <w:spacing w:after="0"/>
              <w:rPr>
                <w:sz w:val="15"/>
                <w:szCs w:val="15"/>
                <w:color w:val="auto"/>
              </w:rPr>
            </w:pPr>
          </w:p>
        </w:tc>
        <w:tc>
          <w:tcPr>
            <w:tcW w:w="360" w:type="dxa"/>
            <w:vAlign w:val="bottom"/>
            <w:shd w:val="clear" w:color="auto" w:fill="1D2758"/>
          </w:tcPr>
          <w:p>
            <w:pPr>
              <w:spacing w:after="0"/>
              <w:rPr>
                <w:sz w:val="15"/>
                <w:szCs w:val="15"/>
                <w:color w:val="auto"/>
              </w:rPr>
            </w:pPr>
          </w:p>
        </w:tc>
        <w:tc>
          <w:tcPr>
            <w:tcW w:w="620" w:type="dxa"/>
            <w:vAlign w:val="bottom"/>
            <w:shd w:val="clear" w:color="auto" w:fill="1D2758"/>
          </w:tcPr>
          <w:p>
            <w:pPr>
              <w:spacing w:after="0"/>
              <w:rPr>
                <w:sz w:val="15"/>
                <w:szCs w:val="15"/>
                <w:color w:val="auto"/>
              </w:rPr>
            </w:pPr>
          </w:p>
        </w:tc>
        <w:tc>
          <w:tcPr>
            <w:tcW w:w="400" w:type="dxa"/>
            <w:vAlign w:val="bottom"/>
            <w:shd w:val="clear" w:color="auto" w:fill="1D2758"/>
          </w:tcPr>
          <w:p>
            <w:pPr>
              <w:spacing w:after="0"/>
              <w:rPr>
                <w:sz w:val="15"/>
                <w:szCs w:val="15"/>
                <w:color w:val="auto"/>
              </w:rPr>
            </w:pPr>
          </w:p>
        </w:tc>
        <w:tc>
          <w:tcPr>
            <w:tcW w:w="420" w:type="dxa"/>
            <w:vAlign w:val="bottom"/>
            <w:shd w:val="clear" w:color="auto" w:fill="1D2758"/>
          </w:tcPr>
          <w:p>
            <w:pPr>
              <w:spacing w:after="0"/>
              <w:rPr>
                <w:sz w:val="15"/>
                <w:szCs w:val="15"/>
                <w:color w:val="auto"/>
              </w:rPr>
            </w:pPr>
          </w:p>
        </w:tc>
        <w:tc>
          <w:tcPr>
            <w:tcW w:w="580" w:type="dxa"/>
            <w:vAlign w:val="bottom"/>
            <w:shd w:val="clear" w:color="auto" w:fill="1D2758"/>
          </w:tcPr>
          <w:p>
            <w:pPr>
              <w:spacing w:after="0"/>
              <w:rPr>
                <w:sz w:val="15"/>
                <w:szCs w:val="15"/>
                <w:color w:val="auto"/>
              </w:rPr>
            </w:pPr>
          </w:p>
        </w:tc>
        <w:tc>
          <w:tcPr>
            <w:tcW w:w="600" w:type="dxa"/>
            <w:vAlign w:val="bottom"/>
            <w:shd w:val="clear" w:color="auto" w:fill="1D2758"/>
          </w:tcPr>
          <w:p>
            <w:pPr>
              <w:spacing w:after="0"/>
              <w:rPr>
                <w:sz w:val="15"/>
                <w:szCs w:val="15"/>
                <w:color w:val="auto"/>
              </w:rPr>
            </w:pPr>
          </w:p>
        </w:tc>
        <w:tc>
          <w:tcPr>
            <w:tcW w:w="920" w:type="dxa"/>
            <w:vAlign w:val="bottom"/>
            <w:shd w:val="clear" w:color="auto" w:fill="1D2758"/>
          </w:tcPr>
          <w:p>
            <w:pPr>
              <w:spacing w:after="0"/>
              <w:rPr>
                <w:sz w:val="15"/>
                <w:szCs w:val="15"/>
                <w:color w:val="auto"/>
              </w:rPr>
            </w:pPr>
          </w:p>
        </w:tc>
        <w:tc>
          <w:tcPr>
            <w:tcW w:w="260" w:type="dxa"/>
            <w:vAlign w:val="bottom"/>
            <w:shd w:val="clear" w:color="auto" w:fill="1D2758"/>
          </w:tcPr>
          <w:p>
            <w:pPr>
              <w:spacing w:after="0"/>
              <w:rPr>
                <w:sz w:val="15"/>
                <w:szCs w:val="15"/>
                <w:color w:val="auto"/>
              </w:rPr>
            </w:pPr>
          </w:p>
        </w:tc>
        <w:tc>
          <w:tcPr>
            <w:tcW w:w="1700" w:type="dxa"/>
            <w:vAlign w:val="bottom"/>
            <w:gridSpan w:val="3"/>
            <w:shd w:val="clear" w:color="auto" w:fill="1D2758"/>
          </w:tcPr>
          <w:p>
            <w:pPr>
              <w:jc w:val="right"/>
              <w:spacing w:after="0"/>
              <w:rPr>
                <w:sz w:val="20"/>
                <w:szCs w:val="20"/>
                <w:color w:val="auto"/>
              </w:rPr>
            </w:pPr>
            <w:r>
              <w:rPr>
                <w:rFonts w:ascii="Arial" w:cs="Arial" w:eastAsia="Arial" w:hAnsi="Arial"/>
                <w:sz w:val="13"/>
                <w:szCs w:val="13"/>
                <w:b w:val="1"/>
                <w:bCs w:val="1"/>
                <w:color w:val="FFFFFF"/>
              </w:rPr>
              <w:t>Year Ended December 31,</w:t>
            </w:r>
          </w:p>
        </w:tc>
        <w:tc>
          <w:tcPr>
            <w:tcW w:w="580" w:type="dxa"/>
            <w:vAlign w:val="bottom"/>
            <w:shd w:val="clear" w:color="auto" w:fill="1D2758"/>
          </w:tcPr>
          <w:p>
            <w:pPr>
              <w:spacing w:after="0"/>
              <w:rPr>
                <w:sz w:val="15"/>
                <w:szCs w:val="15"/>
                <w:color w:val="auto"/>
              </w:rPr>
            </w:pPr>
          </w:p>
        </w:tc>
        <w:tc>
          <w:tcPr>
            <w:tcW w:w="260" w:type="dxa"/>
            <w:vAlign w:val="bottom"/>
            <w:shd w:val="clear" w:color="auto" w:fill="1D2758"/>
          </w:tcPr>
          <w:p>
            <w:pPr>
              <w:spacing w:after="0"/>
              <w:rPr>
                <w:sz w:val="15"/>
                <w:szCs w:val="15"/>
                <w:color w:val="auto"/>
              </w:rPr>
            </w:pPr>
          </w:p>
        </w:tc>
        <w:tc>
          <w:tcPr>
            <w:tcW w:w="580" w:type="dxa"/>
            <w:vAlign w:val="bottom"/>
            <w:shd w:val="clear" w:color="auto" w:fill="1D2758"/>
          </w:tcPr>
          <w:p>
            <w:pPr>
              <w:spacing w:after="0"/>
              <w:rPr>
                <w:sz w:val="15"/>
                <w:szCs w:val="15"/>
                <w:color w:val="auto"/>
              </w:rPr>
            </w:pPr>
          </w:p>
        </w:tc>
      </w:tr>
      <w:tr>
        <w:trPr>
          <w:trHeight w:val="177"/>
        </w:trPr>
        <w:tc>
          <w:tcPr>
            <w:tcW w:w="4000" w:type="dxa"/>
            <w:vAlign w:val="bottom"/>
            <w:gridSpan w:val="5"/>
            <w:shd w:val="clear" w:color="auto" w:fill="1D2758"/>
          </w:tcPr>
          <w:p>
            <w:pPr>
              <w:ind w:left="540"/>
              <w:spacing w:after="0"/>
              <w:rPr>
                <w:sz w:val="20"/>
                <w:szCs w:val="20"/>
                <w:color w:val="auto"/>
              </w:rPr>
            </w:pPr>
            <w:r>
              <w:rPr>
                <w:rFonts w:ascii="Arial" w:cs="Arial" w:eastAsia="Arial" w:hAnsi="Arial"/>
                <w:sz w:val="13"/>
                <w:szCs w:val="13"/>
                <w:b w:val="1"/>
                <w:bCs w:val="1"/>
                <w:color w:val="FFFFFF"/>
              </w:rPr>
              <w:t xml:space="preserve">Supplemental Cash Flow Information </w:t>
            </w:r>
            <w:r>
              <w:rPr>
                <w:rFonts w:ascii="Arial" w:cs="Arial" w:eastAsia="Arial" w:hAnsi="Arial"/>
                <w:sz w:val="13"/>
                <w:szCs w:val="13"/>
                <w:b w:val="1"/>
                <w:bCs w:val="1"/>
                <w:i w:val="1"/>
                <w:iCs w:val="1"/>
                <w:color w:val="FFFFFF"/>
              </w:rPr>
              <w:t>(in thousands)</w:t>
            </w:r>
          </w:p>
        </w:tc>
        <w:tc>
          <w:tcPr>
            <w:tcW w:w="360" w:type="dxa"/>
            <w:vAlign w:val="bottom"/>
            <w:shd w:val="clear" w:color="auto" w:fill="1D2758"/>
          </w:tcPr>
          <w:p>
            <w:pPr>
              <w:spacing w:after="0"/>
              <w:rPr>
                <w:sz w:val="15"/>
                <w:szCs w:val="15"/>
                <w:color w:val="auto"/>
              </w:rPr>
            </w:pPr>
          </w:p>
        </w:tc>
        <w:tc>
          <w:tcPr>
            <w:tcW w:w="620" w:type="dxa"/>
            <w:vAlign w:val="bottom"/>
            <w:shd w:val="clear" w:color="auto" w:fill="1D2758"/>
          </w:tcPr>
          <w:p>
            <w:pPr>
              <w:spacing w:after="0"/>
              <w:rPr>
                <w:sz w:val="15"/>
                <w:szCs w:val="15"/>
                <w:color w:val="auto"/>
              </w:rPr>
            </w:pPr>
          </w:p>
        </w:tc>
        <w:tc>
          <w:tcPr>
            <w:tcW w:w="400" w:type="dxa"/>
            <w:vAlign w:val="bottom"/>
            <w:shd w:val="clear" w:color="auto" w:fill="1D2758"/>
          </w:tcPr>
          <w:p>
            <w:pPr>
              <w:spacing w:after="0"/>
              <w:rPr>
                <w:sz w:val="15"/>
                <w:szCs w:val="15"/>
                <w:color w:val="auto"/>
              </w:rPr>
            </w:pPr>
          </w:p>
        </w:tc>
        <w:tc>
          <w:tcPr>
            <w:tcW w:w="420" w:type="dxa"/>
            <w:vAlign w:val="bottom"/>
            <w:shd w:val="clear" w:color="auto" w:fill="1D2758"/>
          </w:tcPr>
          <w:p>
            <w:pPr>
              <w:spacing w:after="0"/>
              <w:rPr>
                <w:sz w:val="15"/>
                <w:szCs w:val="15"/>
                <w:color w:val="auto"/>
              </w:rPr>
            </w:pPr>
          </w:p>
        </w:tc>
        <w:tc>
          <w:tcPr>
            <w:tcW w:w="580" w:type="dxa"/>
            <w:vAlign w:val="bottom"/>
            <w:shd w:val="clear" w:color="auto" w:fill="1D2758"/>
          </w:tcPr>
          <w:p>
            <w:pPr>
              <w:spacing w:after="0"/>
              <w:rPr>
                <w:sz w:val="15"/>
                <w:szCs w:val="15"/>
                <w:color w:val="auto"/>
              </w:rPr>
            </w:pPr>
          </w:p>
        </w:tc>
        <w:tc>
          <w:tcPr>
            <w:tcW w:w="600" w:type="dxa"/>
            <w:vAlign w:val="bottom"/>
            <w:shd w:val="clear" w:color="auto" w:fill="1D2758"/>
          </w:tcPr>
          <w:p>
            <w:pPr>
              <w:spacing w:after="0"/>
              <w:rPr>
                <w:sz w:val="15"/>
                <w:szCs w:val="15"/>
                <w:color w:val="auto"/>
              </w:rPr>
            </w:pPr>
          </w:p>
        </w:tc>
        <w:tc>
          <w:tcPr>
            <w:tcW w:w="920" w:type="dxa"/>
            <w:vAlign w:val="bottom"/>
            <w:shd w:val="clear" w:color="auto" w:fill="1D2758"/>
          </w:tcPr>
          <w:p>
            <w:pPr>
              <w:jc w:val="right"/>
              <w:spacing w:after="0"/>
              <w:rPr>
                <w:sz w:val="20"/>
                <w:szCs w:val="20"/>
                <w:color w:val="auto"/>
              </w:rPr>
            </w:pPr>
            <w:r>
              <w:rPr>
                <w:rFonts w:ascii="Arial" w:cs="Arial" w:eastAsia="Arial" w:hAnsi="Arial"/>
                <w:sz w:val="13"/>
                <w:szCs w:val="13"/>
                <w:b w:val="1"/>
                <w:bCs w:val="1"/>
                <w:color w:val="FFFFFF"/>
              </w:rPr>
              <w:t>2021</w:t>
            </w:r>
          </w:p>
        </w:tc>
        <w:tc>
          <w:tcPr>
            <w:tcW w:w="260" w:type="dxa"/>
            <w:vAlign w:val="bottom"/>
            <w:shd w:val="clear" w:color="auto" w:fill="1D2758"/>
          </w:tcPr>
          <w:p>
            <w:pPr>
              <w:spacing w:after="0"/>
              <w:rPr>
                <w:sz w:val="15"/>
                <w:szCs w:val="15"/>
                <w:color w:val="auto"/>
              </w:rPr>
            </w:pPr>
          </w:p>
        </w:tc>
        <w:tc>
          <w:tcPr>
            <w:tcW w:w="640" w:type="dxa"/>
            <w:vAlign w:val="bottom"/>
            <w:shd w:val="clear" w:color="auto" w:fill="1D2758"/>
          </w:tcPr>
          <w:p>
            <w:pPr>
              <w:spacing w:after="0"/>
              <w:rPr>
                <w:sz w:val="15"/>
                <w:szCs w:val="15"/>
                <w:color w:val="auto"/>
              </w:rPr>
            </w:pPr>
          </w:p>
        </w:tc>
        <w:tc>
          <w:tcPr>
            <w:tcW w:w="420" w:type="dxa"/>
            <w:vAlign w:val="bottom"/>
            <w:shd w:val="clear" w:color="auto" w:fill="1D2758"/>
          </w:tcPr>
          <w:p>
            <w:pPr>
              <w:spacing w:after="0"/>
              <w:rPr>
                <w:sz w:val="15"/>
                <w:szCs w:val="15"/>
                <w:color w:val="auto"/>
              </w:rPr>
            </w:pPr>
          </w:p>
        </w:tc>
        <w:tc>
          <w:tcPr>
            <w:tcW w:w="640" w:type="dxa"/>
            <w:vAlign w:val="bottom"/>
            <w:shd w:val="clear" w:color="auto" w:fill="1D2758"/>
          </w:tcPr>
          <w:p>
            <w:pPr>
              <w:spacing w:after="0"/>
              <w:rPr>
                <w:sz w:val="15"/>
                <w:szCs w:val="15"/>
                <w:color w:val="auto"/>
              </w:rPr>
            </w:pPr>
          </w:p>
        </w:tc>
        <w:tc>
          <w:tcPr>
            <w:tcW w:w="580" w:type="dxa"/>
            <w:vAlign w:val="bottom"/>
            <w:shd w:val="clear" w:color="auto" w:fill="1D2758"/>
          </w:tcPr>
          <w:p>
            <w:pPr>
              <w:jc w:val="right"/>
              <w:spacing w:after="0"/>
              <w:rPr>
                <w:sz w:val="20"/>
                <w:szCs w:val="20"/>
                <w:color w:val="auto"/>
              </w:rPr>
            </w:pPr>
            <w:r>
              <w:rPr>
                <w:rFonts w:ascii="Arial" w:cs="Arial" w:eastAsia="Arial" w:hAnsi="Arial"/>
                <w:sz w:val="13"/>
                <w:szCs w:val="13"/>
                <w:b w:val="1"/>
                <w:bCs w:val="1"/>
                <w:color w:val="FFFFFF"/>
              </w:rPr>
              <w:t>2020</w:t>
            </w:r>
          </w:p>
        </w:tc>
        <w:tc>
          <w:tcPr>
            <w:tcW w:w="260" w:type="dxa"/>
            <w:vAlign w:val="bottom"/>
            <w:shd w:val="clear" w:color="auto" w:fill="1D2758"/>
          </w:tcPr>
          <w:p>
            <w:pPr>
              <w:spacing w:after="0"/>
              <w:rPr>
                <w:sz w:val="15"/>
                <w:szCs w:val="15"/>
                <w:color w:val="auto"/>
              </w:rPr>
            </w:pPr>
          </w:p>
        </w:tc>
        <w:tc>
          <w:tcPr>
            <w:tcW w:w="580" w:type="dxa"/>
            <w:vAlign w:val="bottom"/>
            <w:shd w:val="clear" w:color="auto" w:fill="1D2758"/>
          </w:tcPr>
          <w:p>
            <w:pPr>
              <w:spacing w:after="0"/>
              <w:rPr>
                <w:sz w:val="15"/>
                <w:szCs w:val="15"/>
                <w:color w:val="auto"/>
              </w:rPr>
            </w:pPr>
          </w:p>
        </w:tc>
      </w:tr>
      <w:tr>
        <w:trPr>
          <w:trHeight w:val="175"/>
        </w:trPr>
        <w:tc>
          <w:tcPr>
            <w:tcW w:w="4980" w:type="dxa"/>
            <w:vAlign w:val="bottom"/>
            <w:gridSpan w:val="7"/>
            <w:shd w:val="clear" w:color="auto" w:fill="DBDBDB"/>
          </w:tcPr>
          <w:p>
            <w:pPr>
              <w:ind w:left="540"/>
              <w:spacing w:after="0"/>
              <w:rPr>
                <w:sz w:val="20"/>
                <w:szCs w:val="20"/>
                <w:color w:val="auto"/>
              </w:rPr>
            </w:pPr>
            <w:r>
              <w:rPr>
                <w:rFonts w:ascii="Arial" w:cs="Arial" w:eastAsia="Arial" w:hAnsi="Arial"/>
                <w:sz w:val="13"/>
                <w:szCs w:val="13"/>
                <w:color w:val="auto"/>
              </w:rPr>
              <w:t>Cash paid for the amounts included in the measurement of lease liabilities:</w:t>
            </w:r>
          </w:p>
        </w:tc>
        <w:tc>
          <w:tcPr>
            <w:tcW w:w="40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60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64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64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r>
      <w:tr>
        <w:trPr>
          <w:trHeight w:val="172"/>
        </w:trPr>
        <w:tc>
          <w:tcPr>
            <w:tcW w:w="3400" w:type="dxa"/>
            <w:vAlign w:val="bottom"/>
            <w:gridSpan w:val="4"/>
          </w:tcPr>
          <w:p>
            <w:pPr>
              <w:ind w:left="640"/>
              <w:spacing w:after="0"/>
              <w:rPr>
                <w:sz w:val="20"/>
                <w:szCs w:val="20"/>
                <w:color w:val="auto"/>
              </w:rPr>
            </w:pPr>
            <w:r>
              <w:rPr>
                <w:rFonts w:ascii="Arial" w:cs="Arial" w:eastAsia="Arial" w:hAnsi="Arial"/>
                <w:sz w:val="13"/>
                <w:szCs w:val="13"/>
                <w:color w:val="auto"/>
              </w:rPr>
              <w:t>Operating cash outflows from operating leases</w:t>
            </w: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jc w:val="right"/>
              <w:ind w:right="114"/>
              <w:spacing w:after="0"/>
              <w:rPr>
                <w:sz w:val="20"/>
                <w:szCs w:val="20"/>
                <w:color w:val="auto"/>
              </w:rPr>
            </w:pPr>
            <w:r>
              <w:rPr>
                <w:rFonts w:ascii="Arial" w:cs="Arial" w:eastAsia="Arial" w:hAnsi="Arial"/>
                <w:sz w:val="13"/>
                <w:szCs w:val="13"/>
                <w:color w:val="auto"/>
              </w:rPr>
              <w:t>65,101</w:t>
            </w:r>
          </w:p>
        </w:tc>
        <w:tc>
          <w:tcPr>
            <w:tcW w:w="420" w:type="dxa"/>
            <w:vAlign w:val="bottom"/>
          </w:tcPr>
          <w:p>
            <w:pPr>
              <w:spacing w:after="0"/>
              <w:rPr>
                <w:sz w:val="14"/>
                <w:szCs w:val="14"/>
                <w:color w:val="auto"/>
              </w:rPr>
            </w:pPr>
          </w:p>
        </w:tc>
        <w:tc>
          <w:tcPr>
            <w:tcW w:w="640" w:type="dxa"/>
            <w:vAlign w:val="bottom"/>
          </w:tcPr>
          <w:p>
            <w:pPr>
              <w:jc w:val="right"/>
              <w:ind w:right="414"/>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45,883</w:t>
            </w:r>
          </w:p>
        </w:tc>
      </w:tr>
      <w:tr>
        <w:trPr>
          <w:trHeight w:val="178"/>
        </w:trPr>
        <w:tc>
          <w:tcPr>
            <w:tcW w:w="3400" w:type="dxa"/>
            <w:vAlign w:val="bottom"/>
            <w:gridSpan w:val="4"/>
            <w:shd w:val="clear" w:color="auto" w:fill="DBDBDB"/>
          </w:tcPr>
          <w:p>
            <w:pPr>
              <w:ind w:left="640"/>
              <w:spacing w:after="0"/>
              <w:rPr>
                <w:sz w:val="20"/>
                <w:szCs w:val="20"/>
                <w:color w:val="auto"/>
              </w:rPr>
            </w:pPr>
            <w:r>
              <w:rPr>
                <w:rFonts w:ascii="Arial" w:cs="Arial" w:eastAsia="Arial" w:hAnsi="Arial"/>
                <w:sz w:val="13"/>
                <w:szCs w:val="13"/>
                <w:color w:val="auto"/>
              </w:rPr>
              <w:t>Operating cash outflows from finance leases</w:t>
            </w:r>
          </w:p>
        </w:tc>
        <w:tc>
          <w:tcPr>
            <w:tcW w:w="60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62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600" w:type="dxa"/>
            <w:vAlign w:val="bottom"/>
            <w:shd w:val="clear" w:color="auto" w:fill="DBDBDB"/>
          </w:tcPr>
          <w:p>
            <w:pPr>
              <w:jc w:val="right"/>
              <w:ind w:right="114"/>
              <w:spacing w:after="0"/>
              <w:rPr>
                <w:sz w:val="20"/>
                <w:szCs w:val="20"/>
                <w:color w:val="auto"/>
              </w:rPr>
            </w:pPr>
            <w:r>
              <w:rPr>
                <w:rFonts w:ascii="Arial" w:cs="Arial" w:eastAsia="Arial" w:hAnsi="Arial"/>
                <w:sz w:val="13"/>
                <w:szCs w:val="13"/>
                <w:color w:val="auto"/>
              </w:rPr>
              <w:t>$</w:t>
            </w:r>
          </w:p>
        </w:tc>
        <w:tc>
          <w:tcPr>
            <w:tcW w:w="92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640" w:type="dxa"/>
            <w:vAlign w:val="bottom"/>
            <w:shd w:val="clear" w:color="auto" w:fill="DBDBDB"/>
          </w:tcPr>
          <w:p>
            <w:pPr>
              <w:jc w:val="right"/>
              <w:ind w:right="114"/>
              <w:spacing w:after="0"/>
              <w:rPr>
                <w:sz w:val="20"/>
                <w:szCs w:val="20"/>
                <w:color w:val="auto"/>
              </w:rPr>
            </w:pPr>
            <w:r>
              <w:rPr>
                <w:rFonts w:ascii="Arial" w:cs="Arial" w:eastAsia="Arial" w:hAnsi="Arial"/>
                <w:sz w:val="13"/>
                <w:szCs w:val="13"/>
                <w:color w:val="auto"/>
              </w:rPr>
              <w:t>2,309</w:t>
            </w:r>
          </w:p>
        </w:tc>
        <w:tc>
          <w:tcPr>
            <w:tcW w:w="420" w:type="dxa"/>
            <w:vAlign w:val="bottom"/>
            <w:shd w:val="clear" w:color="auto" w:fill="DBDBDB"/>
          </w:tcPr>
          <w:p>
            <w:pPr>
              <w:spacing w:after="0"/>
              <w:rPr>
                <w:sz w:val="15"/>
                <w:szCs w:val="15"/>
                <w:color w:val="auto"/>
              </w:rPr>
            </w:pPr>
          </w:p>
        </w:tc>
        <w:tc>
          <w:tcPr>
            <w:tcW w:w="640" w:type="dxa"/>
            <w:vAlign w:val="bottom"/>
            <w:shd w:val="clear" w:color="auto" w:fill="DBDBDB"/>
          </w:tcPr>
          <w:p>
            <w:pPr>
              <w:jc w:val="right"/>
              <w:ind w:right="414"/>
              <w:spacing w:after="0"/>
              <w:rPr>
                <w:sz w:val="20"/>
                <w:szCs w:val="20"/>
                <w:color w:val="auto"/>
              </w:rPr>
            </w:pPr>
            <w:r>
              <w:rPr>
                <w:rFonts w:ascii="Arial" w:cs="Arial" w:eastAsia="Arial" w:hAnsi="Arial"/>
                <w:sz w:val="13"/>
                <w:szCs w:val="13"/>
                <w:color w:val="auto"/>
              </w:rPr>
              <w:t>$</w:t>
            </w:r>
          </w:p>
        </w:tc>
        <w:tc>
          <w:tcPr>
            <w:tcW w:w="5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1,058</w:t>
            </w:r>
          </w:p>
        </w:tc>
      </w:tr>
      <w:tr>
        <w:trPr>
          <w:trHeight w:val="172"/>
        </w:trPr>
        <w:tc>
          <w:tcPr>
            <w:tcW w:w="3400" w:type="dxa"/>
            <w:vAlign w:val="bottom"/>
            <w:gridSpan w:val="4"/>
          </w:tcPr>
          <w:p>
            <w:pPr>
              <w:ind w:left="640"/>
              <w:spacing w:after="0"/>
              <w:rPr>
                <w:sz w:val="20"/>
                <w:szCs w:val="20"/>
                <w:color w:val="auto"/>
              </w:rPr>
            </w:pPr>
            <w:r>
              <w:rPr>
                <w:rFonts w:ascii="Arial" w:cs="Arial" w:eastAsia="Arial" w:hAnsi="Arial"/>
                <w:sz w:val="13"/>
                <w:szCs w:val="13"/>
                <w:color w:val="auto"/>
              </w:rPr>
              <w:t>Financing cash outflows from finance leases</w:t>
            </w: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jc w:val="right"/>
              <w:ind w:right="114"/>
              <w:spacing w:after="0"/>
              <w:rPr>
                <w:sz w:val="20"/>
                <w:szCs w:val="20"/>
                <w:color w:val="auto"/>
              </w:rPr>
            </w:pPr>
            <w:r>
              <w:rPr>
                <w:rFonts w:ascii="Arial" w:cs="Arial" w:eastAsia="Arial" w:hAnsi="Arial"/>
                <w:sz w:val="13"/>
                <w:szCs w:val="13"/>
                <w:color w:val="auto"/>
              </w:rPr>
              <w:t>17,399</w:t>
            </w:r>
          </w:p>
        </w:tc>
        <w:tc>
          <w:tcPr>
            <w:tcW w:w="420" w:type="dxa"/>
            <w:vAlign w:val="bottom"/>
          </w:tcPr>
          <w:p>
            <w:pPr>
              <w:spacing w:after="0"/>
              <w:rPr>
                <w:sz w:val="14"/>
                <w:szCs w:val="14"/>
                <w:color w:val="auto"/>
              </w:rPr>
            </w:pPr>
          </w:p>
        </w:tc>
        <w:tc>
          <w:tcPr>
            <w:tcW w:w="640" w:type="dxa"/>
            <w:vAlign w:val="bottom"/>
          </w:tcPr>
          <w:p>
            <w:pPr>
              <w:jc w:val="right"/>
              <w:ind w:right="414"/>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8,510</w:t>
            </w:r>
          </w:p>
        </w:tc>
      </w:tr>
      <w:tr>
        <w:trPr>
          <w:trHeight w:val="210"/>
        </w:trPr>
        <w:tc>
          <w:tcPr>
            <w:tcW w:w="4360" w:type="dxa"/>
            <w:vAlign w:val="bottom"/>
            <w:gridSpan w:val="6"/>
            <w:shd w:val="clear" w:color="auto" w:fill="DBDBDB"/>
          </w:tcPr>
          <w:p>
            <w:pPr>
              <w:spacing w:after="0"/>
              <w:rPr>
                <w:sz w:val="18"/>
                <w:szCs w:val="18"/>
                <w:color w:val="auto"/>
              </w:rPr>
            </w:pPr>
          </w:p>
        </w:tc>
        <w:tc>
          <w:tcPr>
            <w:tcW w:w="62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58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5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580" w:type="dxa"/>
            <w:vAlign w:val="bottom"/>
            <w:shd w:val="clear" w:color="auto" w:fill="DBDBDB"/>
          </w:tcPr>
          <w:p>
            <w:pPr>
              <w:spacing w:after="0"/>
              <w:rPr>
                <w:sz w:val="18"/>
                <w:szCs w:val="18"/>
                <w:color w:val="auto"/>
              </w:rPr>
            </w:pPr>
          </w:p>
        </w:tc>
      </w:tr>
      <w:tr>
        <w:trPr>
          <w:trHeight w:val="172"/>
        </w:trPr>
        <w:tc>
          <w:tcPr>
            <w:tcW w:w="4360" w:type="dxa"/>
            <w:vAlign w:val="bottom"/>
            <w:gridSpan w:val="6"/>
          </w:tcPr>
          <w:p>
            <w:pPr>
              <w:ind w:left="540"/>
              <w:spacing w:after="0"/>
              <w:rPr>
                <w:sz w:val="20"/>
                <w:szCs w:val="20"/>
                <w:color w:val="auto"/>
              </w:rPr>
            </w:pPr>
            <w:r>
              <w:rPr>
                <w:rFonts w:ascii="Arial" w:cs="Arial" w:eastAsia="Arial" w:hAnsi="Arial"/>
                <w:sz w:val="13"/>
                <w:szCs w:val="13"/>
                <w:color w:val="auto"/>
              </w:rPr>
              <w:t>Right of use assets obtained in exchange for lease obligations</w:t>
            </w: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jc w:val="right"/>
              <w:ind w:right="114"/>
              <w:spacing w:after="0"/>
              <w:rPr>
                <w:sz w:val="20"/>
                <w:szCs w:val="20"/>
                <w:color w:val="auto"/>
              </w:rPr>
            </w:pPr>
            <w:r>
              <w:rPr>
                <w:rFonts w:ascii="Arial" w:cs="Arial" w:eastAsia="Arial" w:hAnsi="Arial"/>
                <w:sz w:val="13"/>
                <w:szCs w:val="13"/>
                <w:color w:val="auto"/>
              </w:rPr>
              <w:t>70,439</w:t>
            </w:r>
          </w:p>
        </w:tc>
        <w:tc>
          <w:tcPr>
            <w:tcW w:w="420" w:type="dxa"/>
            <w:vAlign w:val="bottom"/>
          </w:tcPr>
          <w:p>
            <w:pPr>
              <w:spacing w:after="0"/>
              <w:rPr>
                <w:sz w:val="14"/>
                <w:szCs w:val="14"/>
                <w:color w:val="auto"/>
              </w:rPr>
            </w:pPr>
          </w:p>
        </w:tc>
        <w:tc>
          <w:tcPr>
            <w:tcW w:w="640" w:type="dxa"/>
            <w:vAlign w:val="bottom"/>
          </w:tcPr>
          <w:p>
            <w:pPr>
              <w:jc w:val="right"/>
              <w:ind w:right="414"/>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33,576</w:t>
            </w:r>
          </w:p>
        </w:tc>
      </w:tr>
      <w:tr>
        <w:trPr>
          <w:trHeight w:val="178"/>
        </w:trPr>
        <w:tc>
          <w:tcPr>
            <w:tcW w:w="3400" w:type="dxa"/>
            <w:vAlign w:val="bottom"/>
            <w:gridSpan w:val="4"/>
            <w:shd w:val="clear" w:color="auto" w:fill="DBDBDB"/>
          </w:tcPr>
          <w:p>
            <w:pPr>
              <w:ind w:left="540"/>
              <w:spacing w:after="0"/>
              <w:rPr>
                <w:sz w:val="20"/>
                <w:szCs w:val="20"/>
                <w:color w:val="auto"/>
              </w:rPr>
            </w:pPr>
            <w:r>
              <w:rPr>
                <w:rFonts w:ascii="Arial" w:cs="Arial" w:eastAsia="Arial" w:hAnsi="Arial"/>
                <w:sz w:val="13"/>
                <w:szCs w:val="13"/>
                <w:color w:val="auto"/>
              </w:rPr>
              <w:t>Assets obtained in exchange for finance leases</w:t>
            </w:r>
          </w:p>
        </w:tc>
        <w:tc>
          <w:tcPr>
            <w:tcW w:w="60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62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600" w:type="dxa"/>
            <w:vAlign w:val="bottom"/>
            <w:shd w:val="clear" w:color="auto" w:fill="DBDBDB"/>
          </w:tcPr>
          <w:p>
            <w:pPr>
              <w:jc w:val="right"/>
              <w:ind w:right="114"/>
              <w:spacing w:after="0"/>
              <w:rPr>
                <w:sz w:val="20"/>
                <w:szCs w:val="20"/>
                <w:color w:val="auto"/>
              </w:rPr>
            </w:pPr>
            <w:r>
              <w:rPr>
                <w:rFonts w:ascii="Arial" w:cs="Arial" w:eastAsia="Arial" w:hAnsi="Arial"/>
                <w:sz w:val="13"/>
                <w:szCs w:val="13"/>
                <w:color w:val="auto"/>
              </w:rPr>
              <w:t>$</w:t>
            </w:r>
          </w:p>
        </w:tc>
        <w:tc>
          <w:tcPr>
            <w:tcW w:w="92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640" w:type="dxa"/>
            <w:vAlign w:val="bottom"/>
            <w:shd w:val="clear" w:color="auto" w:fill="DBDBDB"/>
          </w:tcPr>
          <w:p>
            <w:pPr>
              <w:jc w:val="right"/>
              <w:ind w:right="114"/>
              <w:spacing w:after="0"/>
              <w:rPr>
                <w:sz w:val="20"/>
                <w:szCs w:val="20"/>
                <w:color w:val="auto"/>
              </w:rPr>
            </w:pPr>
            <w:r>
              <w:rPr>
                <w:rFonts w:ascii="Arial" w:cs="Arial" w:eastAsia="Arial" w:hAnsi="Arial"/>
                <w:sz w:val="13"/>
                <w:szCs w:val="13"/>
                <w:color w:val="auto"/>
              </w:rPr>
              <w:t>27,835</w:t>
            </w:r>
          </w:p>
        </w:tc>
        <w:tc>
          <w:tcPr>
            <w:tcW w:w="420" w:type="dxa"/>
            <w:vAlign w:val="bottom"/>
            <w:shd w:val="clear" w:color="auto" w:fill="DBDBDB"/>
          </w:tcPr>
          <w:p>
            <w:pPr>
              <w:spacing w:after="0"/>
              <w:rPr>
                <w:sz w:val="15"/>
                <w:szCs w:val="15"/>
                <w:color w:val="auto"/>
              </w:rPr>
            </w:pPr>
          </w:p>
        </w:tc>
        <w:tc>
          <w:tcPr>
            <w:tcW w:w="640" w:type="dxa"/>
            <w:vAlign w:val="bottom"/>
            <w:shd w:val="clear" w:color="auto" w:fill="DBDBDB"/>
          </w:tcPr>
          <w:p>
            <w:pPr>
              <w:jc w:val="right"/>
              <w:ind w:right="414"/>
              <w:spacing w:after="0"/>
              <w:rPr>
                <w:sz w:val="20"/>
                <w:szCs w:val="20"/>
                <w:color w:val="auto"/>
              </w:rPr>
            </w:pPr>
            <w:r>
              <w:rPr>
                <w:rFonts w:ascii="Arial" w:cs="Arial" w:eastAsia="Arial" w:hAnsi="Arial"/>
                <w:sz w:val="13"/>
                <w:szCs w:val="13"/>
                <w:color w:val="auto"/>
              </w:rPr>
              <w:t>$</w:t>
            </w:r>
          </w:p>
        </w:tc>
        <w:tc>
          <w:tcPr>
            <w:tcW w:w="58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9,089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60" w:right="31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65"/>
        </w:trPr>
        <w:tc>
          <w:tcPr>
            <w:tcW w:w="8200" w:type="dxa"/>
            <w:vAlign w:val="bottom"/>
          </w:tcPr>
          <w:p>
            <w:pPr>
              <w:ind w:left="540"/>
              <w:spacing w:after="0"/>
              <w:rPr>
                <w:sz w:val="20"/>
                <w:szCs w:val="20"/>
                <w:color w:val="auto"/>
              </w:rPr>
            </w:pPr>
            <w:r>
              <w:rPr>
                <w:rFonts w:ascii="Arial" w:cs="Arial" w:eastAsia="Arial" w:hAnsi="Arial"/>
                <w:sz w:val="13"/>
                <w:szCs w:val="13"/>
                <w:color w:val="auto"/>
              </w:rPr>
              <w:t>Weighted-average remaining operating lease terms and the weighted average discount rates as of December 31 were as follows:</w:t>
            </w:r>
          </w:p>
        </w:tc>
        <w:tc>
          <w:tcPr>
            <w:tcW w:w="16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83"/>
        </w:trPr>
        <w:tc>
          <w:tcPr>
            <w:tcW w:w="8200" w:type="dxa"/>
            <w:vAlign w:val="bottom"/>
            <w:shd w:val="clear" w:color="auto" w:fill="1D2758"/>
          </w:tcPr>
          <w:p>
            <w:pPr>
              <w:ind w:left="20"/>
              <w:spacing w:after="0"/>
              <w:rPr>
                <w:sz w:val="20"/>
                <w:szCs w:val="20"/>
                <w:color w:val="auto"/>
              </w:rPr>
            </w:pPr>
            <w:r>
              <w:rPr>
                <w:rFonts w:ascii="Arial" w:cs="Arial" w:eastAsia="Arial" w:hAnsi="Arial"/>
                <w:sz w:val="13"/>
                <w:szCs w:val="13"/>
                <w:b w:val="1"/>
                <w:bCs w:val="1"/>
                <w:color w:val="FFFFFF"/>
              </w:rPr>
              <w:t>Lease Terms and Discount Rates</w:t>
            </w:r>
          </w:p>
        </w:tc>
        <w:tc>
          <w:tcPr>
            <w:tcW w:w="1620" w:type="dxa"/>
            <w:vAlign w:val="bottom"/>
            <w:shd w:val="clear" w:color="auto" w:fill="1D2758"/>
          </w:tcPr>
          <w:p>
            <w:pPr>
              <w:jc w:val="right"/>
              <w:ind w:right="1074"/>
              <w:spacing w:after="0"/>
              <w:rPr>
                <w:sz w:val="20"/>
                <w:szCs w:val="20"/>
                <w:color w:val="auto"/>
              </w:rPr>
            </w:pPr>
            <w:r>
              <w:rPr>
                <w:rFonts w:ascii="Arial" w:cs="Arial" w:eastAsia="Arial" w:hAnsi="Arial"/>
                <w:sz w:val="13"/>
                <w:szCs w:val="13"/>
                <w:b w:val="1"/>
                <w:bCs w:val="1"/>
                <w:color w:val="FFFFFF"/>
              </w:rPr>
              <w:t>2021</w:t>
            </w:r>
          </w:p>
        </w:tc>
        <w:tc>
          <w:tcPr>
            <w:tcW w:w="1460" w:type="dxa"/>
            <w:vAlign w:val="bottom"/>
            <w:shd w:val="clear" w:color="auto" w:fill="1D2758"/>
          </w:tcPr>
          <w:p>
            <w:pPr>
              <w:jc w:val="right"/>
              <w:ind w:right="674"/>
              <w:spacing w:after="0"/>
              <w:rPr>
                <w:sz w:val="20"/>
                <w:szCs w:val="20"/>
                <w:color w:val="auto"/>
              </w:rPr>
            </w:pPr>
            <w:r>
              <w:rPr>
                <w:rFonts w:ascii="Arial" w:cs="Arial" w:eastAsia="Arial" w:hAnsi="Arial"/>
                <w:sz w:val="13"/>
                <w:szCs w:val="13"/>
                <w:b w:val="1"/>
                <w:bCs w:val="1"/>
                <w:color w:val="FFFFFF"/>
              </w:rPr>
              <w:t>2020</w:t>
            </w:r>
          </w:p>
        </w:tc>
      </w:tr>
      <w:tr>
        <w:trPr>
          <w:trHeight w:val="175"/>
        </w:trPr>
        <w:tc>
          <w:tcPr>
            <w:tcW w:w="8200" w:type="dxa"/>
            <w:vAlign w:val="bottom"/>
            <w:shd w:val="clear" w:color="auto" w:fill="DBDBDB"/>
          </w:tcPr>
          <w:p>
            <w:pPr>
              <w:ind w:left="20"/>
              <w:spacing w:after="0"/>
              <w:rPr>
                <w:sz w:val="20"/>
                <w:szCs w:val="20"/>
                <w:color w:val="auto"/>
              </w:rPr>
            </w:pPr>
            <w:r>
              <w:rPr>
                <w:rFonts w:ascii="Arial" w:cs="Arial" w:eastAsia="Arial" w:hAnsi="Arial"/>
                <w:sz w:val="13"/>
                <w:szCs w:val="13"/>
                <w:color w:val="auto"/>
              </w:rPr>
              <w:t>Weighted-average remaining lease term - operating leases</w:t>
            </w:r>
          </w:p>
        </w:tc>
        <w:tc>
          <w:tcPr>
            <w:tcW w:w="1620" w:type="dxa"/>
            <w:vAlign w:val="bottom"/>
            <w:shd w:val="clear" w:color="auto" w:fill="DBDBDB"/>
          </w:tcPr>
          <w:p>
            <w:pPr>
              <w:jc w:val="right"/>
              <w:ind w:right="354"/>
              <w:spacing w:after="0"/>
              <w:rPr>
                <w:sz w:val="20"/>
                <w:szCs w:val="20"/>
                <w:color w:val="auto"/>
              </w:rPr>
            </w:pPr>
            <w:r>
              <w:rPr>
                <w:rFonts w:ascii="Arial" w:cs="Arial" w:eastAsia="Arial" w:hAnsi="Arial"/>
                <w:sz w:val="13"/>
                <w:szCs w:val="13"/>
                <w:color w:val="auto"/>
              </w:rPr>
              <w:t>6.1 years</w:t>
            </w:r>
          </w:p>
        </w:tc>
        <w:tc>
          <w:tcPr>
            <w:tcW w:w="14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6.4 years</w:t>
            </w:r>
          </w:p>
        </w:tc>
      </w:tr>
      <w:tr>
        <w:trPr>
          <w:trHeight w:val="172"/>
        </w:trPr>
        <w:tc>
          <w:tcPr>
            <w:tcW w:w="8200" w:type="dxa"/>
            <w:vAlign w:val="bottom"/>
          </w:tcPr>
          <w:p>
            <w:pPr>
              <w:ind w:left="20"/>
              <w:spacing w:after="0"/>
              <w:rPr>
                <w:sz w:val="20"/>
                <w:szCs w:val="20"/>
                <w:color w:val="auto"/>
              </w:rPr>
            </w:pPr>
            <w:r>
              <w:rPr>
                <w:rFonts w:ascii="Arial" w:cs="Arial" w:eastAsia="Arial" w:hAnsi="Arial"/>
                <w:sz w:val="13"/>
                <w:szCs w:val="13"/>
                <w:color w:val="auto"/>
              </w:rPr>
              <w:t>Weighted-average discount rate - operating leases</w:t>
            </w:r>
          </w:p>
        </w:tc>
        <w:tc>
          <w:tcPr>
            <w:tcW w:w="1620" w:type="dxa"/>
            <w:vAlign w:val="bottom"/>
          </w:tcPr>
          <w:p>
            <w:pPr>
              <w:jc w:val="right"/>
              <w:ind w:right="354"/>
              <w:spacing w:after="0"/>
              <w:rPr>
                <w:sz w:val="20"/>
                <w:szCs w:val="20"/>
                <w:color w:val="auto"/>
              </w:rPr>
            </w:pPr>
            <w:r>
              <w:rPr>
                <w:rFonts w:ascii="Arial" w:cs="Arial" w:eastAsia="Arial" w:hAnsi="Arial"/>
                <w:sz w:val="13"/>
                <w:szCs w:val="13"/>
                <w:color w:val="auto"/>
              </w:rPr>
              <w:t>5.0 %</w:t>
            </w:r>
          </w:p>
        </w:tc>
        <w:tc>
          <w:tcPr>
            <w:tcW w:w="1460" w:type="dxa"/>
            <w:vAlign w:val="bottom"/>
          </w:tcPr>
          <w:p>
            <w:pPr>
              <w:jc w:val="right"/>
              <w:spacing w:after="0"/>
              <w:rPr>
                <w:sz w:val="20"/>
                <w:szCs w:val="20"/>
                <w:color w:val="auto"/>
              </w:rPr>
            </w:pPr>
            <w:r>
              <w:rPr>
                <w:rFonts w:ascii="Arial" w:cs="Arial" w:eastAsia="Arial" w:hAnsi="Arial"/>
                <w:sz w:val="13"/>
                <w:szCs w:val="13"/>
                <w:color w:val="auto"/>
              </w:rPr>
              <w:t>5.7 %</w:t>
            </w:r>
          </w:p>
        </w:tc>
      </w:tr>
      <w:tr>
        <w:trPr>
          <w:trHeight w:val="178"/>
        </w:trPr>
        <w:tc>
          <w:tcPr>
            <w:tcW w:w="8200" w:type="dxa"/>
            <w:vAlign w:val="bottom"/>
            <w:shd w:val="clear" w:color="auto" w:fill="DBDBDB"/>
          </w:tcPr>
          <w:p>
            <w:pPr>
              <w:ind w:left="20"/>
              <w:spacing w:after="0"/>
              <w:rPr>
                <w:sz w:val="20"/>
                <w:szCs w:val="20"/>
                <w:color w:val="auto"/>
              </w:rPr>
            </w:pPr>
            <w:r>
              <w:rPr>
                <w:rFonts w:ascii="Arial" w:cs="Arial" w:eastAsia="Arial" w:hAnsi="Arial"/>
                <w:sz w:val="13"/>
                <w:szCs w:val="13"/>
                <w:color w:val="auto"/>
              </w:rPr>
              <w:t>Weighted-average remaining lease term - finance leases</w:t>
            </w:r>
          </w:p>
        </w:tc>
        <w:tc>
          <w:tcPr>
            <w:tcW w:w="1620" w:type="dxa"/>
            <w:vAlign w:val="bottom"/>
            <w:shd w:val="clear" w:color="auto" w:fill="DBDBDB"/>
          </w:tcPr>
          <w:p>
            <w:pPr>
              <w:jc w:val="right"/>
              <w:ind w:right="354"/>
              <w:spacing w:after="0"/>
              <w:rPr>
                <w:sz w:val="20"/>
                <w:szCs w:val="20"/>
                <w:color w:val="auto"/>
              </w:rPr>
            </w:pPr>
            <w:r>
              <w:rPr>
                <w:rFonts w:ascii="Arial" w:cs="Arial" w:eastAsia="Arial" w:hAnsi="Arial"/>
                <w:sz w:val="13"/>
                <w:szCs w:val="13"/>
                <w:color w:val="auto"/>
              </w:rPr>
              <w:t>4.5 years</w:t>
            </w:r>
          </w:p>
        </w:tc>
        <w:tc>
          <w:tcPr>
            <w:tcW w:w="14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4.6 years</w:t>
            </w:r>
          </w:p>
        </w:tc>
      </w:tr>
      <w:tr>
        <w:trPr>
          <w:trHeight w:val="169"/>
        </w:trPr>
        <w:tc>
          <w:tcPr>
            <w:tcW w:w="8200" w:type="dxa"/>
            <w:vAlign w:val="bottom"/>
          </w:tcPr>
          <w:p>
            <w:pPr>
              <w:ind w:left="20"/>
              <w:spacing w:after="0"/>
              <w:rPr>
                <w:sz w:val="20"/>
                <w:szCs w:val="20"/>
                <w:color w:val="auto"/>
              </w:rPr>
            </w:pPr>
            <w:r>
              <w:rPr>
                <w:rFonts w:ascii="Arial" w:cs="Arial" w:eastAsia="Arial" w:hAnsi="Arial"/>
                <w:sz w:val="13"/>
                <w:szCs w:val="13"/>
                <w:color w:val="auto"/>
              </w:rPr>
              <w:t>Weighted-average discount rate - finance leases</w:t>
            </w:r>
          </w:p>
        </w:tc>
        <w:tc>
          <w:tcPr>
            <w:tcW w:w="1620" w:type="dxa"/>
            <w:vAlign w:val="bottom"/>
          </w:tcPr>
          <w:p>
            <w:pPr>
              <w:jc w:val="right"/>
              <w:ind w:right="354"/>
              <w:spacing w:after="0"/>
              <w:rPr>
                <w:sz w:val="20"/>
                <w:szCs w:val="20"/>
                <w:color w:val="auto"/>
              </w:rPr>
            </w:pPr>
            <w:r>
              <w:rPr>
                <w:rFonts w:ascii="Arial" w:cs="Arial" w:eastAsia="Arial" w:hAnsi="Arial"/>
                <w:sz w:val="13"/>
                <w:szCs w:val="13"/>
                <w:color w:val="auto"/>
              </w:rPr>
              <w:t>2.9 %</w:t>
            </w:r>
          </w:p>
        </w:tc>
        <w:tc>
          <w:tcPr>
            <w:tcW w:w="1460" w:type="dxa"/>
            <w:vAlign w:val="bottom"/>
          </w:tcPr>
          <w:p>
            <w:pPr>
              <w:jc w:val="right"/>
              <w:spacing w:after="0"/>
              <w:rPr>
                <w:sz w:val="20"/>
                <w:szCs w:val="20"/>
                <w:color w:val="auto"/>
              </w:rPr>
            </w:pPr>
            <w:r>
              <w:rPr>
                <w:rFonts w:ascii="Arial" w:cs="Arial" w:eastAsia="Arial" w:hAnsi="Arial"/>
                <w:sz w:val="13"/>
                <w:szCs w:val="13"/>
                <w:color w:val="auto"/>
              </w:rPr>
              <w:t>2.9 %</w:t>
            </w:r>
          </w:p>
        </w:tc>
      </w:tr>
    </w:tbl>
    <w:p>
      <w:pPr>
        <w:spacing w:after="0" w:line="282" w:lineRule="exact"/>
        <w:rPr>
          <w:sz w:val="20"/>
          <w:szCs w:val="20"/>
          <w:color w:val="auto"/>
        </w:rPr>
      </w:pPr>
    </w:p>
    <w:p>
      <w:pPr>
        <w:spacing w:after="0"/>
        <w:rPr>
          <w:sz w:val="20"/>
          <w:szCs w:val="20"/>
          <w:color w:val="auto"/>
        </w:rPr>
      </w:pPr>
      <w:r>
        <w:rPr>
          <w:rFonts w:ascii="Arial" w:cs="Arial" w:eastAsia="Arial" w:hAnsi="Arial"/>
          <w:sz w:val="19"/>
          <w:szCs w:val="19"/>
          <w:color w:val="1D2758"/>
        </w:rPr>
        <w:t>NOTE 5 - Inventories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940" w:type="dxa"/>
            <w:vAlign w:val="bottom"/>
          </w:tcPr>
          <w:p>
            <w:pPr>
              <w:ind w:left="540"/>
              <w:spacing w:after="0"/>
              <w:rPr>
                <w:sz w:val="20"/>
                <w:szCs w:val="20"/>
                <w:color w:val="auto"/>
              </w:rPr>
            </w:pPr>
            <w:r>
              <w:rPr>
                <w:rFonts w:ascii="Arial" w:cs="Arial" w:eastAsia="Arial" w:hAnsi="Arial"/>
                <w:sz w:val="13"/>
                <w:szCs w:val="13"/>
                <w:color w:val="auto"/>
              </w:rPr>
              <w:t>Inventories at December 31, consisted of the following:</w:t>
            </w: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83"/>
        </w:trPr>
        <w:tc>
          <w:tcPr>
            <w:tcW w:w="6940" w:type="dxa"/>
            <w:vAlign w:val="bottom"/>
            <w:shd w:val="clear" w:color="auto" w:fill="1D2758"/>
          </w:tcPr>
          <w:p>
            <w:pPr>
              <w:ind w:left="540"/>
              <w:spacing w:after="0"/>
              <w:rPr>
                <w:sz w:val="20"/>
                <w:szCs w:val="20"/>
                <w:color w:val="auto"/>
              </w:rPr>
            </w:pPr>
            <w:r>
              <w:rPr>
                <w:rFonts w:ascii="Arial" w:cs="Arial" w:eastAsia="Arial" w:hAnsi="Arial"/>
                <w:sz w:val="13"/>
                <w:szCs w:val="13"/>
                <w:b w:val="1"/>
                <w:bCs w:val="1"/>
                <w:i w:val="1"/>
                <w:iCs w:val="1"/>
                <w:color w:val="FFFFFF"/>
              </w:rPr>
              <w:t>(in thousands)</w:t>
            </w:r>
          </w:p>
        </w:tc>
        <w:tc>
          <w:tcPr>
            <w:tcW w:w="880" w:type="dxa"/>
            <w:vAlign w:val="bottom"/>
            <w:shd w:val="clear" w:color="auto" w:fill="1D2758"/>
          </w:tcPr>
          <w:p>
            <w:pPr>
              <w:spacing w:after="0"/>
              <w:rPr>
                <w:sz w:val="15"/>
                <w:szCs w:val="15"/>
                <w:color w:val="auto"/>
              </w:rPr>
            </w:pPr>
          </w:p>
        </w:tc>
        <w:tc>
          <w:tcPr>
            <w:tcW w:w="1240" w:type="dxa"/>
            <w:vAlign w:val="bottom"/>
            <w:shd w:val="clear" w:color="auto" w:fill="1D2758"/>
          </w:tcPr>
          <w:p>
            <w:pPr>
              <w:jc w:val="right"/>
              <w:ind w:right="594"/>
              <w:spacing w:after="0"/>
              <w:rPr>
                <w:sz w:val="20"/>
                <w:szCs w:val="20"/>
                <w:color w:val="auto"/>
              </w:rPr>
            </w:pPr>
            <w:r>
              <w:rPr>
                <w:rFonts w:ascii="Arial" w:cs="Arial" w:eastAsia="Arial" w:hAnsi="Arial"/>
                <w:sz w:val="13"/>
                <w:szCs w:val="13"/>
                <w:b w:val="1"/>
                <w:bCs w:val="1"/>
                <w:color w:val="FFFFFF"/>
              </w:rPr>
              <w:t>2021</w:t>
            </w:r>
          </w:p>
        </w:tc>
        <w:tc>
          <w:tcPr>
            <w:tcW w:w="100" w:type="dxa"/>
            <w:vAlign w:val="bottom"/>
            <w:shd w:val="clear" w:color="auto" w:fill="1D2758"/>
          </w:tcPr>
          <w:p>
            <w:pPr>
              <w:spacing w:after="0"/>
              <w:rPr>
                <w:sz w:val="15"/>
                <w:szCs w:val="15"/>
                <w:color w:val="auto"/>
              </w:rPr>
            </w:pPr>
          </w:p>
        </w:tc>
        <w:tc>
          <w:tcPr>
            <w:tcW w:w="880" w:type="dxa"/>
            <w:vAlign w:val="bottom"/>
            <w:shd w:val="clear" w:color="auto" w:fill="1D2758"/>
          </w:tcPr>
          <w:p>
            <w:pPr>
              <w:spacing w:after="0"/>
              <w:rPr>
                <w:sz w:val="15"/>
                <w:szCs w:val="15"/>
                <w:color w:val="auto"/>
              </w:rPr>
            </w:pPr>
          </w:p>
        </w:tc>
        <w:tc>
          <w:tcPr>
            <w:tcW w:w="1240" w:type="dxa"/>
            <w:vAlign w:val="bottom"/>
            <w:shd w:val="clear" w:color="auto" w:fill="1D2758"/>
          </w:tcPr>
          <w:p>
            <w:pPr>
              <w:jc w:val="right"/>
              <w:ind w:right="594"/>
              <w:spacing w:after="0"/>
              <w:rPr>
                <w:sz w:val="20"/>
                <w:szCs w:val="20"/>
                <w:color w:val="auto"/>
              </w:rPr>
            </w:pPr>
            <w:r>
              <w:rPr>
                <w:rFonts w:ascii="Arial" w:cs="Arial" w:eastAsia="Arial" w:hAnsi="Arial"/>
                <w:sz w:val="13"/>
                <w:szCs w:val="13"/>
                <w:b w:val="1"/>
                <w:bCs w:val="1"/>
                <w:color w:val="FFFFFF"/>
              </w:rPr>
              <w:t>2020</w:t>
            </w:r>
          </w:p>
        </w:tc>
      </w:tr>
      <w:tr>
        <w:trPr>
          <w:trHeight w:val="175"/>
        </w:trPr>
        <w:tc>
          <w:tcPr>
            <w:tcW w:w="6940" w:type="dxa"/>
            <w:vAlign w:val="bottom"/>
            <w:shd w:val="clear" w:color="auto" w:fill="DBDBDB"/>
          </w:tcPr>
          <w:p>
            <w:pPr>
              <w:ind w:left="540"/>
              <w:spacing w:after="0"/>
              <w:rPr>
                <w:sz w:val="20"/>
                <w:szCs w:val="20"/>
                <w:color w:val="auto"/>
              </w:rPr>
            </w:pPr>
            <w:r>
              <w:rPr>
                <w:rFonts w:ascii="Arial" w:cs="Arial" w:eastAsia="Arial" w:hAnsi="Arial"/>
                <w:sz w:val="13"/>
                <w:szCs w:val="13"/>
                <w:color w:val="auto"/>
              </w:rPr>
              <w:t>Raw materials</w:t>
            </w:r>
          </w:p>
        </w:tc>
        <w:tc>
          <w:tcPr>
            <w:tcW w:w="880" w:type="dxa"/>
            <w:vAlign w:val="bottom"/>
            <w:shd w:val="clear" w:color="auto" w:fill="DBDBDB"/>
          </w:tcPr>
          <w:p>
            <w:pPr>
              <w:jc w:val="right"/>
              <w:ind w:right="214"/>
              <w:spacing w:after="0"/>
              <w:rPr>
                <w:sz w:val="20"/>
                <w:szCs w:val="20"/>
                <w:color w:val="auto"/>
              </w:rPr>
            </w:pPr>
            <w:r>
              <w:rPr>
                <w:rFonts w:ascii="Arial" w:cs="Arial" w:eastAsia="Arial" w:hAnsi="Arial"/>
                <w:sz w:val="13"/>
                <w:szCs w:val="13"/>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26,854</w:t>
            </w:r>
          </w:p>
        </w:tc>
        <w:tc>
          <w:tcPr>
            <w:tcW w:w="100" w:type="dxa"/>
            <w:vAlign w:val="bottom"/>
            <w:shd w:val="clear" w:color="auto" w:fill="DBDBDB"/>
          </w:tcPr>
          <w:p>
            <w:pPr>
              <w:spacing w:after="0"/>
              <w:rPr>
                <w:sz w:val="15"/>
                <w:szCs w:val="15"/>
                <w:color w:val="auto"/>
              </w:rPr>
            </w:pPr>
          </w:p>
        </w:tc>
        <w:tc>
          <w:tcPr>
            <w:tcW w:w="880" w:type="dxa"/>
            <w:vAlign w:val="bottom"/>
            <w:shd w:val="clear" w:color="auto" w:fill="DBDBDB"/>
          </w:tcPr>
          <w:p>
            <w:pPr>
              <w:jc w:val="right"/>
              <w:ind w:right="214"/>
              <w:spacing w:after="0"/>
              <w:rPr>
                <w:sz w:val="20"/>
                <w:szCs w:val="20"/>
                <w:color w:val="auto"/>
              </w:rPr>
            </w:pPr>
            <w:r>
              <w:rPr>
                <w:rFonts w:ascii="Arial" w:cs="Arial" w:eastAsia="Arial" w:hAnsi="Arial"/>
                <w:sz w:val="13"/>
                <w:szCs w:val="13"/>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19,560</w:t>
            </w:r>
          </w:p>
        </w:tc>
      </w:tr>
      <w:tr>
        <w:trPr>
          <w:trHeight w:val="172"/>
        </w:trPr>
        <w:tc>
          <w:tcPr>
            <w:tcW w:w="6940" w:type="dxa"/>
            <w:vAlign w:val="bottom"/>
            <w:tcBorders>
              <w:bottom w:val="single" w:sz="8" w:color="DBDBDB"/>
            </w:tcBorders>
          </w:tcPr>
          <w:p>
            <w:pPr>
              <w:ind w:left="540"/>
              <w:spacing w:after="0"/>
              <w:rPr>
                <w:sz w:val="20"/>
                <w:szCs w:val="20"/>
                <w:color w:val="auto"/>
              </w:rPr>
            </w:pPr>
            <w:r>
              <w:rPr>
                <w:rFonts w:ascii="Arial" w:cs="Arial" w:eastAsia="Arial" w:hAnsi="Arial"/>
                <w:sz w:val="13"/>
                <w:szCs w:val="13"/>
                <w:color w:val="auto"/>
              </w:rPr>
              <w:t>Finished units</w:t>
            </w:r>
          </w:p>
        </w:tc>
        <w:tc>
          <w:tcPr>
            <w:tcW w:w="8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5,885</w:t>
            </w:r>
          </w:p>
        </w:tc>
        <w:tc>
          <w:tcPr>
            <w:tcW w:w="100" w:type="dxa"/>
            <w:vAlign w:val="bottom"/>
            <w:tcBorders>
              <w:bottom w:val="single" w:sz="8" w:color="DBDBDB"/>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4,171</w:t>
            </w:r>
          </w:p>
        </w:tc>
      </w:tr>
      <w:tr>
        <w:trPr>
          <w:trHeight w:val="194"/>
        </w:trPr>
        <w:tc>
          <w:tcPr>
            <w:tcW w:w="6940" w:type="dxa"/>
            <w:vAlign w:val="bottom"/>
            <w:tcBorders>
              <w:bottom w:val="single" w:sz="8" w:color="DBDBDB"/>
            </w:tcBorders>
            <w:shd w:val="clear" w:color="auto" w:fill="DBDBDB"/>
          </w:tcPr>
          <w:p>
            <w:pPr>
              <w:ind w:left="720"/>
              <w:spacing w:after="0"/>
              <w:rPr>
                <w:sz w:val="20"/>
                <w:szCs w:val="20"/>
                <w:color w:val="auto"/>
              </w:rPr>
            </w:pPr>
            <w:r>
              <w:rPr>
                <w:rFonts w:ascii="Arial" w:cs="Arial" w:eastAsia="Arial" w:hAnsi="Arial"/>
                <w:sz w:val="13"/>
                <w:szCs w:val="13"/>
                <w:color w:val="auto"/>
              </w:rPr>
              <w:t>Inventories</w:t>
            </w:r>
          </w:p>
        </w:tc>
        <w:tc>
          <w:tcPr>
            <w:tcW w:w="880" w:type="dxa"/>
            <w:vAlign w:val="bottom"/>
            <w:tcBorders>
              <w:bottom w:val="single" w:sz="8" w:color="auto"/>
            </w:tcBorders>
            <w:shd w:val="clear" w:color="auto" w:fill="DBDBDB"/>
          </w:tcPr>
          <w:p>
            <w:pPr>
              <w:jc w:val="right"/>
              <w:ind w:right="214"/>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32,739</w:t>
            </w:r>
          </w:p>
        </w:tc>
        <w:tc>
          <w:tcPr>
            <w:tcW w:w="10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auto"/>
            </w:tcBorders>
            <w:shd w:val="clear" w:color="auto" w:fill="DBDBDB"/>
          </w:tcPr>
          <w:p>
            <w:pPr>
              <w:jc w:val="right"/>
              <w:ind w:right="214"/>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23,731</w:t>
            </w:r>
          </w:p>
        </w:tc>
      </w:tr>
      <w:tr>
        <w:trPr>
          <w:trHeight w:val="20"/>
        </w:trPr>
        <w:tc>
          <w:tcPr>
            <w:tcW w:w="6940" w:type="dxa"/>
            <w:vAlign w:val="bottom"/>
            <w:tcBorders>
              <w:top w:val="single" w:sz="8" w:color="DBDBDB"/>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1D2758"/>
        </w:rPr>
        <w:t>NOTE 6 - Rental Equipment, net</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800" w:type="dxa"/>
            <w:vAlign w:val="bottom"/>
          </w:tcPr>
          <w:p>
            <w:pPr>
              <w:ind w:left="540"/>
              <w:spacing w:after="0"/>
              <w:rPr>
                <w:sz w:val="20"/>
                <w:szCs w:val="20"/>
                <w:color w:val="auto"/>
              </w:rPr>
            </w:pPr>
            <w:r>
              <w:rPr>
                <w:rFonts w:ascii="Arial" w:cs="Arial" w:eastAsia="Arial" w:hAnsi="Arial"/>
                <w:sz w:val="13"/>
                <w:szCs w:val="13"/>
                <w:color w:val="auto"/>
              </w:rPr>
              <w:t>Rental equipment, net at December 31 consisted of the following:</w:t>
            </w: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60"/>
        </w:trPr>
        <w:tc>
          <w:tcPr>
            <w:tcW w:w="7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175"/>
        </w:trPr>
        <w:tc>
          <w:tcPr>
            <w:tcW w:w="780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400" w:type="dxa"/>
            <w:vAlign w:val="bottom"/>
            <w:shd w:val="clear" w:color="auto" w:fill="1D2758"/>
          </w:tcPr>
          <w:p>
            <w:pPr>
              <w:spacing w:after="0"/>
              <w:rPr>
                <w:sz w:val="15"/>
                <w:szCs w:val="15"/>
                <w:color w:val="auto"/>
              </w:rPr>
            </w:pPr>
          </w:p>
        </w:tc>
        <w:tc>
          <w:tcPr>
            <w:tcW w:w="1300" w:type="dxa"/>
            <w:vAlign w:val="bottom"/>
            <w:shd w:val="clear" w:color="auto" w:fill="1D2758"/>
          </w:tcPr>
          <w:p>
            <w:pPr>
              <w:jc w:val="right"/>
              <w:ind w:right="634"/>
              <w:spacing w:after="0"/>
              <w:rPr>
                <w:sz w:val="20"/>
                <w:szCs w:val="20"/>
                <w:color w:val="auto"/>
              </w:rPr>
            </w:pPr>
            <w:r>
              <w:rPr>
                <w:rFonts w:ascii="Arial" w:cs="Arial" w:eastAsia="Arial" w:hAnsi="Arial"/>
                <w:sz w:val="13"/>
                <w:szCs w:val="13"/>
                <w:b w:val="1"/>
                <w:bCs w:val="1"/>
                <w:color w:val="FFFFFF"/>
              </w:rPr>
              <w:t>2021</w:t>
            </w:r>
          </w:p>
        </w:tc>
        <w:tc>
          <w:tcPr>
            <w:tcW w:w="80" w:type="dxa"/>
            <w:vAlign w:val="bottom"/>
            <w:shd w:val="clear" w:color="auto" w:fill="1D2758"/>
          </w:tcPr>
          <w:p>
            <w:pPr>
              <w:spacing w:after="0"/>
              <w:rPr>
                <w:sz w:val="15"/>
                <w:szCs w:val="15"/>
                <w:color w:val="auto"/>
              </w:rPr>
            </w:pPr>
          </w:p>
        </w:tc>
        <w:tc>
          <w:tcPr>
            <w:tcW w:w="400" w:type="dxa"/>
            <w:vAlign w:val="bottom"/>
            <w:shd w:val="clear" w:color="auto" w:fill="1D2758"/>
          </w:tcPr>
          <w:p>
            <w:pPr>
              <w:spacing w:after="0"/>
              <w:rPr>
                <w:sz w:val="15"/>
                <w:szCs w:val="15"/>
                <w:color w:val="auto"/>
              </w:rPr>
            </w:pPr>
          </w:p>
        </w:tc>
        <w:tc>
          <w:tcPr>
            <w:tcW w:w="1300" w:type="dxa"/>
            <w:vAlign w:val="bottom"/>
            <w:shd w:val="clear" w:color="auto" w:fill="1D2758"/>
          </w:tcPr>
          <w:p>
            <w:pPr>
              <w:jc w:val="right"/>
              <w:ind w:right="634"/>
              <w:spacing w:after="0"/>
              <w:rPr>
                <w:sz w:val="20"/>
                <w:szCs w:val="20"/>
                <w:color w:val="auto"/>
              </w:rPr>
            </w:pPr>
            <w:r>
              <w:rPr>
                <w:rFonts w:ascii="Arial" w:cs="Arial" w:eastAsia="Arial" w:hAnsi="Arial"/>
                <w:sz w:val="13"/>
                <w:szCs w:val="13"/>
                <w:b w:val="1"/>
                <w:bCs w:val="1"/>
                <w:color w:val="FFFFFF"/>
              </w:rPr>
              <w:t>2020</w:t>
            </w:r>
          </w:p>
        </w:tc>
      </w:tr>
      <w:tr>
        <w:trPr>
          <w:trHeight w:val="175"/>
        </w:trPr>
        <w:tc>
          <w:tcPr>
            <w:tcW w:w="7800" w:type="dxa"/>
            <w:vAlign w:val="bottom"/>
            <w:shd w:val="clear" w:color="auto" w:fill="DBDBDB"/>
          </w:tcPr>
          <w:p>
            <w:pPr>
              <w:ind w:left="20"/>
              <w:spacing w:after="0"/>
              <w:rPr>
                <w:sz w:val="20"/>
                <w:szCs w:val="20"/>
                <w:color w:val="auto"/>
              </w:rPr>
            </w:pPr>
            <w:r>
              <w:rPr>
                <w:rFonts w:ascii="Arial" w:cs="Arial" w:eastAsia="Arial" w:hAnsi="Arial"/>
                <w:sz w:val="13"/>
                <w:szCs w:val="13"/>
                <w:color w:val="auto"/>
              </w:rPr>
              <w:t>Modular space units</w:t>
            </w:r>
          </w:p>
        </w:tc>
        <w:tc>
          <w:tcPr>
            <w:tcW w:w="400" w:type="dxa"/>
            <w:vAlign w:val="bottom"/>
            <w:shd w:val="clear" w:color="auto" w:fill="DBDBDB"/>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3,005,195</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2,796,284</w:t>
            </w:r>
          </w:p>
        </w:tc>
      </w:tr>
      <w:tr>
        <w:trPr>
          <w:trHeight w:val="172"/>
        </w:trPr>
        <w:tc>
          <w:tcPr>
            <w:tcW w:w="7800" w:type="dxa"/>
            <w:vAlign w:val="bottom"/>
          </w:tcPr>
          <w:p>
            <w:pPr>
              <w:ind w:left="20"/>
              <w:spacing w:after="0"/>
              <w:rPr>
                <w:sz w:val="20"/>
                <w:szCs w:val="20"/>
                <w:color w:val="auto"/>
              </w:rPr>
            </w:pPr>
            <w:r>
              <w:rPr>
                <w:rFonts w:ascii="Arial" w:cs="Arial" w:eastAsia="Arial" w:hAnsi="Arial"/>
                <w:sz w:val="13"/>
                <w:szCs w:val="13"/>
                <w:color w:val="auto"/>
              </w:rPr>
              <w:t>Portable storage units</w:t>
            </w: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758,619</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653,707</w:t>
            </w:r>
          </w:p>
        </w:tc>
      </w:tr>
      <w:tr>
        <w:trPr>
          <w:trHeight w:val="178"/>
        </w:trPr>
        <w:tc>
          <w:tcPr>
            <w:tcW w:w="7800" w:type="dxa"/>
            <w:vAlign w:val="bottom"/>
            <w:shd w:val="clear" w:color="auto" w:fill="DBDBDB"/>
          </w:tcPr>
          <w:p>
            <w:pPr>
              <w:ind w:left="20"/>
              <w:spacing w:after="0"/>
              <w:rPr>
                <w:sz w:val="20"/>
                <w:szCs w:val="20"/>
                <w:color w:val="auto"/>
              </w:rPr>
            </w:pPr>
            <w:r>
              <w:rPr>
                <w:rFonts w:ascii="Arial" w:cs="Arial" w:eastAsia="Arial" w:hAnsi="Arial"/>
                <w:sz w:val="13"/>
                <w:szCs w:val="13"/>
                <w:color w:val="auto"/>
              </w:rPr>
              <w:t>Tank and pump products</w:t>
            </w: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156,112</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132,071</w:t>
            </w:r>
          </w:p>
        </w:tc>
      </w:tr>
      <w:tr>
        <w:trPr>
          <w:trHeight w:val="172"/>
        </w:trPr>
        <w:tc>
          <w:tcPr>
            <w:tcW w:w="780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Value added products</w:t>
            </w: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168,419</w:t>
            </w:r>
          </w:p>
        </w:tc>
        <w:tc>
          <w:tcPr>
            <w:tcW w:w="80" w:type="dxa"/>
            <w:vAlign w:val="bottom"/>
            <w:tcBorders>
              <w:bottom w:val="single" w:sz="8" w:color="DBDBDB"/>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143,652</w:t>
            </w:r>
          </w:p>
        </w:tc>
      </w:tr>
      <w:tr>
        <w:trPr>
          <w:trHeight w:val="169"/>
        </w:trPr>
        <w:tc>
          <w:tcPr>
            <w:tcW w:w="7800" w:type="dxa"/>
            <w:vAlign w:val="bottom"/>
            <w:shd w:val="clear" w:color="auto" w:fill="DBDBDB"/>
          </w:tcPr>
          <w:p>
            <w:pPr>
              <w:ind w:left="200"/>
              <w:spacing w:after="0"/>
              <w:rPr>
                <w:sz w:val="20"/>
                <w:szCs w:val="20"/>
                <w:color w:val="auto"/>
              </w:rPr>
            </w:pPr>
            <w:r>
              <w:rPr>
                <w:rFonts w:ascii="Arial" w:cs="Arial" w:eastAsia="Arial" w:hAnsi="Arial"/>
                <w:sz w:val="13"/>
                <w:szCs w:val="13"/>
                <w:color w:val="auto"/>
              </w:rPr>
              <w:t>Total rental equipment</w:t>
            </w:r>
          </w:p>
        </w:tc>
        <w:tc>
          <w:tcPr>
            <w:tcW w:w="40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4,088,345</w:t>
            </w:r>
          </w:p>
        </w:tc>
        <w:tc>
          <w:tcPr>
            <w:tcW w:w="8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3,725,714</w:t>
            </w:r>
          </w:p>
        </w:tc>
      </w:tr>
      <w:tr>
        <w:trPr>
          <w:trHeight w:val="172"/>
        </w:trPr>
        <w:tc>
          <w:tcPr>
            <w:tcW w:w="780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Less: accumulated depreciation</w:t>
            </w: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(1,007,364)</w:t>
            </w:r>
          </w:p>
        </w:tc>
        <w:tc>
          <w:tcPr>
            <w:tcW w:w="80" w:type="dxa"/>
            <w:vAlign w:val="bottom"/>
            <w:tcBorders>
              <w:bottom w:val="single" w:sz="8" w:color="DBDBDB"/>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(794,068)</w:t>
            </w:r>
          </w:p>
        </w:tc>
      </w:tr>
      <w:tr>
        <w:trPr>
          <w:trHeight w:val="194"/>
        </w:trPr>
        <w:tc>
          <w:tcPr>
            <w:tcW w:w="7800" w:type="dxa"/>
            <w:vAlign w:val="bottom"/>
            <w:tcBorders>
              <w:bottom w:val="single" w:sz="8" w:color="DBDBDB"/>
            </w:tcBorders>
            <w:shd w:val="clear" w:color="auto" w:fill="DBDBDB"/>
          </w:tcPr>
          <w:p>
            <w:pPr>
              <w:ind w:left="380"/>
              <w:spacing w:after="0"/>
              <w:rPr>
                <w:sz w:val="20"/>
                <w:szCs w:val="20"/>
                <w:color w:val="auto"/>
              </w:rPr>
            </w:pPr>
            <w:r>
              <w:rPr>
                <w:rFonts w:ascii="Arial" w:cs="Arial" w:eastAsia="Arial" w:hAnsi="Arial"/>
                <w:sz w:val="13"/>
                <w:szCs w:val="13"/>
                <w:color w:val="auto"/>
              </w:rPr>
              <w:t>Rental equipment, net</w:t>
            </w:r>
          </w:p>
        </w:tc>
        <w:tc>
          <w:tcPr>
            <w:tcW w:w="400" w:type="dxa"/>
            <w:vAlign w:val="bottom"/>
            <w:tcBorders>
              <w:bottom w:val="single" w:sz="8" w:color="auto"/>
            </w:tcBorders>
            <w:shd w:val="clear" w:color="auto" w:fill="DBDBDB"/>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3,080,981</w:t>
            </w:r>
          </w:p>
        </w:tc>
        <w:tc>
          <w:tcPr>
            <w:tcW w:w="80" w:type="dxa"/>
            <w:vAlign w:val="bottom"/>
            <w:tcBorders>
              <w:bottom w:val="single" w:sz="8" w:color="DBDBDB"/>
            </w:tcBorders>
            <w:shd w:val="clear" w:color="auto" w:fill="DBDBDB"/>
          </w:tcPr>
          <w:p>
            <w:pPr>
              <w:spacing w:after="0"/>
              <w:rPr>
                <w:sz w:val="16"/>
                <w:szCs w:val="16"/>
                <w:color w:val="auto"/>
              </w:rPr>
            </w:pPr>
          </w:p>
        </w:tc>
        <w:tc>
          <w:tcPr>
            <w:tcW w:w="400" w:type="dxa"/>
            <w:vAlign w:val="bottom"/>
            <w:tcBorders>
              <w:bottom w:val="single" w:sz="8" w:color="auto"/>
            </w:tcBorders>
            <w:shd w:val="clear" w:color="auto" w:fill="DBDBDB"/>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2,931,646</w:t>
            </w:r>
          </w:p>
        </w:tc>
      </w:tr>
      <w:tr>
        <w:trPr>
          <w:trHeight w:val="20"/>
        </w:trPr>
        <w:tc>
          <w:tcPr>
            <w:tcW w:w="78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r>
    </w:tbl>
    <w:p>
      <w:pPr>
        <w:spacing w:after="0" w:line="111" w:lineRule="exact"/>
        <w:rPr>
          <w:sz w:val="20"/>
          <w:szCs w:val="20"/>
          <w:color w:val="auto"/>
        </w:rPr>
      </w:pPr>
    </w:p>
    <w:p>
      <w:pPr>
        <w:jc w:val="both"/>
        <w:ind w:firstLine="524"/>
        <w:spacing w:after="0" w:line="235" w:lineRule="auto"/>
        <w:rPr>
          <w:sz w:val="20"/>
          <w:szCs w:val="20"/>
          <w:color w:val="auto"/>
        </w:rPr>
      </w:pPr>
      <w:r>
        <w:rPr>
          <w:rFonts w:ascii="Arial" w:cs="Arial" w:eastAsia="Arial" w:hAnsi="Arial"/>
          <w:sz w:val="13"/>
          <w:szCs w:val="13"/>
          <w:color w:val="auto"/>
        </w:rPr>
        <w:t>In 2021, certain of the Company’s rental equipment in Louisiana was adversely impacted by Hurricane Ida. The Company maintains insurance on its rental equipment, generally in the form of replacement cost policies. Such policies are subject to varying deductibles and other conditions. Based on management’s preliminary estimates of potential losses net of insurance recoveries, the estimated impact to our consolidated financial statements will be immaterial.</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color w:val="1D2758"/>
        </w:rPr>
        <w:t>NOTE 7 – Property, Plant and Equipment, net</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800" w:type="dxa"/>
            <w:vAlign w:val="bottom"/>
          </w:tcPr>
          <w:p>
            <w:pPr>
              <w:ind w:left="540"/>
              <w:spacing w:after="0"/>
              <w:rPr>
                <w:sz w:val="20"/>
                <w:szCs w:val="20"/>
                <w:color w:val="auto"/>
              </w:rPr>
            </w:pPr>
            <w:r>
              <w:rPr>
                <w:rFonts w:ascii="Arial" w:cs="Arial" w:eastAsia="Arial" w:hAnsi="Arial"/>
                <w:sz w:val="13"/>
                <w:szCs w:val="13"/>
                <w:color w:val="auto"/>
              </w:rPr>
              <w:t>Property, plant and equipment, net at December 31 consisted of the following:</w:t>
            </w: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60"/>
        </w:trPr>
        <w:tc>
          <w:tcPr>
            <w:tcW w:w="7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175"/>
        </w:trPr>
        <w:tc>
          <w:tcPr>
            <w:tcW w:w="780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400" w:type="dxa"/>
            <w:vAlign w:val="bottom"/>
            <w:shd w:val="clear" w:color="auto" w:fill="1D2758"/>
          </w:tcPr>
          <w:p>
            <w:pPr>
              <w:spacing w:after="0"/>
              <w:rPr>
                <w:sz w:val="15"/>
                <w:szCs w:val="15"/>
                <w:color w:val="auto"/>
              </w:rPr>
            </w:pPr>
          </w:p>
        </w:tc>
        <w:tc>
          <w:tcPr>
            <w:tcW w:w="1300" w:type="dxa"/>
            <w:vAlign w:val="bottom"/>
            <w:shd w:val="clear" w:color="auto" w:fill="1D2758"/>
          </w:tcPr>
          <w:p>
            <w:pPr>
              <w:jc w:val="right"/>
              <w:ind w:right="634"/>
              <w:spacing w:after="0"/>
              <w:rPr>
                <w:sz w:val="20"/>
                <w:szCs w:val="20"/>
                <w:color w:val="auto"/>
              </w:rPr>
            </w:pPr>
            <w:r>
              <w:rPr>
                <w:rFonts w:ascii="Arial" w:cs="Arial" w:eastAsia="Arial" w:hAnsi="Arial"/>
                <w:sz w:val="13"/>
                <w:szCs w:val="13"/>
                <w:b w:val="1"/>
                <w:bCs w:val="1"/>
                <w:color w:val="FFFFFF"/>
              </w:rPr>
              <w:t>2021</w:t>
            </w:r>
          </w:p>
        </w:tc>
        <w:tc>
          <w:tcPr>
            <w:tcW w:w="80" w:type="dxa"/>
            <w:vAlign w:val="bottom"/>
            <w:shd w:val="clear" w:color="auto" w:fill="1D2758"/>
          </w:tcPr>
          <w:p>
            <w:pPr>
              <w:spacing w:after="0"/>
              <w:rPr>
                <w:sz w:val="15"/>
                <w:szCs w:val="15"/>
                <w:color w:val="auto"/>
              </w:rPr>
            </w:pPr>
          </w:p>
        </w:tc>
        <w:tc>
          <w:tcPr>
            <w:tcW w:w="400" w:type="dxa"/>
            <w:vAlign w:val="bottom"/>
            <w:shd w:val="clear" w:color="auto" w:fill="1D2758"/>
          </w:tcPr>
          <w:p>
            <w:pPr>
              <w:spacing w:after="0"/>
              <w:rPr>
                <w:sz w:val="15"/>
                <w:szCs w:val="15"/>
                <w:color w:val="auto"/>
              </w:rPr>
            </w:pPr>
          </w:p>
        </w:tc>
        <w:tc>
          <w:tcPr>
            <w:tcW w:w="1300" w:type="dxa"/>
            <w:vAlign w:val="bottom"/>
            <w:shd w:val="clear" w:color="auto" w:fill="1D2758"/>
          </w:tcPr>
          <w:p>
            <w:pPr>
              <w:jc w:val="right"/>
              <w:ind w:right="634"/>
              <w:spacing w:after="0"/>
              <w:rPr>
                <w:sz w:val="20"/>
                <w:szCs w:val="20"/>
                <w:color w:val="auto"/>
              </w:rPr>
            </w:pPr>
            <w:r>
              <w:rPr>
                <w:rFonts w:ascii="Arial" w:cs="Arial" w:eastAsia="Arial" w:hAnsi="Arial"/>
                <w:sz w:val="13"/>
                <w:szCs w:val="13"/>
                <w:b w:val="1"/>
                <w:bCs w:val="1"/>
                <w:color w:val="FFFFFF"/>
              </w:rPr>
              <w:t>2020</w:t>
            </w:r>
          </w:p>
        </w:tc>
      </w:tr>
      <w:tr>
        <w:trPr>
          <w:trHeight w:val="175"/>
        </w:trPr>
        <w:tc>
          <w:tcPr>
            <w:tcW w:w="7800" w:type="dxa"/>
            <w:vAlign w:val="bottom"/>
            <w:shd w:val="clear" w:color="auto" w:fill="DBDBDB"/>
          </w:tcPr>
          <w:p>
            <w:pPr>
              <w:ind w:left="20"/>
              <w:spacing w:after="0"/>
              <w:rPr>
                <w:sz w:val="20"/>
                <w:szCs w:val="20"/>
                <w:color w:val="auto"/>
              </w:rPr>
            </w:pPr>
            <w:r>
              <w:rPr>
                <w:rFonts w:ascii="Arial" w:cs="Arial" w:eastAsia="Arial" w:hAnsi="Arial"/>
                <w:sz w:val="13"/>
                <w:szCs w:val="13"/>
                <w:color w:val="auto"/>
              </w:rPr>
              <w:t>Land, buildings, and leasehold improvements</w:t>
            </w:r>
          </w:p>
        </w:tc>
        <w:tc>
          <w:tcPr>
            <w:tcW w:w="400" w:type="dxa"/>
            <w:vAlign w:val="bottom"/>
            <w:shd w:val="clear" w:color="auto" w:fill="DBDBDB"/>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167,132</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154,210</w:t>
            </w:r>
          </w:p>
        </w:tc>
      </w:tr>
      <w:tr>
        <w:trPr>
          <w:trHeight w:val="172"/>
        </w:trPr>
        <w:tc>
          <w:tcPr>
            <w:tcW w:w="7800" w:type="dxa"/>
            <w:vAlign w:val="bottom"/>
          </w:tcPr>
          <w:p>
            <w:pPr>
              <w:ind w:left="20"/>
              <w:spacing w:after="0"/>
              <w:rPr>
                <w:sz w:val="20"/>
                <w:szCs w:val="20"/>
                <w:color w:val="auto"/>
              </w:rPr>
            </w:pPr>
            <w:r>
              <w:rPr>
                <w:rFonts w:ascii="Arial" w:cs="Arial" w:eastAsia="Arial" w:hAnsi="Arial"/>
                <w:sz w:val="13"/>
                <w:szCs w:val="13"/>
                <w:color w:val="auto"/>
              </w:rPr>
              <w:t>Vehicles and equipment</w:t>
            </w: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185,918</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171,881</w:t>
            </w:r>
          </w:p>
        </w:tc>
      </w:tr>
      <w:tr>
        <w:trPr>
          <w:trHeight w:val="178"/>
        </w:trPr>
        <w:tc>
          <w:tcPr>
            <w:tcW w:w="7800" w:type="dxa"/>
            <w:vAlign w:val="bottom"/>
            <w:shd w:val="clear" w:color="auto" w:fill="DBDBDB"/>
          </w:tcPr>
          <w:p>
            <w:pPr>
              <w:ind w:left="20"/>
              <w:spacing w:after="0"/>
              <w:rPr>
                <w:sz w:val="20"/>
                <w:szCs w:val="20"/>
                <w:color w:val="auto"/>
              </w:rPr>
            </w:pPr>
            <w:r>
              <w:rPr>
                <w:rFonts w:ascii="Arial" w:cs="Arial" w:eastAsia="Arial" w:hAnsi="Arial"/>
                <w:sz w:val="13"/>
                <w:szCs w:val="13"/>
                <w:color w:val="auto"/>
              </w:rPr>
              <w:t>Office furniture, fixtures and software</w:t>
            </w:r>
          </w:p>
        </w:tc>
        <w:tc>
          <w:tcPr>
            <w:tcW w:w="400" w:type="dxa"/>
            <w:vAlign w:val="bottom"/>
            <w:tcBorders>
              <w:bottom w:val="single" w:sz="8" w:color="auto"/>
            </w:tcBorders>
            <w:shd w:val="clear" w:color="auto" w:fill="DBDBDB"/>
          </w:tcPr>
          <w:p>
            <w:pPr>
              <w:spacing w:after="0"/>
              <w:rPr>
                <w:sz w:val="15"/>
                <w:szCs w:val="15"/>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87,613</w:t>
            </w:r>
          </w:p>
        </w:tc>
        <w:tc>
          <w:tcPr>
            <w:tcW w:w="80" w:type="dxa"/>
            <w:vAlign w:val="bottom"/>
            <w:shd w:val="clear" w:color="auto" w:fill="DBDBDB"/>
          </w:tcPr>
          <w:p>
            <w:pPr>
              <w:spacing w:after="0"/>
              <w:rPr>
                <w:sz w:val="15"/>
                <w:szCs w:val="15"/>
                <w:color w:val="auto"/>
              </w:rPr>
            </w:pPr>
          </w:p>
        </w:tc>
        <w:tc>
          <w:tcPr>
            <w:tcW w:w="400" w:type="dxa"/>
            <w:vAlign w:val="bottom"/>
            <w:tcBorders>
              <w:bottom w:val="single" w:sz="8" w:color="auto"/>
            </w:tcBorders>
            <w:shd w:val="clear" w:color="auto" w:fill="DBDBDB"/>
          </w:tcPr>
          <w:p>
            <w:pPr>
              <w:spacing w:after="0"/>
              <w:rPr>
                <w:sz w:val="15"/>
                <w:szCs w:val="15"/>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75,928</w:t>
            </w:r>
          </w:p>
        </w:tc>
      </w:tr>
      <w:tr>
        <w:trPr>
          <w:trHeight w:val="163"/>
        </w:trPr>
        <w:tc>
          <w:tcPr>
            <w:tcW w:w="7800" w:type="dxa"/>
            <w:vAlign w:val="bottom"/>
          </w:tcPr>
          <w:p>
            <w:pPr>
              <w:ind w:left="200"/>
              <w:spacing w:after="0"/>
              <w:rPr>
                <w:sz w:val="20"/>
                <w:szCs w:val="20"/>
                <w:color w:val="auto"/>
              </w:rPr>
            </w:pPr>
            <w:r>
              <w:rPr>
                <w:rFonts w:ascii="Arial" w:cs="Arial" w:eastAsia="Arial" w:hAnsi="Arial"/>
                <w:sz w:val="13"/>
                <w:szCs w:val="13"/>
                <w:color w:val="auto"/>
              </w:rPr>
              <w:t>Total property, plant and equipment</w:t>
            </w: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440,663</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402,019</w:t>
            </w:r>
          </w:p>
        </w:tc>
      </w:tr>
      <w:tr>
        <w:trPr>
          <w:trHeight w:val="175"/>
        </w:trPr>
        <w:tc>
          <w:tcPr>
            <w:tcW w:w="7800" w:type="dxa"/>
            <w:vAlign w:val="bottom"/>
            <w:shd w:val="clear" w:color="auto" w:fill="DBDBDB"/>
          </w:tcPr>
          <w:p>
            <w:pPr>
              <w:ind w:left="20"/>
              <w:spacing w:after="0"/>
              <w:rPr>
                <w:sz w:val="20"/>
                <w:szCs w:val="20"/>
                <w:color w:val="auto"/>
              </w:rPr>
            </w:pPr>
            <w:r>
              <w:rPr>
                <w:rFonts w:ascii="Arial" w:cs="Arial" w:eastAsia="Arial" w:hAnsi="Arial"/>
                <w:sz w:val="13"/>
                <w:szCs w:val="13"/>
                <w:color w:val="auto"/>
              </w:rPr>
              <w:t>Less: accumulated depreciation</w:t>
            </w:r>
          </w:p>
        </w:tc>
        <w:tc>
          <w:tcPr>
            <w:tcW w:w="400" w:type="dxa"/>
            <w:vAlign w:val="bottom"/>
            <w:tcBorders>
              <w:bottom w:val="single" w:sz="8" w:color="auto"/>
            </w:tcBorders>
            <w:shd w:val="clear" w:color="auto" w:fill="DBDBDB"/>
          </w:tcPr>
          <w:p>
            <w:pPr>
              <w:spacing w:after="0"/>
              <w:rPr>
                <w:sz w:val="15"/>
                <w:szCs w:val="15"/>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(128,485)</w:t>
            </w:r>
          </w:p>
        </w:tc>
        <w:tc>
          <w:tcPr>
            <w:tcW w:w="80" w:type="dxa"/>
            <w:vAlign w:val="bottom"/>
            <w:shd w:val="clear" w:color="auto" w:fill="DBDBDB"/>
          </w:tcPr>
          <w:p>
            <w:pPr>
              <w:spacing w:after="0"/>
              <w:rPr>
                <w:sz w:val="15"/>
                <w:szCs w:val="15"/>
                <w:color w:val="auto"/>
              </w:rPr>
            </w:pPr>
          </w:p>
        </w:tc>
        <w:tc>
          <w:tcPr>
            <w:tcW w:w="400" w:type="dxa"/>
            <w:vAlign w:val="bottom"/>
            <w:tcBorders>
              <w:bottom w:val="single" w:sz="8" w:color="auto"/>
            </w:tcBorders>
            <w:shd w:val="clear" w:color="auto" w:fill="DBDBDB"/>
          </w:tcPr>
          <w:p>
            <w:pPr>
              <w:spacing w:after="0"/>
              <w:rPr>
                <w:sz w:val="15"/>
                <w:szCs w:val="15"/>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(98,369)</w:t>
            </w:r>
          </w:p>
        </w:tc>
      </w:tr>
      <w:tr>
        <w:trPr>
          <w:trHeight w:val="169"/>
        </w:trPr>
        <w:tc>
          <w:tcPr>
            <w:tcW w:w="7800" w:type="dxa"/>
            <w:vAlign w:val="bottom"/>
          </w:tcPr>
          <w:p>
            <w:pPr>
              <w:ind w:left="380"/>
              <w:spacing w:after="0"/>
              <w:rPr>
                <w:sz w:val="20"/>
                <w:szCs w:val="20"/>
                <w:color w:val="auto"/>
              </w:rPr>
            </w:pPr>
            <w:r>
              <w:rPr>
                <w:rFonts w:ascii="Arial" w:cs="Arial" w:eastAsia="Arial" w:hAnsi="Arial"/>
                <w:sz w:val="13"/>
                <w:szCs w:val="13"/>
                <w:color w:val="auto"/>
              </w:rPr>
              <w:t>Property, plant and equipment, net</w:t>
            </w:r>
          </w:p>
        </w:tc>
        <w:tc>
          <w:tcPr>
            <w:tcW w:w="40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312,178</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303,650</w:t>
            </w:r>
          </w:p>
        </w:tc>
      </w:tr>
      <w:tr>
        <w:trPr>
          <w:trHeight w:val="20"/>
        </w:trPr>
        <w:tc>
          <w:tcPr>
            <w:tcW w:w="7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left="540"/>
        <w:spacing w:after="0"/>
        <w:rPr>
          <w:sz w:val="20"/>
          <w:szCs w:val="20"/>
          <w:color w:val="auto"/>
        </w:rPr>
      </w:pPr>
      <w:r>
        <w:rPr>
          <w:rFonts w:ascii="Arial" w:cs="Arial" w:eastAsia="Arial" w:hAnsi="Arial"/>
          <w:sz w:val="13"/>
          <w:szCs w:val="13"/>
          <w:color w:val="auto"/>
        </w:rPr>
        <w:t>Depreciation expense related to property, plant and equipment was $50.8 million, $28.9 million, and $11.4 million for the years ended December 31, 2021, 2020 and 2019, respectively.</w:t>
      </w:r>
    </w:p>
    <w:p>
      <w:pPr>
        <w:spacing w:after="0" w:line="47"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As of December 31, 2021 and 2020, the gross cost of property, plant and equipment assets under finance leases was $98.6 million and $78.7 million, respectively, with related accumulated depreciation of $27.4 million and $9.5 million, respectively. The depreciation expense for these assets is presented in other depreciation and amortization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28" w:right="319" w:bottom="1440" w:gutter="0" w:footer="0" w:header="0"/>
        </w:sectPr>
      </w:pPr>
    </w:p>
    <w:bookmarkStart w:id="93" w:name="page94"/>
    <w:bookmarkEnd w:id="93"/>
    <w:p>
      <w:pPr>
        <w:spacing w:after="0"/>
        <w:rPr>
          <w:sz w:val="20"/>
          <w:szCs w:val="20"/>
          <w:color w:val="auto"/>
        </w:rPr>
      </w:pPr>
      <w:r>
        <w:rPr>
          <w:rFonts w:ascii="Arial" w:cs="Arial" w:eastAsia="Arial" w:hAnsi="Arial"/>
          <w:sz w:val="19"/>
          <w:szCs w:val="19"/>
          <w:color w:val="1D2758"/>
        </w:rPr>
        <w:t>NOTE 8 - Goodwill and Intangible Assets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Goodwill</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080" w:type="dxa"/>
            <w:vAlign w:val="bottom"/>
            <w:gridSpan w:val="4"/>
          </w:tcPr>
          <w:p>
            <w:pPr>
              <w:ind w:left="540"/>
              <w:spacing w:after="0"/>
              <w:rPr>
                <w:sz w:val="20"/>
                <w:szCs w:val="20"/>
                <w:color w:val="auto"/>
              </w:rPr>
            </w:pPr>
            <w:r>
              <w:rPr>
                <w:rFonts w:ascii="Arial" w:cs="Arial" w:eastAsia="Arial" w:hAnsi="Arial"/>
                <w:sz w:val="13"/>
                <w:szCs w:val="13"/>
                <w:color w:val="auto"/>
              </w:rPr>
              <w:t>Changes in the carrying amount of goodwill were as follows:</w:t>
            </w: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260" w:type="dxa"/>
            <w:vAlign w:val="bottom"/>
            <w:shd w:val="clear" w:color="auto" w:fill="1D2758"/>
          </w:tcPr>
          <w:p>
            <w:pPr>
              <w:ind w:left="540"/>
              <w:spacing w:after="0"/>
              <w:rPr>
                <w:sz w:val="20"/>
                <w:szCs w:val="20"/>
                <w:color w:val="auto"/>
              </w:rPr>
            </w:pPr>
            <w:r>
              <w:rPr>
                <w:rFonts w:ascii="Arial" w:cs="Arial" w:eastAsia="Arial" w:hAnsi="Arial"/>
                <w:sz w:val="13"/>
                <w:szCs w:val="13"/>
                <w:b w:val="1"/>
                <w:bCs w:val="1"/>
                <w:i w:val="1"/>
                <w:iCs w:val="1"/>
                <w:color w:val="FFFFFF"/>
              </w:rPr>
              <w:t>(in thousands)</w:t>
            </w:r>
          </w:p>
        </w:tc>
        <w:tc>
          <w:tcPr>
            <w:tcW w:w="680" w:type="dxa"/>
            <w:vAlign w:val="bottom"/>
            <w:shd w:val="clear" w:color="auto" w:fill="1D2758"/>
          </w:tcPr>
          <w:p>
            <w:pPr>
              <w:spacing w:after="0"/>
              <w:rPr>
                <w:sz w:val="15"/>
                <w:szCs w:val="15"/>
                <w:color w:val="auto"/>
              </w:rPr>
            </w:pPr>
          </w:p>
        </w:tc>
        <w:tc>
          <w:tcPr>
            <w:tcW w:w="1140" w:type="dxa"/>
            <w:vAlign w:val="bottom"/>
            <w:gridSpan w:val="2"/>
            <w:shd w:val="clear" w:color="auto" w:fill="1D2758"/>
          </w:tcPr>
          <w:p>
            <w:pPr>
              <w:ind w:left="80"/>
              <w:spacing w:after="0"/>
              <w:rPr>
                <w:sz w:val="20"/>
                <w:szCs w:val="20"/>
                <w:color w:val="auto"/>
              </w:rPr>
            </w:pPr>
            <w:r>
              <w:rPr>
                <w:rFonts w:ascii="Arial" w:cs="Arial" w:eastAsia="Arial" w:hAnsi="Arial"/>
                <w:sz w:val="13"/>
                <w:szCs w:val="13"/>
                <w:b w:val="1"/>
                <w:bCs w:val="1"/>
                <w:color w:val="FFFFFF"/>
              </w:rPr>
              <w:t>NA Modular</w:t>
            </w:r>
          </w:p>
        </w:tc>
        <w:tc>
          <w:tcPr>
            <w:tcW w:w="680" w:type="dxa"/>
            <w:vAlign w:val="bottom"/>
            <w:shd w:val="clear" w:color="auto" w:fill="1D2758"/>
          </w:tcPr>
          <w:p>
            <w:pPr>
              <w:spacing w:after="0"/>
              <w:rPr>
                <w:sz w:val="15"/>
                <w:szCs w:val="15"/>
                <w:color w:val="auto"/>
              </w:rPr>
            </w:pPr>
          </w:p>
        </w:tc>
        <w:tc>
          <w:tcPr>
            <w:tcW w:w="1120" w:type="dxa"/>
            <w:vAlign w:val="bottom"/>
            <w:gridSpan w:val="2"/>
            <w:shd w:val="clear" w:color="auto" w:fill="1D2758"/>
          </w:tcPr>
          <w:p>
            <w:pPr>
              <w:ind w:left="80"/>
              <w:spacing w:after="0"/>
              <w:rPr>
                <w:sz w:val="20"/>
                <w:szCs w:val="20"/>
                <w:color w:val="auto"/>
              </w:rPr>
            </w:pPr>
            <w:r>
              <w:rPr>
                <w:rFonts w:ascii="Arial" w:cs="Arial" w:eastAsia="Arial" w:hAnsi="Arial"/>
                <w:sz w:val="13"/>
                <w:szCs w:val="13"/>
                <w:b w:val="1"/>
                <w:bCs w:val="1"/>
                <w:color w:val="FFFFFF"/>
              </w:rPr>
              <w:t>NA Storage</w:t>
            </w:r>
          </w:p>
        </w:tc>
        <w:tc>
          <w:tcPr>
            <w:tcW w:w="680" w:type="dxa"/>
            <w:vAlign w:val="bottom"/>
            <w:shd w:val="clear" w:color="auto" w:fill="1D2758"/>
          </w:tcPr>
          <w:p>
            <w:pPr>
              <w:spacing w:after="0"/>
              <w:rPr>
                <w:sz w:val="15"/>
                <w:szCs w:val="15"/>
                <w:color w:val="auto"/>
              </w:rPr>
            </w:pPr>
          </w:p>
        </w:tc>
        <w:tc>
          <w:tcPr>
            <w:tcW w:w="1100" w:type="dxa"/>
            <w:vAlign w:val="bottom"/>
            <w:gridSpan w:val="2"/>
            <w:shd w:val="clear" w:color="auto" w:fill="1D2758"/>
          </w:tcPr>
          <w:p>
            <w:pPr>
              <w:ind w:left="80"/>
              <w:spacing w:after="0"/>
              <w:rPr>
                <w:sz w:val="20"/>
                <w:szCs w:val="20"/>
                <w:color w:val="auto"/>
              </w:rPr>
            </w:pPr>
            <w:r>
              <w:rPr>
                <w:rFonts w:ascii="Arial" w:cs="Arial" w:eastAsia="Arial" w:hAnsi="Arial"/>
                <w:sz w:val="13"/>
                <w:szCs w:val="13"/>
                <w:b w:val="1"/>
                <w:bCs w:val="1"/>
                <w:color w:val="FFFFFF"/>
              </w:rPr>
              <w:t>UK Storage</w:t>
            </w:r>
          </w:p>
        </w:tc>
        <w:tc>
          <w:tcPr>
            <w:tcW w:w="620" w:type="dxa"/>
            <w:vAlign w:val="bottom"/>
            <w:shd w:val="clear" w:color="auto" w:fill="1D2758"/>
          </w:tcPr>
          <w:p>
            <w:pPr>
              <w:spacing w:after="0"/>
              <w:rPr>
                <w:sz w:val="15"/>
                <w:szCs w:val="15"/>
                <w:color w:val="auto"/>
              </w:rPr>
            </w:pPr>
          </w:p>
        </w:tc>
        <w:tc>
          <w:tcPr>
            <w:tcW w:w="1180" w:type="dxa"/>
            <w:vAlign w:val="bottom"/>
            <w:gridSpan w:val="2"/>
            <w:shd w:val="clear" w:color="auto" w:fill="1D2758"/>
          </w:tcPr>
          <w:p>
            <w:pPr>
              <w:ind w:left="20"/>
              <w:spacing w:after="0"/>
              <w:rPr>
                <w:sz w:val="20"/>
                <w:szCs w:val="20"/>
                <w:color w:val="auto"/>
              </w:rPr>
            </w:pPr>
            <w:r>
              <w:rPr>
                <w:rFonts w:ascii="Arial" w:cs="Arial" w:eastAsia="Arial" w:hAnsi="Arial"/>
                <w:sz w:val="13"/>
                <w:szCs w:val="13"/>
                <w:b w:val="1"/>
                <w:bCs w:val="1"/>
                <w:color w:val="FFFFFF"/>
              </w:rPr>
              <w:t>Tank and Pump</w:t>
            </w:r>
          </w:p>
        </w:tc>
        <w:tc>
          <w:tcPr>
            <w:tcW w:w="820" w:type="dxa"/>
            <w:vAlign w:val="bottom"/>
            <w:shd w:val="clear" w:color="auto" w:fill="1D2758"/>
          </w:tcPr>
          <w:p>
            <w:pPr>
              <w:spacing w:after="0"/>
              <w:rPr>
                <w:sz w:val="15"/>
                <w:szCs w:val="15"/>
                <w:color w:val="auto"/>
              </w:rPr>
            </w:pPr>
          </w:p>
        </w:tc>
        <w:tc>
          <w:tcPr>
            <w:tcW w:w="1000" w:type="dxa"/>
            <w:vAlign w:val="bottom"/>
            <w:shd w:val="clear" w:color="auto" w:fill="1D2758"/>
          </w:tcPr>
          <w:p>
            <w:pPr>
              <w:jc w:val="right"/>
              <w:ind w:right="434"/>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44"/>
        </w:trPr>
        <w:tc>
          <w:tcPr>
            <w:tcW w:w="2260" w:type="dxa"/>
            <w:vAlign w:val="bottom"/>
            <w:shd w:val="clear" w:color="auto" w:fill="DBDBDB"/>
          </w:tcPr>
          <w:p>
            <w:pPr>
              <w:ind w:left="540"/>
              <w:spacing w:after="0" w:line="144" w:lineRule="exact"/>
              <w:rPr>
                <w:sz w:val="20"/>
                <w:szCs w:val="20"/>
                <w:color w:val="auto"/>
              </w:rPr>
            </w:pPr>
            <w:r>
              <w:rPr>
                <w:rFonts w:ascii="Arial" w:cs="Arial" w:eastAsia="Arial" w:hAnsi="Arial"/>
                <w:sz w:val="13"/>
                <w:szCs w:val="13"/>
                <w:color w:val="auto"/>
              </w:rPr>
              <w:t>Balance at December 31,</w:t>
            </w:r>
          </w:p>
        </w:tc>
        <w:tc>
          <w:tcPr>
            <w:tcW w:w="680" w:type="dxa"/>
            <w:vAlign w:val="bottom"/>
            <w:shd w:val="clear" w:color="auto" w:fill="DBDBDB"/>
          </w:tcPr>
          <w:p>
            <w:pPr>
              <w:spacing w:after="0"/>
              <w:rPr>
                <w:sz w:val="12"/>
                <w:szCs w:val="12"/>
                <w:color w:val="auto"/>
              </w:rPr>
            </w:pPr>
          </w:p>
        </w:tc>
        <w:tc>
          <w:tcPr>
            <w:tcW w:w="106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680" w:type="dxa"/>
            <w:vAlign w:val="bottom"/>
            <w:shd w:val="clear" w:color="auto" w:fill="DBDBDB"/>
          </w:tcPr>
          <w:p>
            <w:pPr>
              <w:spacing w:after="0"/>
              <w:rPr>
                <w:sz w:val="12"/>
                <w:szCs w:val="12"/>
                <w:color w:val="auto"/>
              </w:rPr>
            </w:pPr>
          </w:p>
        </w:tc>
        <w:tc>
          <w:tcPr>
            <w:tcW w:w="10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68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620" w:type="dxa"/>
            <w:vAlign w:val="bottom"/>
            <w:shd w:val="clear" w:color="auto" w:fill="DBDBDB"/>
          </w:tcPr>
          <w:p>
            <w:pPr>
              <w:spacing w:after="0"/>
              <w:rPr>
                <w:sz w:val="12"/>
                <w:szCs w:val="12"/>
                <w:color w:val="auto"/>
              </w:rPr>
            </w:pPr>
          </w:p>
        </w:tc>
        <w:tc>
          <w:tcPr>
            <w:tcW w:w="1120" w:type="dxa"/>
            <w:vAlign w:val="bottom"/>
            <w:shd w:val="clear" w:color="auto" w:fill="DBDBDB"/>
          </w:tcPr>
          <w:p>
            <w:pPr>
              <w:spacing w:after="0"/>
              <w:rPr>
                <w:sz w:val="12"/>
                <w:szCs w:val="12"/>
                <w:color w:val="auto"/>
              </w:rPr>
            </w:pPr>
          </w:p>
        </w:tc>
        <w:tc>
          <w:tcPr>
            <w:tcW w:w="60" w:type="dxa"/>
            <w:vAlign w:val="bottom"/>
            <w:shd w:val="clear" w:color="auto" w:fill="DBDBDB"/>
          </w:tcPr>
          <w:p>
            <w:pPr>
              <w:spacing w:after="0"/>
              <w:rPr>
                <w:sz w:val="12"/>
                <w:szCs w:val="12"/>
                <w:color w:val="auto"/>
              </w:rPr>
            </w:pPr>
          </w:p>
        </w:tc>
        <w:tc>
          <w:tcPr>
            <w:tcW w:w="820" w:type="dxa"/>
            <w:vAlign w:val="bottom"/>
            <w:shd w:val="clear" w:color="auto" w:fill="DBDBDB"/>
          </w:tcPr>
          <w:p>
            <w:pPr>
              <w:spacing w:after="0"/>
              <w:rPr>
                <w:sz w:val="12"/>
                <w:szCs w:val="12"/>
                <w:color w:val="auto"/>
              </w:rPr>
            </w:pPr>
          </w:p>
        </w:tc>
        <w:tc>
          <w:tcPr>
            <w:tcW w:w="10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DBDBDB"/>
          </w:tcPr>
          <w:p>
            <w:pPr>
              <w:ind w:left="20"/>
              <w:spacing w:after="0"/>
              <w:rPr>
                <w:sz w:val="20"/>
                <w:szCs w:val="20"/>
                <w:color w:val="auto"/>
              </w:rPr>
            </w:pPr>
            <w:r>
              <w:rPr>
                <w:rFonts w:ascii="Arial" w:cs="Arial" w:eastAsia="Arial" w:hAnsi="Arial"/>
                <w:sz w:val="13"/>
                <w:szCs w:val="13"/>
                <w:color w:val="auto"/>
              </w:rPr>
              <w:t>2019</w:t>
            </w:r>
          </w:p>
        </w:tc>
        <w:tc>
          <w:tcPr>
            <w:tcW w:w="680" w:type="dxa"/>
            <w:vAlign w:val="bottom"/>
            <w:shd w:val="clear" w:color="auto" w:fill="DBDBDB"/>
          </w:tcPr>
          <w:p>
            <w:pPr>
              <w:jc w:val="right"/>
              <w:ind w:right="14"/>
              <w:spacing w:after="0"/>
              <w:rPr>
                <w:sz w:val="20"/>
                <w:szCs w:val="20"/>
                <w:color w:val="auto"/>
              </w:rPr>
            </w:pPr>
            <w:r>
              <w:rPr>
                <w:rFonts w:ascii="Arial" w:cs="Arial" w:eastAsia="Arial" w:hAnsi="Arial"/>
                <w:sz w:val="13"/>
                <w:szCs w:val="13"/>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235,177</w:t>
            </w:r>
          </w:p>
        </w:tc>
        <w:tc>
          <w:tcPr>
            <w:tcW w:w="80" w:type="dxa"/>
            <w:vAlign w:val="bottom"/>
            <w:shd w:val="clear" w:color="auto" w:fill="DBDBDB"/>
          </w:tcPr>
          <w:p>
            <w:pPr>
              <w:spacing w:after="0"/>
              <w:rPr>
                <w:sz w:val="14"/>
                <w:szCs w:val="14"/>
                <w:color w:val="auto"/>
              </w:rPr>
            </w:pPr>
          </w:p>
        </w:tc>
        <w:tc>
          <w:tcPr>
            <w:tcW w:w="680" w:type="dxa"/>
            <w:vAlign w:val="bottom"/>
            <w:shd w:val="clear" w:color="auto" w:fill="DBDBDB"/>
          </w:tcPr>
          <w:p>
            <w:pPr>
              <w:jc w:val="right"/>
              <w:ind w:right="14"/>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DBDBDB"/>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235,177</w:t>
            </w:r>
          </w:p>
        </w:tc>
        <w:tc>
          <w:tcPr>
            <w:tcW w:w="0" w:type="dxa"/>
            <w:vAlign w:val="bottom"/>
          </w:tcPr>
          <w:p>
            <w:pPr>
              <w:spacing w:after="0"/>
              <w:rPr>
                <w:sz w:val="1"/>
                <w:szCs w:val="1"/>
                <w:color w:val="auto"/>
              </w:rPr>
            </w:pPr>
          </w:p>
        </w:tc>
      </w:tr>
      <w:tr>
        <w:trPr>
          <w:trHeight w:val="172"/>
        </w:trPr>
        <w:tc>
          <w:tcPr>
            <w:tcW w:w="2260" w:type="dxa"/>
            <w:vAlign w:val="bottom"/>
          </w:tcPr>
          <w:p>
            <w:pPr>
              <w:ind w:left="720"/>
              <w:spacing w:after="0"/>
              <w:rPr>
                <w:sz w:val="20"/>
                <w:szCs w:val="20"/>
                <w:color w:val="auto"/>
              </w:rPr>
            </w:pPr>
            <w:r>
              <w:rPr>
                <w:rFonts w:ascii="Arial" w:cs="Arial" w:eastAsia="Arial" w:hAnsi="Arial"/>
                <w:sz w:val="13"/>
                <w:szCs w:val="13"/>
                <w:color w:val="auto"/>
              </w:rPr>
              <w:t>Acquisition of Mobile Mini</w:t>
            </w:r>
          </w:p>
        </w:tc>
        <w:tc>
          <w:tcPr>
            <w:tcW w:w="68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726,529</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59,183</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143,262</w:t>
            </w: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928,974</w:t>
            </w:r>
          </w:p>
        </w:tc>
        <w:tc>
          <w:tcPr>
            <w:tcW w:w="0" w:type="dxa"/>
            <w:vAlign w:val="bottom"/>
          </w:tcPr>
          <w:p>
            <w:pPr>
              <w:spacing w:after="0"/>
              <w:rPr>
                <w:sz w:val="1"/>
                <w:szCs w:val="1"/>
                <w:color w:val="auto"/>
              </w:rPr>
            </w:pPr>
          </w:p>
        </w:tc>
      </w:tr>
      <w:tr>
        <w:trPr>
          <w:trHeight w:val="146"/>
        </w:trPr>
        <w:tc>
          <w:tcPr>
            <w:tcW w:w="2260" w:type="dxa"/>
            <w:vAlign w:val="bottom"/>
            <w:shd w:val="clear" w:color="auto" w:fill="DBDBDB"/>
          </w:tcPr>
          <w:p>
            <w:pPr>
              <w:ind w:left="720"/>
              <w:spacing w:after="0" w:line="147" w:lineRule="exact"/>
              <w:rPr>
                <w:sz w:val="20"/>
                <w:szCs w:val="20"/>
                <w:color w:val="auto"/>
              </w:rPr>
            </w:pPr>
            <w:r>
              <w:rPr>
                <w:rFonts w:ascii="Arial" w:cs="Arial" w:eastAsia="Arial" w:hAnsi="Arial"/>
                <w:sz w:val="13"/>
                <w:szCs w:val="13"/>
                <w:color w:val="auto"/>
              </w:rPr>
              <w:t>Effects of movements in</w:t>
            </w:r>
          </w:p>
        </w:tc>
        <w:tc>
          <w:tcPr>
            <w:tcW w:w="680" w:type="dxa"/>
            <w:vAlign w:val="bottom"/>
            <w:shd w:val="clear" w:color="auto" w:fill="DBDBDB"/>
          </w:tcPr>
          <w:p>
            <w:pPr>
              <w:spacing w:after="0"/>
              <w:rPr>
                <w:sz w:val="12"/>
                <w:szCs w:val="12"/>
                <w:color w:val="auto"/>
              </w:rPr>
            </w:pPr>
          </w:p>
        </w:tc>
        <w:tc>
          <w:tcPr>
            <w:tcW w:w="106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680" w:type="dxa"/>
            <w:vAlign w:val="bottom"/>
            <w:shd w:val="clear" w:color="auto" w:fill="DBDBDB"/>
          </w:tcPr>
          <w:p>
            <w:pPr>
              <w:spacing w:after="0"/>
              <w:rPr>
                <w:sz w:val="12"/>
                <w:szCs w:val="12"/>
                <w:color w:val="auto"/>
              </w:rPr>
            </w:pPr>
          </w:p>
        </w:tc>
        <w:tc>
          <w:tcPr>
            <w:tcW w:w="10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68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620" w:type="dxa"/>
            <w:vAlign w:val="bottom"/>
            <w:shd w:val="clear" w:color="auto" w:fill="DBDBDB"/>
          </w:tcPr>
          <w:p>
            <w:pPr>
              <w:spacing w:after="0"/>
              <w:rPr>
                <w:sz w:val="12"/>
                <w:szCs w:val="12"/>
                <w:color w:val="auto"/>
              </w:rPr>
            </w:pPr>
          </w:p>
        </w:tc>
        <w:tc>
          <w:tcPr>
            <w:tcW w:w="1120" w:type="dxa"/>
            <w:vAlign w:val="bottom"/>
            <w:shd w:val="clear" w:color="auto" w:fill="DBDBDB"/>
          </w:tcPr>
          <w:p>
            <w:pPr>
              <w:spacing w:after="0"/>
              <w:rPr>
                <w:sz w:val="12"/>
                <w:szCs w:val="12"/>
                <w:color w:val="auto"/>
              </w:rPr>
            </w:pPr>
          </w:p>
        </w:tc>
        <w:tc>
          <w:tcPr>
            <w:tcW w:w="60" w:type="dxa"/>
            <w:vAlign w:val="bottom"/>
            <w:shd w:val="clear" w:color="auto" w:fill="DBDBDB"/>
          </w:tcPr>
          <w:p>
            <w:pPr>
              <w:spacing w:after="0"/>
              <w:rPr>
                <w:sz w:val="12"/>
                <w:szCs w:val="12"/>
                <w:color w:val="auto"/>
              </w:rPr>
            </w:pPr>
          </w:p>
        </w:tc>
        <w:tc>
          <w:tcPr>
            <w:tcW w:w="820" w:type="dxa"/>
            <w:vAlign w:val="bottom"/>
            <w:shd w:val="clear" w:color="auto" w:fill="DBDBDB"/>
          </w:tcPr>
          <w:p>
            <w:pPr>
              <w:spacing w:after="0"/>
              <w:rPr>
                <w:sz w:val="12"/>
                <w:szCs w:val="12"/>
                <w:color w:val="auto"/>
              </w:rPr>
            </w:pPr>
          </w:p>
        </w:tc>
        <w:tc>
          <w:tcPr>
            <w:tcW w:w="10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foreign exchange rates</w:t>
            </w:r>
          </w:p>
        </w:tc>
        <w:tc>
          <w:tcPr>
            <w:tcW w:w="680" w:type="dxa"/>
            <w:vAlign w:val="bottom"/>
            <w:tcBorders>
              <w:bottom w:val="single" w:sz="8" w:color="auto"/>
            </w:tcBorders>
            <w:shd w:val="clear" w:color="auto" w:fill="DBDBDB"/>
          </w:tcPr>
          <w:p>
            <w:pPr>
              <w:spacing w:after="0"/>
              <w:rPr>
                <w:sz w:val="14"/>
                <w:szCs w:val="14"/>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651</w:t>
            </w:r>
          </w:p>
        </w:tc>
        <w:tc>
          <w:tcPr>
            <w:tcW w:w="80" w:type="dxa"/>
            <w:vAlign w:val="bottom"/>
            <w:shd w:val="clear" w:color="auto" w:fill="DBDBDB"/>
          </w:tcPr>
          <w:p>
            <w:pPr>
              <w:spacing w:after="0"/>
              <w:rPr>
                <w:sz w:val="14"/>
                <w:szCs w:val="14"/>
                <w:color w:val="auto"/>
              </w:rPr>
            </w:pPr>
          </w:p>
        </w:tc>
        <w:tc>
          <w:tcPr>
            <w:tcW w:w="680" w:type="dxa"/>
            <w:vAlign w:val="bottom"/>
            <w:tcBorders>
              <w:bottom w:val="single" w:sz="8" w:color="auto"/>
            </w:tcBorders>
            <w:shd w:val="clear" w:color="auto" w:fill="DBDBDB"/>
          </w:tcPr>
          <w:p>
            <w:pPr>
              <w:spacing w:after="0"/>
              <w:rPr>
                <w:sz w:val="14"/>
                <w:szCs w:val="14"/>
                <w:color w:val="auto"/>
              </w:rPr>
            </w:pPr>
          </w:p>
        </w:tc>
        <w:tc>
          <w:tcPr>
            <w:tcW w:w="1120" w:type="dxa"/>
            <w:vAlign w:val="bottom"/>
            <w:tcBorders>
              <w:bottom w:val="single" w:sz="8" w:color="auto"/>
            </w:tcBorders>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DBDBDB"/>
          </w:tcPr>
          <w:p>
            <w:pPr>
              <w:spacing w:after="0"/>
              <w:rPr>
                <w:sz w:val="14"/>
                <w:szCs w:val="14"/>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6,417</w:t>
            </w:r>
          </w:p>
        </w:tc>
        <w:tc>
          <w:tcPr>
            <w:tcW w:w="80" w:type="dxa"/>
            <w:vAlign w:val="bottom"/>
            <w:tcBorders>
              <w:bottom w:val="single" w:sz="8" w:color="auto"/>
            </w:tcBorders>
            <w:shd w:val="clear" w:color="auto" w:fill="DBDBDB"/>
          </w:tcPr>
          <w:p>
            <w:pPr>
              <w:spacing w:after="0"/>
              <w:rPr>
                <w:sz w:val="14"/>
                <w:szCs w:val="14"/>
                <w:color w:val="auto"/>
              </w:rPr>
            </w:pPr>
          </w:p>
        </w:tc>
        <w:tc>
          <w:tcPr>
            <w:tcW w:w="620" w:type="dxa"/>
            <w:vAlign w:val="bottom"/>
            <w:tcBorders>
              <w:bottom w:val="single" w:sz="8" w:color="auto"/>
            </w:tcBorders>
            <w:shd w:val="clear" w:color="auto" w:fill="DBDBDB"/>
          </w:tcPr>
          <w:p>
            <w:pPr>
              <w:spacing w:after="0"/>
              <w:rPr>
                <w:sz w:val="14"/>
                <w:szCs w:val="14"/>
                <w:color w:val="auto"/>
              </w:rPr>
            </w:pPr>
          </w:p>
        </w:tc>
        <w:tc>
          <w:tcPr>
            <w:tcW w:w="1180" w:type="dxa"/>
            <w:vAlign w:val="bottom"/>
            <w:tcBorders>
              <w:bottom w:val="single" w:sz="8" w:color="auto"/>
            </w:tcBorders>
            <w:gridSpan w:val="2"/>
            <w:shd w:val="clear" w:color="auto" w:fill="DBDBDB"/>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DBDBDB"/>
          </w:tcPr>
          <w:p>
            <w:pPr>
              <w:spacing w:after="0"/>
              <w:rPr>
                <w:sz w:val="14"/>
                <w:szCs w:val="14"/>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7,068</w:t>
            </w:r>
          </w:p>
        </w:tc>
        <w:tc>
          <w:tcPr>
            <w:tcW w:w="0" w:type="dxa"/>
            <w:vAlign w:val="bottom"/>
          </w:tcPr>
          <w:p>
            <w:pPr>
              <w:spacing w:after="0"/>
              <w:rPr>
                <w:sz w:val="1"/>
                <w:szCs w:val="1"/>
                <w:color w:val="auto"/>
              </w:rPr>
            </w:pPr>
          </w:p>
        </w:tc>
      </w:tr>
      <w:tr>
        <w:trPr>
          <w:trHeight w:val="124"/>
        </w:trPr>
        <w:tc>
          <w:tcPr>
            <w:tcW w:w="2260" w:type="dxa"/>
            <w:vAlign w:val="bottom"/>
          </w:tcPr>
          <w:p>
            <w:pPr>
              <w:ind w:left="540"/>
              <w:spacing w:after="0" w:line="124" w:lineRule="exact"/>
              <w:rPr>
                <w:sz w:val="20"/>
                <w:szCs w:val="20"/>
                <w:color w:val="auto"/>
              </w:rPr>
            </w:pPr>
            <w:r>
              <w:rPr>
                <w:rFonts w:ascii="Arial" w:cs="Arial" w:eastAsia="Arial" w:hAnsi="Arial"/>
                <w:sz w:val="13"/>
                <w:szCs w:val="13"/>
                <w:color w:val="auto"/>
              </w:rPr>
              <w:t>Balance at December 31,</w:t>
            </w:r>
          </w:p>
        </w:tc>
        <w:tc>
          <w:tcPr>
            <w:tcW w:w="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260" w:type="dxa"/>
            <w:vAlign w:val="bottom"/>
          </w:tcPr>
          <w:p>
            <w:pPr>
              <w:ind w:left="20"/>
              <w:spacing w:after="0"/>
              <w:rPr>
                <w:sz w:val="20"/>
                <w:szCs w:val="20"/>
                <w:color w:val="auto"/>
              </w:rPr>
            </w:pPr>
            <w:r>
              <w:rPr>
                <w:rFonts w:ascii="Arial" w:cs="Arial" w:eastAsia="Arial" w:hAnsi="Arial"/>
                <w:sz w:val="13"/>
                <w:szCs w:val="13"/>
                <w:color w:val="auto"/>
              </w:rPr>
              <w:t>2020</w:t>
            </w:r>
          </w:p>
        </w:tc>
        <w:tc>
          <w:tcPr>
            <w:tcW w:w="6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235,828</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726,529</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65,600</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143,262</w:t>
            </w: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1,171,219</w:t>
            </w:r>
          </w:p>
        </w:tc>
        <w:tc>
          <w:tcPr>
            <w:tcW w:w="0" w:type="dxa"/>
            <w:vAlign w:val="bottom"/>
          </w:tcPr>
          <w:p>
            <w:pPr>
              <w:spacing w:after="0"/>
              <w:rPr>
                <w:sz w:val="1"/>
                <w:szCs w:val="1"/>
                <w:color w:val="auto"/>
              </w:rPr>
            </w:pPr>
          </w:p>
        </w:tc>
      </w:tr>
      <w:tr>
        <w:trPr>
          <w:trHeight w:val="146"/>
        </w:trPr>
        <w:tc>
          <w:tcPr>
            <w:tcW w:w="2260" w:type="dxa"/>
            <w:vAlign w:val="bottom"/>
            <w:shd w:val="clear" w:color="auto" w:fill="DBDBDB"/>
          </w:tcPr>
          <w:p>
            <w:pPr>
              <w:ind w:left="720"/>
              <w:spacing w:after="0" w:line="147" w:lineRule="exact"/>
              <w:rPr>
                <w:sz w:val="20"/>
                <w:szCs w:val="20"/>
                <w:color w:val="auto"/>
              </w:rPr>
            </w:pPr>
            <w:r>
              <w:rPr>
                <w:rFonts w:ascii="Arial" w:cs="Arial" w:eastAsia="Arial" w:hAnsi="Arial"/>
                <w:sz w:val="13"/>
                <w:szCs w:val="13"/>
                <w:color w:val="auto"/>
              </w:rPr>
              <w:t>Changes to Mobile Mini</w:t>
            </w:r>
          </w:p>
        </w:tc>
        <w:tc>
          <w:tcPr>
            <w:tcW w:w="680" w:type="dxa"/>
            <w:vAlign w:val="bottom"/>
            <w:shd w:val="clear" w:color="auto" w:fill="DBDBDB"/>
          </w:tcPr>
          <w:p>
            <w:pPr>
              <w:spacing w:after="0"/>
              <w:rPr>
                <w:sz w:val="12"/>
                <w:szCs w:val="12"/>
                <w:color w:val="auto"/>
              </w:rPr>
            </w:pPr>
          </w:p>
        </w:tc>
        <w:tc>
          <w:tcPr>
            <w:tcW w:w="106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680" w:type="dxa"/>
            <w:vAlign w:val="bottom"/>
            <w:shd w:val="clear" w:color="auto" w:fill="DBDBDB"/>
          </w:tcPr>
          <w:p>
            <w:pPr>
              <w:spacing w:after="0"/>
              <w:rPr>
                <w:sz w:val="12"/>
                <w:szCs w:val="12"/>
                <w:color w:val="auto"/>
              </w:rPr>
            </w:pPr>
          </w:p>
        </w:tc>
        <w:tc>
          <w:tcPr>
            <w:tcW w:w="10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68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620" w:type="dxa"/>
            <w:vAlign w:val="bottom"/>
            <w:shd w:val="clear" w:color="auto" w:fill="DBDBDB"/>
          </w:tcPr>
          <w:p>
            <w:pPr>
              <w:spacing w:after="0"/>
              <w:rPr>
                <w:sz w:val="12"/>
                <w:szCs w:val="12"/>
                <w:color w:val="auto"/>
              </w:rPr>
            </w:pPr>
          </w:p>
        </w:tc>
        <w:tc>
          <w:tcPr>
            <w:tcW w:w="1120" w:type="dxa"/>
            <w:vAlign w:val="bottom"/>
            <w:shd w:val="clear" w:color="auto" w:fill="DBDBDB"/>
          </w:tcPr>
          <w:p>
            <w:pPr>
              <w:spacing w:after="0"/>
              <w:rPr>
                <w:sz w:val="12"/>
                <w:szCs w:val="12"/>
                <w:color w:val="auto"/>
              </w:rPr>
            </w:pPr>
          </w:p>
        </w:tc>
        <w:tc>
          <w:tcPr>
            <w:tcW w:w="60" w:type="dxa"/>
            <w:vAlign w:val="bottom"/>
            <w:shd w:val="clear" w:color="auto" w:fill="DBDBDB"/>
          </w:tcPr>
          <w:p>
            <w:pPr>
              <w:spacing w:after="0"/>
              <w:rPr>
                <w:sz w:val="12"/>
                <w:szCs w:val="12"/>
                <w:color w:val="auto"/>
              </w:rPr>
            </w:pPr>
          </w:p>
        </w:tc>
        <w:tc>
          <w:tcPr>
            <w:tcW w:w="820" w:type="dxa"/>
            <w:vAlign w:val="bottom"/>
            <w:shd w:val="clear" w:color="auto" w:fill="DBDBDB"/>
          </w:tcPr>
          <w:p>
            <w:pPr>
              <w:spacing w:after="0"/>
              <w:rPr>
                <w:sz w:val="12"/>
                <w:szCs w:val="12"/>
                <w:color w:val="auto"/>
              </w:rPr>
            </w:pPr>
          </w:p>
        </w:tc>
        <w:tc>
          <w:tcPr>
            <w:tcW w:w="10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purchase accounting</w:t>
            </w:r>
          </w:p>
        </w:tc>
        <w:tc>
          <w:tcPr>
            <w:tcW w:w="680" w:type="dxa"/>
            <w:vAlign w:val="bottom"/>
            <w:shd w:val="clear" w:color="auto" w:fill="DBDBDB"/>
          </w:tcPr>
          <w:p>
            <w:pPr>
              <w:spacing w:after="0"/>
              <w:rPr>
                <w:sz w:val="14"/>
                <w:szCs w:val="14"/>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285,000</w:t>
            </w:r>
          </w:p>
        </w:tc>
        <w:tc>
          <w:tcPr>
            <w:tcW w:w="80" w:type="dxa"/>
            <w:vAlign w:val="bottom"/>
            <w:shd w:val="clear" w:color="auto" w:fill="DBDBDB"/>
          </w:tcPr>
          <w:p>
            <w:pPr>
              <w:spacing w:after="0"/>
              <w:rPr>
                <w:sz w:val="14"/>
                <w:szCs w:val="14"/>
                <w:color w:val="auto"/>
              </w:rPr>
            </w:pPr>
          </w:p>
        </w:tc>
        <w:tc>
          <w:tcPr>
            <w:tcW w:w="680" w:type="dxa"/>
            <w:vAlign w:val="bottom"/>
            <w:shd w:val="clear" w:color="auto" w:fill="DBDBDB"/>
          </w:tcPr>
          <w:p>
            <w:pPr>
              <w:spacing w:after="0"/>
              <w:rPr>
                <w:sz w:val="14"/>
                <w:szCs w:val="14"/>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(233,666)</w:t>
            </w:r>
          </w:p>
        </w:tc>
        <w:tc>
          <w:tcPr>
            <w:tcW w:w="80" w:type="dxa"/>
            <w:vAlign w:val="bottom"/>
            <w:shd w:val="clear" w:color="auto" w:fill="DBDBDB"/>
          </w:tcPr>
          <w:p>
            <w:pPr>
              <w:spacing w:after="0"/>
              <w:rPr>
                <w:sz w:val="14"/>
                <w:szCs w:val="14"/>
                <w:color w:val="auto"/>
              </w:rPr>
            </w:pPr>
          </w:p>
        </w:tc>
        <w:tc>
          <w:tcPr>
            <w:tcW w:w="680" w:type="dxa"/>
            <w:vAlign w:val="bottom"/>
            <w:shd w:val="clear" w:color="auto" w:fill="DBDBDB"/>
          </w:tcPr>
          <w:p>
            <w:pPr>
              <w:spacing w:after="0"/>
              <w:rPr>
                <w:sz w:val="14"/>
                <w:szCs w:val="14"/>
                <w:color w:val="auto"/>
              </w:rPr>
            </w:pPr>
          </w:p>
        </w:tc>
        <w:tc>
          <w:tcPr>
            <w:tcW w:w="110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shd w:val="clear" w:color="auto" w:fill="DBDBDB"/>
          </w:tcPr>
          <w:p>
            <w:pPr>
              <w:spacing w:after="0"/>
              <w:rPr>
                <w:sz w:val="14"/>
                <w:szCs w:val="14"/>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(43,173)</w:t>
            </w:r>
          </w:p>
        </w:tc>
        <w:tc>
          <w:tcPr>
            <w:tcW w:w="60" w:type="dxa"/>
            <w:vAlign w:val="bottom"/>
            <w:shd w:val="clear" w:color="auto" w:fill="DBDBDB"/>
          </w:tcPr>
          <w:p>
            <w:pPr>
              <w:spacing w:after="0"/>
              <w:rPr>
                <w:sz w:val="14"/>
                <w:szCs w:val="14"/>
                <w:color w:val="auto"/>
              </w:rPr>
            </w:pPr>
          </w:p>
        </w:tc>
        <w:tc>
          <w:tcPr>
            <w:tcW w:w="820" w:type="dxa"/>
            <w:vAlign w:val="bottom"/>
            <w:shd w:val="clear" w:color="auto" w:fill="DBDBDB"/>
          </w:tcPr>
          <w:p>
            <w:pPr>
              <w:spacing w:after="0"/>
              <w:rPr>
                <w:sz w:val="14"/>
                <w:szCs w:val="14"/>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8,161</w:t>
            </w:r>
          </w:p>
        </w:tc>
        <w:tc>
          <w:tcPr>
            <w:tcW w:w="0" w:type="dxa"/>
            <w:vAlign w:val="bottom"/>
          </w:tcPr>
          <w:p>
            <w:pPr>
              <w:spacing w:after="0"/>
              <w:rPr>
                <w:sz w:val="1"/>
                <w:szCs w:val="1"/>
                <w:color w:val="auto"/>
              </w:rPr>
            </w:pPr>
          </w:p>
        </w:tc>
      </w:tr>
      <w:tr>
        <w:trPr>
          <w:trHeight w:val="144"/>
        </w:trPr>
        <w:tc>
          <w:tcPr>
            <w:tcW w:w="2260" w:type="dxa"/>
            <w:vAlign w:val="bottom"/>
          </w:tcPr>
          <w:p>
            <w:pPr>
              <w:ind w:left="720"/>
              <w:spacing w:after="0" w:line="144" w:lineRule="exact"/>
              <w:rPr>
                <w:sz w:val="20"/>
                <w:szCs w:val="20"/>
                <w:color w:val="auto"/>
              </w:rPr>
            </w:pPr>
            <w:r>
              <w:rPr>
                <w:rFonts w:ascii="Arial" w:cs="Arial" w:eastAsia="Arial" w:hAnsi="Arial"/>
                <w:sz w:val="13"/>
                <w:szCs w:val="13"/>
                <w:color w:val="auto"/>
              </w:rPr>
              <w:t>Effects of movements in</w:t>
            </w: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260" w:type="dxa"/>
            <w:vAlign w:val="bottom"/>
            <w:tcBorders>
              <w:bottom w:val="single" w:sz="8" w:color="DBDBDB"/>
            </w:tcBorders>
          </w:tcPr>
          <w:p>
            <w:pPr>
              <w:ind w:left="200"/>
              <w:spacing w:after="0"/>
              <w:rPr>
                <w:sz w:val="20"/>
                <w:szCs w:val="20"/>
                <w:color w:val="auto"/>
              </w:rPr>
            </w:pPr>
            <w:r>
              <w:rPr>
                <w:rFonts w:ascii="Arial" w:cs="Arial" w:eastAsia="Arial" w:hAnsi="Arial"/>
                <w:sz w:val="13"/>
                <w:szCs w:val="13"/>
                <w:color w:val="auto"/>
              </w:rPr>
              <w:t>foreign exchange rates</w:t>
            </w:r>
          </w:p>
        </w:tc>
        <w:tc>
          <w:tcPr>
            <w:tcW w:w="6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221</w:t>
            </w:r>
          </w:p>
        </w:tc>
        <w:tc>
          <w:tcPr>
            <w:tcW w:w="80" w:type="dxa"/>
            <w:vAlign w:val="bottom"/>
            <w:tcBorders>
              <w:bottom w:val="single" w:sz="8" w:color="DBDBDB"/>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(311)</w:t>
            </w:r>
          </w:p>
        </w:tc>
        <w:tc>
          <w:tcPr>
            <w:tcW w:w="80" w:type="dxa"/>
            <w:vAlign w:val="bottom"/>
            <w:tcBorders>
              <w:bottom w:val="single" w:sz="8" w:color="DBDBDB"/>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(502)</w:t>
            </w:r>
          </w:p>
        </w:tc>
        <w:tc>
          <w:tcPr>
            <w:tcW w:w="80" w:type="dxa"/>
            <w:vAlign w:val="bottom"/>
            <w:tcBorders>
              <w:bottom w:val="single" w:sz="8" w:color="DBDBDB"/>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60" w:type="dxa"/>
            <w:vAlign w:val="bottom"/>
            <w:tcBorders>
              <w:bottom w:val="single" w:sz="8" w:color="DBDBDB"/>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(574)</w:t>
            </w:r>
          </w:p>
        </w:tc>
        <w:tc>
          <w:tcPr>
            <w:tcW w:w="0" w:type="dxa"/>
            <w:vAlign w:val="bottom"/>
          </w:tcPr>
          <w:p>
            <w:pPr>
              <w:spacing w:after="0"/>
              <w:rPr>
                <w:sz w:val="1"/>
                <w:szCs w:val="1"/>
                <w:color w:val="auto"/>
              </w:rPr>
            </w:pPr>
          </w:p>
        </w:tc>
      </w:tr>
      <w:tr>
        <w:trPr>
          <w:trHeight w:val="126"/>
        </w:trPr>
        <w:tc>
          <w:tcPr>
            <w:tcW w:w="2260" w:type="dxa"/>
            <w:vAlign w:val="bottom"/>
            <w:shd w:val="clear" w:color="auto" w:fill="DBDBDB"/>
          </w:tcPr>
          <w:p>
            <w:pPr>
              <w:ind w:left="540"/>
              <w:spacing w:after="0" w:line="126" w:lineRule="exact"/>
              <w:rPr>
                <w:sz w:val="20"/>
                <w:szCs w:val="20"/>
                <w:color w:val="auto"/>
              </w:rPr>
            </w:pPr>
            <w:r>
              <w:rPr>
                <w:rFonts w:ascii="Arial" w:cs="Arial" w:eastAsia="Arial" w:hAnsi="Arial"/>
                <w:sz w:val="13"/>
                <w:szCs w:val="13"/>
                <w:color w:val="auto"/>
              </w:rPr>
              <w:t>Balance at December 31,</w:t>
            </w:r>
          </w:p>
        </w:tc>
        <w:tc>
          <w:tcPr>
            <w:tcW w:w="680" w:type="dxa"/>
            <w:vAlign w:val="bottom"/>
            <w:vMerge w:val="restart"/>
            <w:shd w:val="clear" w:color="auto" w:fill="DBDBDB"/>
          </w:tcPr>
          <w:p>
            <w:pPr>
              <w:jc w:val="right"/>
              <w:ind w:right="14"/>
              <w:spacing w:after="0"/>
              <w:rPr>
                <w:sz w:val="20"/>
                <w:szCs w:val="20"/>
                <w:color w:val="auto"/>
              </w:rPr>
            </w:pPr>
            <w:r>
              <w:rPr>
                <w:rFonts w:ascii="Arial" w:cs="Arial" w:eastAsia="Arial" w:hAnsi="Arial"/>
                <w:sz w:val="13"/>
                <w:szCs w:val="13"/>
                <w:color w:val="auto"/>
              </w:rPr>
              <w:t>$</w:t>
            </w:r>
          </w:p>
        </w:tc>
        <w:tc>
          <w:tcPr>
            <w:tcW w:w="10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521,049</w:t>
            </w:r>
          </w:p>
        </w:tc>
        <w:tc>
          <w:tcPr>
            <w:tcW w:w="80" w:type="dxa"/>
            <w:vAlign w:val="bottom"/>
            <w:shd w:val="clear" w:color="auto" w:fill="DBDBDB"/>
          </w:tcPr>
          <w:p>
            <w:pPr>
              <w:spacing w:after="0"/>
              <w:rPr>
                <w:sz w:val="10"/>
                <w:szCs w:val="10"/>
                <w:color w:val="auto"/>
              </w:rPr>
            </w:pPr>
          </w:p>
        </w:tc>
        <w:tc>
          <w:tcPr>
            <w:tcW w:w="680" w:type="dxa"/>
            <w:vAlign w:val="bottom"/>
            <w:vMerge w:val="restart"/>
            <w:shd w:val="clear" w:color="auto" w:fill="DBDBDB"/>
          </w:tcPr>
          <w:p>
            <w:pPr>
              <w:jc w:val="right"/>
              <w:ind w:right="14"/>
              <w:spacing w:after="0"/>
              <w:rPr>
                <w:sz w:val="20"/>
                <w:szCs w:val="20"/>
                <w:color w:val="auto"/>
              </w:rPr>
            </w:pPr>
            <w:r>
              <w:rPr>
                <w:rFonts w:ascii="Arial" w:cs="Arial" w:eastAsia="Arial" w:hAnsi="Arial"/>
                <w:sz w:val="13"/>
                <w:szCs w:val="13"/>
                <w:color w:val="auto"/>
              </w:rPr>
              <w:t>$</w:t>
            </w: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492,552</w:t>
            </w:r>
          </w:p>
        </w:tc>
        <w:tc>
          <w:tcPr>
            <w:tcW w:w="80" w:type="dxa"/>
            <w:vAlign w:val="bottom"/>
            <w:shd w:val="clear" w:color="auto" w:fill="DBDBDB"/>
          </w:tcPr>
          <w:p>
            <w:pPr>
              <w:spacing w:after="0"/>
              <w:rPr>
                <w:sz w:val="10"/>
                <w:szCs w:val="10"/>
                <w:color w:val="auto"/>
              </w:rPr>
            </w:pPr>
          </w:p>
        </w:tc>
        <w:tc>
          <w:tcPr>
            <w:tcW w:w="6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65,098</w:t>
            </w:r>
          </w:p>
        </w:tc>
        <w:tc>
          <w:tcPr>
            <w:tcW w:w="80" w:type="dxa"/>
            <w:vAlign w:val="bottom"/>
            <w:shd w:val="clear" w:color="auto" w:fill="DBDBDB"/>
          </w:tcPr>
          <w:p>
            <w:pPr>
              <w:spacing w:after="0"/>
              <w:rPr>
                <w:sz w:val="10"/>
                <w:szCs w:val="10"/>
                <w:color w:val="auto"/>
              </w:rPr>
            </w:pPr>
          </w:p>
        </w:tc>
        <w:tc>
          <w:tcPr>
            <w:tcW w:w="6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1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100,107</w:t>
            </w:r>
          </w:p>
        </w:tc>
        <w:tc>
          <w:tcPr>
            <w:tcW w:w="60" w:type="dxa"/>
            <w:vAlign w:val="bottom"/>
            <w:shd w:val="clear" w:color="auto" w:fill="DBDBDB"/>
          </w:tcPr>
          <w:p>
            <w:pPr>
              <w:spacing w:after="0"/>
              <w:rPr>
                <w:sz w:val="10"/>
                <w:szCs w:val="10"/>
                <w:color w:val="auto"/>
              </w:rPr>
            </w:pPr>
          </w:p>
        </w:tc>
        <w:tc>
          <w:tcPr>
            <w:tcW w:w="820" w:type="dxa"/>
            <w:vAlign w:val="bottom"/>
            <w:vMerge w:val="restart"/>
            <w:shd w:val="clear" w:color="auto" w:fill="DBDBDB"/>
          </w:tcPr>
          <w:p>
            <w:pPr>
              <w:jc w:val="right"/>
              <w:ind w:right="134"/>
              <w:spacing w:after="0"/>
              <w:rPr>
                <w:sz w:val="20"/>
                <w:szCs w:val="20"/>
                <w:color w:val="auto"/>
              </w:rPr>
            </w:pPr>
            <w:r>
              <w:rPr>
                <w:rFonts w:ascii="Arial" w:cs="Arial" w:eastAsia="Arial" w:hAnsi="Arial"/>
                <w:sz w:val="13"/>
                <w:szCs w:val="13"/>
                <w:color w:val="auto"/>
              </w:rPr>
              <w:t>$</w:t>
            </w:r>
          </w:p>
        </w:tc>
        <w:tc>
          <w:tcPr>
            <w:tcW w:w="10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1,178,806</w:t>
            </w:r>
          </w:p>
        </w:tc>
        <w:tc>
          <w:tcPr>
            <w:tcW w:w="0" w:type="dxa"/>
            <w:vAlign w:val="bottom"/>
          </w:tcPr>
          <w:p>
            <w:pPr>
              <w:spacing w:after="0"/>
              <w:rPr>
                <w:sz w:val="1"/>
                <w:szCs w:val="1"/>
                <w:color w:val="auto"/>
              </w:rPr>
            </w:pPr>
          </w:p>
        </w:tc>
      </w:tr>
      <w:tr>
        <w:trPr>
          <w:trHeight w:val="160"/>
        </w:trPr>
        <w:tc>
          <w:tcPr>
            <w:tcW w:w="2260" w:type="dxa"/>
            <w:vAlign w:val="bottom"/>
            <w:tcBorders>
              <w:bottom w:val="single" w:sz="8" w:color="DBDBDB"/>
            </w:tcBorders>
            <w:shd w:val="clear" w:color="auto" w:fill="DBDBDB"/>
          </w:tcPr>
          <w:p>
            <w:pPr>
              <w:ind w:left="20"/>
              <w:spacing w:after="0" w:line="141" w:lineRule="exact"/>
              <w:rPr>
                <w:sz w:val="20"/>
                <w:szCs w:val="20"/>
                <w:color w:val="auto"/>
              </w:rPr>
            </w:pPr>
            <w:r>
              <w:rPr>
                <w:rFonts w:ascii="Arial" w:cs="Arial" w:eastAsia="Arial" w:hAnsi="Arial"/>
                <w:sz w:val="13"/>
                <w:szCs w:val="13"/>
                <w:color w:val="auto"/>
              </w:rPr>
              <w:t>2021</w:t>
            </w:r>
          </w:p>
        </w:tc>
        <w:tc>
          <w:tcPr>
            <w:tcW w:w="680" w:type="dxa"/>
            <w:vAlign w:val="bottom"/>
            <w:tcBorders>
              <w:bottom w:val="single" w:sz="8" w:color="auto"/>
            </w:tcBorders>
            <w:vMerge w:val="continue"/>
            <w:shd w:val="clear" w:color="auto" w:fill="DBDBDB"/>
          </w:tcPr>
          <w:p>
            <w:pPr>
              <w:spacing w:after="0"/>
              <w:rPr>
                <w:sz w:val="13"/>
                <w:szCs w:val="13"/>
                <w:color w:val="auto"/>
              </w:rPr>
            </w:pPr>
          </w:p>
        </w:tc>
        <w:tc>
          <w:tcPr>
            <w:tcW w:w="1060" w:type="dxa"/>
            <w:vAlign w:val="bottom"/>
            <w:tcBorders>
              <w:bottom w:val="single" w:sz="8" w:color="auto"/>
            </w:tcBorders>
            <w:vMerge w:val="continue"/>
            <w:shd w:val="clear" w:color="auto" w:fill="DBDBDB"/>
          </w:tcPr>
          <w:p>
            <w:pPr>
              <w:spacing w:after="0"/>
              <w:rPr>
                <w:sz w:val="13"/>
                <w:szCs w:val="13"/>
                <w:color w:val="auto"/>
              </w:rPr>
            </w:pPr>
          </w:p>
        </w:tc>
        <w:tc>
          <w:tcPr>
            <w:tcW w:w="80" w:type="dxa"/>
            <w:vAlign w:val="bottom"/>
            <w:tcBorders>
              <w:bottom w:val="single" w:sz="8" w:color="DBDBDB"/>
            </w:tcBorders>
            <w:shd w:val="clear" w:color="auto" w:fill="DBDBDB"/>
          </w:tcPr>
          <w:p>
            <w:pPr>
              <w:spacing w:after="0"/>
              <w:rPr>
                <w:sz w:val="13"/>
                <w:szCs w:val="13"/>
                <w:color w:val="auto"/>
              </w:rPr>
            </w:pPr>
          </w:p>
        </w:tc>
        <w:tc>
          <w:tcPr>
            <w:tcW w:w="680" w:type="dxa"/>
            <w:vAlign w:val="bottom"/>
            <w:tcBorders>
              <w:bottom w:val="single" w:sz="8" w:color="auto"/>
            </w:tcBorders>
            <w:vMerge w:val="continue"/>
            <w:shd w:val="clear" w:color="auto" w:fill="DBDBDB"/>
          </w:tcPr>
          <w:p>
            <w:pPr>
              <w:spacing w:after="0"/>
              <w:rPr>
                <w:sz w:val="13"/>
                <w:szCs w:val="13"/>
                <w:color w:val="auto"/>
              </w:rPr>
            </w:pPr>
          </w:p>
        </w:tc>
        <w:tc>
          <w:tcPr>
            <w:tcW w:w="1040" w:type="dxa"/>
            <w:vAlign w:val="bottom"/>
            <w:tcBorders>
              <w:bottom w:val="single" w:sz="8" w:color="auto"/>
            </w:tcBorders>
            <w:vMerge w:val="continue"/>
            <w:shd w:val="clear" w:color="auto" w:fill="DBDBDB"/>
          </w:tcPr>
          <w:p>
            <w:pPr>
              <w:spacing w:after="0"/>
              <w:rPr>
                <w:sz w:val="13"/>
                <w:szCs w:val="13"/>
                <w:color w:val="auto"/>
              </w:rPr>
            </w:pPr>
          </w:p>
        </w:tc>
        <w:tc>
          <w:tcPr>
            <w:tcW w:w="80" w:type="dxa"/>
            <w:vAlign w:val="bottom"/>
            <w:tcBorders>
              <w:bottom w:val="single" w:sz="8" w:color="auto"/>
            </w:tcBorders>
            <w:shd w:val="clear" w:color="auto" w:fill="DBDBDB"/>
          </w:tcPr>
          <w:p>
            <w:pPr>
              <w:spacing w:after="0"/>
              <w:rPr>
                <w:sz w:val="13"/>
                <w:szCs w:val="13"/>
                <w:color w:val="auto"/>
              </w:rPr>
            </w:pPr>
          </w:p>
        </w:tc>
        <w:tc>
          <w:tcPr>
            <w:tcW w:w="680" w:type="dxa"/>
            <w:vAlign w:val="bottom"/>
            <w:tcBorders>
              <w:bottom w:val="single" w:sz="8" w:color="auto"/>
            </w:tcBorders>
            <w:vMerge w:val="continue"/>
            <w:shd w:val="clear" w:color="auto" w:fill="DBDBDB"/>
          </w:tcPr>
          <w:p>
            <w:pPr>
              <w:spacing w:after="0"/>
              <w:rPr>
                <w:sz w:val="13"/>
                <w:szCs w:val="13"/>
                <w:color w:val="auto"/>
              </w:rPr>
            </w:pPr>
          </w:p>
        </w:tc>
        <w:tc>
          <w:tcPr>
            <w:tcW w:w="1020" w:type="dxa"/>
            <w:vAlign w:val="bottom"/>
            <w:tcBorders>
              <w:bottom w:val="single" w:sz="8" w:color="auto"/>
            </w:tcBorders>
            <w:vMerge w:val="continue"/>
            <w:shd w:val="clear" w:color="auto" w:fill="DBDBDB"/>
          </w:tcPr>
          <w:p>
            <w:pPr>
              <w:spacing w:after="0"/>
              <w:rPr>
                <w:sz w:val="13"/>
                <w:szCs w:val="13"/>
                <w:color w:val="auto"/>
              </w:rPr>
            </w:pPr>
          </w:p>
        </w:tc>
        <w:tc>
          <w:tcPr>
            <w:tcW w:w="80" w:type="dxa"/>
            <w:vAlign w:val="bottom"/>
            <w:tcBorders>
              <w:bottom w:val="single" w:sz="8" w:color="auto"/>
            </w:tcBorders>
            <w:shd w:val="clear" w:color="auto" w:fill="DBDBDB"/>
          </w:tcPr>
          <w:p>
            <w:pPr>
              <w:spacing w:after="0"/>
              <w:rPr>
                <w:sz w:val="13"/>
                <w:szCs w:val="13"/>
                <w:color w:val="auto"/>
              </w:rPr>
            </w:pPr>
          </w:p>
        </w:tc>
        <w:tc>
          <w:tcPr>
            <w:tcW w:w="620" w:type="dxa"/>
            <w:vAlign w:val="bottom"/>
            <w:tcBorders>
              <w:bottom w:val="single" w:sz="8" w:color="auto"/>
            </w:tcBorders>
            <w:vMerge w:val="continue"/>
            <w:shd w:val="clear" w:color="auto" w:fill="DBDBDB"/>
          </w:tcPr>
          <w:p>
            <w:pPr>
              <w:spacing w:after="0"/>
              <w:rPr>
                <w:sz w:val="13"/>
                <w:szCs w:val="13"/>
                <w:color w:val="auto"/>
              </w:rPr>
            </w:pPr>
          </w:p>
        </w:tc>
        <w:tc>
          <w:tcPr>
            <w:tcW w:w="1120" w:type="dxa"/>
            <w:vAlign w:val="bottom"/>
            <w:tcBorders>
              <w:bottom w:val="single" w:sz="8" w:color="auto"/>
            </w:tcBorders>
            <w:vMerge w:val="continue"/>
            <w:shd w:val="clear" w:color="auto" w:fill="DBDBDB"/>
          </w:tcPr>
          <w:p>
            <w:pPr>
              <w:spacing w:after="0"/>
              <w:rPr>
                <w:sz w:val="13"/>
                <w:szCs w:val="13"/>
                <w:color w:val="auto"/>
              </w:rPr>
            </w:pPr>
          </w:p>
        </w:tc>
        <w:tc>
          <w:tcPr>
            <w:tcW w:w="60" w:type="dxa"/>
            <w:vAlign w:val="bottom"/>
            <w:tcBorders>
              <w:bottom w:val="single" w:sz="8" w:color="auto"/>
            </w:tcBorders>
            <w:shd w:val="clear" w:color="auto" w:fill="DBDBDB"/>
          </w:tcPr>
          <w:p>
            <w:pPr>
              <w:spacing w:after="0"/>
              <w:rPr>
                <w:sz w:val="13"/>
                <w:szCs w:val="13"/>
                <w:color w:val="auto"/>
              </w:rPr>
            </w:pPr>
          </w:p>
        </w:tc>
        <w:tc>
          <w:tcPr>
            <w:tcW w:w="820" w:type="dxa"/>
            <w:vAlign w:val="bottom"/>
            <w:tcBorders>
              <w:bottom w:val="single" w:sz="8" w:color="auto"/>
            </w:tcBorders>
            <w:vMerge w:val="continue"/>
            <w:shd w:val="clear" w:color="auto" w:fill="DBDBDB"/>
          </w:tcPr>
          <w:p>
            <w:pPr>
              <w:spacing w:after="0"/>
              <w:rPr>
                <w:sz w:val="13"/>
                <w:szCs w:val="13"/>
                <w:color w:val="auto"/>
              </w:rPr>
            </w:pPr>
          </w:p>
        </w:tc>
        <w:tc>
          <w:tcPr>
            <w:tcW w:w="1000" w:type="dxa"/>
            <w:vAlign w:val="bottom"/>
            <w:tcBorders>
              <w:bottom w:val="single" w:sz="8" w:color="auto"/>
            </w:tcBorders>
            <w:vMerge w:val="continue"/>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DBDBDB"/>
            </w:tcBorders>
          </w:tcPr>
          <w:p>
            <w:pPr>
              <w:spacing w:after="0" w:line="20" w:lineRule="exact"/>
              <w:rPr>
                <w:sz w:val="1"/>
                <w:szCs w:val="1"/>
                <w:color w:val="auto"/>
              </w:rPr>
            </w:pPr>
          </w:p>
        </w:tc>
        <w:tc>
          <w:tcPr>
            <w:tcW w:w="68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68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bottom w:val="single" w:sz="8" w:color="auto"/>
            </w:tcBorders>
          </w:tcPr>
          <w:p>
            <w:pPr>
              <w:spacing w:after="0" w:line="20" w:lineRule="exact"/>
              <w:rPr>
                <w:sz w:val="1"/>
                <w:szCs w:val="1"/>
                <w:color w:val="auto"/>
              </w:rPr>
            </w:pPr>
          </w:p>
        </w:tc>
        <w:tc>
          <w:tcPr>
            <w:tcW w:w="68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bottom w:val="single" w:sz="8" w:color="auto"/>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6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The Company conducted its annual impairment test of goodwill as of October 1, 2021 and determined that there was no impairment of goodwill identified as a result of the annual impairment analysis. Accumulated historical goodwill impairment losses were $792.8 million and pertain to the NA Modular segment prior to Double Eagle Acquisition Corporation's ("DEAC") acquisition of Williams Scotsman International, Inc. ("WSII") from Algeco Scotsman Global S.à r.l. in 2017. There were no goodwill impairments recorded for the years ended December 31, 2021, 2020 and 2019.</w:t>
      </w:r>
    </w:p>
    <w:p>
      <w:pPr>
        <w:spacing w:after="0" w:line="35" w:lineRule="exact"/>
        <w:rPr>
          <w:sz w:val="20"/>
          <w:szCs w:val="20"/>
          <w:color w:val="auto"/>
        </w:rPr>
      </w:pPr>
    </w:p>
    <w:p>
      <w:pPr>
        <w:ind w:left="540"/>
        <w:spacing w:after="0"/>
        <w:rPr>
          <w:sz w:val="20"/>
          <w:szCs w:val="20"/>
          <w:color w:val="auto"/>
        </w:rPr>
      </w:pPr>
      <w:r>
        <w:rPr>
          <w:rFonts w:ascii="Arial" w:cs="Arial" w:eastAsia="Arial" w:hAnsi="Arial"/>
          <w:sz w:val="13"/>
          <w:szCs w:val="13"/>
          <w:color w:val="auto"/>
        </w:rPr>
        <w:t>Changes to Mobile Mini purchase accounting are largely the result of the finalization of the assignment of goodwill to the reporting units during the measurement period.</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Intangible Assets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220" w:type="dxa"/>
            <w:vAlign w:val="bottom"/>
            <w:gridSpan w:val="2"/>
          </w:tcPr>
          <w:p>
            <w:pPr>
              <w:ind w:left="540"/>
              <w:spacing w:after="0"/>
              <w:rPr>
                <w:sz w:val="20"/>
                <w:szCs w:val="20"/>
                <w:color w:val="auto"/>
              </w:rPr>
            </w:pPr>
            <w:r>
              <w:rPr>
                <w:rFonts w:ascii="Arial" w:cs="Arial" w:eastAsia="Arial" w:hAnsi="Arial"/>
                <w:sz w:val="13"/>
                <w:szCs w:val="13"/>
                <w:color w:val="auto"/>
              </w:rPr>
              <w:t>Intangible assets other than goodwill at December 31, consisted of the following:</w:t>
            </w:r>
          </w:p>
        </w:tc>
        <w:tc>
          <w:tcPr>
            <w:tcW w:w="1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0"/>
        </w:trPr>
        <w:tc>
          <w:tcPr>
            <w:tcW w:w="5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5180" w:type="dxa"/>
            <w:vAlign w:val="bottom"/>
            <w:shd w:val="clear" w:color="auto" w:fill="1D2758"/>
          </w:tcPr>
          <w:p>
            <w:pPr>
              <w:spacing w:after="0"/>
              <w:rPr>
                <w:sz w:val="15"/>
                <w:szCs w:val="15"/>
                <w:color w:val="auto"/>
              </w:rPr>
            </w:pPr>
          </w:p>
        </w:tc>
        <w:tc>
          <w:tcPr>
            <w:tcW w:w="40" w:type="dxa"/>
            <w:vAlign w:val="bottom"/>
            <w:shd w:val="clear" w:color="auto" w:fill="1D2758"/>
          </w:tcPr>
          <w:p>
            <w:pPr>
              <w:spacing w:after="0"/>
              <w:rPr>
                <w:sz w:val="15"/>
                <w:szCs w:val="15"/>
                <w:color w:val="auto"/>
              </w:rPr>
            </w:pPr>
          </w:p>
        </w:tc>
        <w:tc>
          <w:tcPr>
            <w:tcW w:w="1520" w:type="dxa"/>
            <w:vAlign w:val="bottom"/>
            <w:shd w:val="clear" w:color="auto" w:fill="1D2758"/>
          </w:tcPr>
          <w:p>
            <w:pPr>
              <w:spacing w:after="0"/>
              <w:rPr>
                <w:sz w:val="15"/>
                <w:szCs w:val="15"/>
                <w:color w:val="auto"/>
              </w:rPr>
            </w:pPr>
          </w:p>
        </w:tc>
        <w:tc>
          <w:tcPr>
            <w:tcW w:w="20" w:type="dxa"/>
            <w:vAlign w:val="bottom"/>
            <w:shd w:val="clear" w:color="auto" w:fill="1D2758"/>
          </w:tcPr>
          <w:p>
            <w:pPr>
              <w:spacing w:after="0"/>
              <w:rPr>
                <w:sz w:val="15"/>
                <w:szCs w:val="15"/>
                <w:color w:val="auto"/>
              </w:rPr>
            </w:pPr>
          </w:p>
        </w:tc>
        <w:tc>
          <w:tcPr>
            <w:tcW w:w="160" w:type="dxa"/>
            <w:vAlign w:val="bottom"/>
            <w:shd w:val="clear" w:color="auto" w:fill="1D2758"/>
          </w:tcPr>
          <w:p>
            <w:pPr>
              <w:spacing w:after="0"/>
              <w:rPr>
                <w:sz w:val="15"/>
                <w:szCs w:val="15"/>
                <w:color w:val="auto"/>
              </w:rPr>
            </w:pPr>
          </w:p>
        </w:tc>
        <w:tc>
          <w:tcPr>
            <w:tcW w:w="2900" w:type="dxa"/>
            <w:vAlign w:val="bottom"/>
            <w:gridSpan w:val="7"/>
            <w:shd w:val="clear" w:color="auto" w:fill="1D2758"/>
          </w:tcPr>
          <w:p>
            <w:pPr>
              <w:ind w:left="740"/>
              <w:spacing w:after="0"/>
              <w:rPr>
                <w:sz w:val="20"/>
                <w:szCs w:val="20"/>
                <w:color w:val="auto"/>
              </w:rPr>
            </w:pPr>
            <w:r>
              <w:rPr>
                <w:rFonts w:ascii="Arial" w:cs="Arial" w:eastAsia="Arial" w:hAnsi="Arial"/>
                <w:sz w:val="13"/>
                <w:szCs w:val="13"/>
                <w:b w:val="1"/>
                <w:bCs w:val="1"/>
                <w:color w:val="FFFFFF"/>
              </w:rPr>
              <w:t>December 31, 2021</w:t>
            </w:r>
          </w:p>
        </w:tc>
        <w:tc>
          <w:tcPr>
            <w:tcW w:w="180" w:type="dxa"/>
            <w:vAlign w:val="bottom"/>
            <w:shd w:val="clear" w:color="auto" w:fill="1D2758"/>
          </w:tcPr>
          <w:p>
            <w:pPr>
              <w:spacing w:after="0"/>
              <w:rPr>
                <w:sz w:val="15"/>
                <w:szCs w:val="15"/>
                <w:color w:val="auto"/>
              </w:rPr>
            </w:pPr>
          </w:p>
        </w:tc>
        <w:tc>
          <w:tcPr>
            <w:tcW w:w="1280" w:type="dxa"/>
            <w:vAlign w:val="bottom"/>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5180" w:type="dxa"/>
            <w:vAlign w:val="bottom"/>
            <w:shd w:val="clear" w:color="auto" w:fill="1D2758"/>
          </w:tcPr>
          <w:p>
            <w:pPr>
              <w:spacing w:after="0"/>
              <w:rPr>
                <w:sz w:val="11"/>
                <w:szCs w:val="11"/>
                <w:color w:val="auto"/>
              </w:rPr>
            </w:pPr>
          </w:p>
        </w:tc>
        <w:tc>
          <w:tcPr>
            <w:tcW w:w="40" w:type="dxa"/>
            <w:vAlign w:val="bottom"/>
            <w:shd w:val="clear" w:color="auto" w:fill="1D2758"/>
          </w:tcPr>
          <w:p>
            <w:pPr>
              <w:spacing w:after="0"/>
              <w:rPr>
                <w:sz w:val="11"/>
                <w:szCs w:val="11"/>
                <w:color w:val="auto"/>
              </w:rPr>
            </w:pPr>
          </w:p>
        </w:tc>
        <w:tc>
          <w:tcPr>
            <w:tcW w:w="1520" w:type="dxa"/>
            <w:vAlign w:val="bottom"/>
            <w:shd w:val="clear" w:color="auto" w:fill="1D2758"/>
          </w:tcPr>
          <w:p>
            <w:pPr>
              <w:jc w:val="center"/>
              <w:spacing w:after="0" w:line="133" w:lineRule="exact"/>
              <w:rPr>
                <w:sz w:val="20"/>
                <w:szCs w:val="20"/>
                <w:color w:val="auto"/>
              </w:rPr>
            </w:pPr>
            <w:r>
              <w:rPr>
                <w:rFonts w:ascii="Arial" w:cs="Arial" w:eastAsia="Arial" w:hAnsi="Arial"/>
                <w:sz w:val="13"/>
                <w:szCs w:val="13"/>
                <w:b w:val="1"/>
                <w:bCs w:val="1"/>
                <w:color w:val="FFFFFF"/>
                <w:w w:val="98"/>
              </w:rPr>
              <w:t>Weighted average</w:t>
            </w:r>
          </w:p>
        </w:tc>
        <w:tc>
          <w:tcPr>
            <w:tcW w:w="20" w:type="dxa"/>
            <w:vAlign w:val="bottom"/>
            <w:shd w:val="clear" w:color="auto" w:fill="1D2758"/>
          </w:tcPr>
          <w:p>
            <w:pPr>
              <w:spacing w:after="0"/>
              <w:rPr>
                <w:sz w:val="11"/>
                <w:szCs w:val="11"/>
                <w:color w:val="auto"/>
              </w:rPr>
            </w:pPr>
          </w:p>
        </w:tc>
        <w:tc>
          <w:tcPr>
            <w:tcW w:w="160" w:type="dxa"/>
            <w:vAlign w:val="bottom"/>
            <w:shd w:val="clear" w:color="auto" w:fill="1D2758"/>
          </w:tcPr>
          <w:p>
            <w:pPr>
              <w:spacing w:after="0"/>
              <w:rPr>
                <w:sz w:val="11"/>
                <w:szCs w:val="11"/>
                <w:color w:val="auto"/>
              </w:rPr>
            </w:pPr>
          </w:p>
        </w:tc>
        <w:tc>
          <w:tcPr>
            <w:tcW w:w="1280" w:type="dxa"/>
            <w:vAlign w:val="bottom"/>
            <w:gridSpan w:val="2"/>
            <w:vMerge w:val="restart"/>
            <w:shd w:val="clear" w:color="auto" w:fill="1D2758"/>
          </w:tcPr>
          <w:p>
            <w:pPr>
              <w:jc w:val="center"/>
              <w:ind w:right="160"/>
              <w:spacing w:after="0"/>
              <w:rPr>
                <w:sz w:val="20"/>
                <w:szCs w:val="20"/>
                <w:color w:val="auto"/>
              </w:rPr>
            </w:pPr>
            <w:r>
              <w:rPr>
                <w:rFonts w:ascii="Arial" w:cs="Arial" w:eastAsia="Arial" w:hAnsi="Arial"/>
                <w:sz w:val="13"/>
                <w:szCs w:val="13"/>
                <w:b w:val="1"/>
                <w:bCs w:val="1"/>
                <w:color w:val="FFFFFF"/>
                <w:w w:val="99"/>
              </w:rPr>
              <w:t>Gross carrying</w:t>
            </w:r>
          </w:p>
        </w:tc>
        <w:tc>
          <w:tcPr>
            <w:tcW w:w="60" w:type="dxa"/>
            <w:vAlign w:val="bottom"/>
            <w:shd w:val="clear" w:color="auto" w:fill="1D2758"/>
          </w:tcPr>
          <w:p>
            <w:pPr>
              <w:spacing w:after="0"/>
              <w:rPr>
                <w:sz w:val="11"/>
                <w:szCs w:val="11"/>
                <w:color w:val="auto"/>
              </w:rPr>
            </w:pPr>
          </w:p>
        </w:tc>
        <w:tc>
          <w:tcPr>
            <w:tcW w:w="20" w:type="dxa"/>
            <w:vAlign w:val="bottom"/>
            <w:shd w:val="clear" w:color="auto" w:fill="1D2758"/>
          </w:tcPr>
          <w:p>
            <w:pPr>
              <w:spacing w:after="0"/>
              <w:rPr>
                <w:sz w:val="11"/>
                <w:szCs w:val="11"/>
                <w:color w:val="auto"/>
              </w:rPr>
            </w:pPr>
          </w:p>
        </w:tc>
        <w:tc>
          <w:tcPr>
            <w:tcW w:w="200" w:type="dxa"/>
            <w:vAlign w:val="bottom"/>
            <w:shd w:val="clear" w:color="auto" w:fill="1D2758"/>
          </w:tcPr>
          <w:p>
            <w:pPr>
              <w:spacing w:after="0"/>
              <w:rPr>
                <w:sz w:val="11"/>
                <w:szCs w:val="11"/>
                <w:color w:val="auto"/>
              </w:rPr>
            </w:pPr>
          </w:p>
        </w:tc>
        <w:tc>
          <w:tcPr>
            <w:tcW w:w="1340" w:type="dxa"/>
            <w:vAlign w:val="bottom"/>
            <w:gridSpan w:val="2"/>
            <w:vMerge w:val="restart"/>
            <w:shd w:val="clear" w:color="auto" w:fill="1D2758"/>
          </w:tcPr>
          <w:p>
            <w:pPr>
              <w:jc w:val="center"/>
              <w:ind w:right="280"/>
              <w:spacing w:after="0"/>
              <w:rPr>
                <w:sz w:val="20"/>
                <w:szCs w:val="20"/>
                <w:color w:val="auto"/>
              </w:rPr>
            </w:pPr>
            <w:r>
              <w:rPr>
                <w:rFonts w:ascii="Arial" w:cs="Arial" w:eastAsia="Arial" w:hAnsi="Arial"/>
                <w:sz w:val="13"/>
                <w:szCs w:val="13"/>
                <w:b w:val="1"/>
                <w:bCs w:val="1"/>
                <w:color w:val="FFFFFF"/>
              </w:rPr>
              <w:t>Accumulated</w:t>
            </w:r>
          </w:p>
        </w:tc>
        <w:tc>
          <w:tcPr>
            <w:tcW w:w="180" w:type="dxa"/>
            <w:vAlign w:val="bottom"/>
            <w:shd w:val="clear" w:color="auto" w:fill="1D2758"/>
          </w:tcPr>
          <w:p>
            <w:pPr>
              <w:spacing w:after="0"/>
              <w:rPr>
                <w:sz w:val="11"/>
                <w:szCs w:val="11"/>
                <w:color w:val="auto"/>
              </w:rPr>
            </w:pPr>
          </w:p>
        </w:tc>
        <w:tc>
          <w:tcPr>
            <w:tcW w:w="1280" w:type="dxa"/>
            <w:vAlign w:val="bottom"/>
            <w:shd w:val="clear" w:color="auto" w:fill="1D2758"/>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220" w:type="dxa"/>
            <w:vAlign w:val="bottom"/>
            <w:gridSpan w:val="2"/>
            <w:vMerge w:val="restart"/>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1520" w:type="dxa"/>
            <w:vAlign w:val="bottom"/>
            <w:shd w:val="clear" w:color="auto" w:fill="1D2758"/>
          </w:tcPr>
          <w:p>
            <w:pPr>
              <w:jc w:val="center"/>
              <w:spacing w:after="0" w:line="131" w:lineRule="exact"/>
              <w:rPr>
                <w:sz w:val="20"/>
                <w:szCs w:val="20"/>
                <w:color w:val="auto"/>
              </w:rPr>
            </w:pPr>
            <w:r>
              <w:rPr>
                <w:rFonts w:ascii="Arial" w:cs="Arial" w:eastAsia="Arial" w:hAnsi="Arial"/>
                <w:sz w:val="13"/>
                <w:szCs w:val="13"/>
                <w:b w:val="1"/>
                <w:bCs w:val="1"/>
                <w:color w:val="FFFFFF"/>
              </w:rPr>
              <w:t>remaining life (in</w:t>
            </w:r>
          </w:p>
        </w:tc>
        <w:tc>
          <w:tcPr>
            <w:tcW w:w="20" w:type="dxa"/>
            <w:vAlign w:val="bottom"/>
            <w:shd w:val="clear" w:color="auto" w:fill="1D2758"/>
          </w:tcPr>
          <w:p>
            <w:pPr>
              <w:spacing w:after="0"/>
              <w:rPr>
                <w:sz w:val="11"/>
                <w:szCs w:val="11"/>
                <w:color w:val="auto"/>
              </w:rPr>
            </w:pPr>
          </w:p>
        </w:tc>
        <w:tc>
          <w:tcPr>
            <w:tcW w:w="160" w:type="dxa"/>
            <w:vAlign w:val="bottom"/>
            <w:shd w:val="clear" w:color="auto" w:fill="1D2758"/>
          </w:tcPr>
          <w:p>
            <w:pPr>
              <w:spacing w:after="0"/>
              <w:rPr>
                <w:sz w:val="11"/>
                <w:szCs w:val="11"/>
                <w:color w:val="auto"/>
              </w:rPr>
            </w:pPr>
          </w:p>
        </w:tc>
        <w:tc>
          <w:tcPr>
            <w:tcW w:w="1280" w:type="dxa"/>
            <w:vAlign w:val="bottom"/>
            <w:gridSpan w:val="2"/>
            <w:vMerge w:val="continue"/>
            <w:shd w:val="clear" w:color="auto" w:fill="1D2758"/>
          </w:tcPr>
          <w:p>
            <w:pPr>
              <w:spacing w:after="0"/>
              <w:rPr>
                <w:sz w:val="11"/>
                <w:szCs w:val="11"/>
                <w:color w:val="auto"/>
              </w:rPr>
            </w:pPr>
          </w:p>
        </w:tc>
        <w:tc>
          <w:tcPr>
            <w:tcW w:w="60" w:type="dxa"/>
            <w:vAlign w:val="bottom"/>
            <w:shd w:val="clear" w:color="auto" w:fill="1D2758"/>
          </w:tcPr>
          <w:p>
            <w:pPr>
              <w:spacing w:after="0"/>
              <w:rPr>
                <w:sz w:val="11"/>
                <w:szCs w:val="11"/>
                <w:color w:val="auto"/>
              </w:rPr>
            </w:pPr>
          </w:p>
        </w:tc>
        <w:tc>
          <w:tcPr>
            <w:tcW w:w="20" w:type="dxa"/>
            <w:vAlign w:val="bottom"/>
            <w:shd w:val="clear" w:color="auto" w:fill="1D2758"/>
          </w:tcPr>
          <w:p>
            <w:pPr>
              <w:spacing w:after="0"/>
              <w:rPr>
                <w:sz w:val="11"/>
                <w:szCs w:val="11"/>
                <w:color w:val="auto"/>
              </w:rPr>
            </w:pPr>
          </w:p>
        </w:tc>
        <w:tc>
          <w:tcPr>
            <w:tcW w:w="200" w:type="dxa"/>
            <w:vAlign w:val="bottom"/>
            <w:shd w:val="clear" w:color="auto" w:fill="1D2758"/>
          </w:tcPr>
          <w:p>
            <w:pPr>
              <w:spacing w:after="0"/>
              <w:rPr>
                <w:sz w:val="11"/>
                <w:szCs w:val="11"/>
                <w:color w:val="auto"/>
              </w:rPr>
            </w:pPr>
          </w:p>
        </w:tc>
        <w:tc>
          <w:tcPr>
            <w:tcW w:w="1340" w:type="dxa"/>
            <w:vAlign w:val="bottom"/>
            <w:gridSpan w:val="2"/>
            <w:vMerge w:val="continue"/>
            <w:shd w:val="clear" w:color="auto" w:fill="1D2758"/>
          </w:tcPr>
          <w:p>
            <w:pPr>
              <w:spacing w:after="0"/>
              <w:rPr>
                <w:sz w:val="11"/>
                <w:szCs w:val="11"/>
                <w:color w:val="auto"/>
              </w:rPr>
            </w:pPr>
          </w:p>
        </w:tc>
        <w:tc>
          <w:tcPr>
            <w:tcW w:w="180" w:type="dxa"/>
            <w:vAlign w:val="bottom"/>
            <w:shd w:val="clear" w:color="auto" w:fill="1D2758"/>
          </w:tcPr>
          <w:p>
            <w:pPr>
              <w:spacing w:after="0"/>
              <w:rPr>
                <w:sz w:val="11"/>
                <w:szCs w:val="11"/>
                <w:color w:val="auto"/>
              </w:rPr>
            </w:pPr>
          </w:p>
        </w:tc>
        <w:tc>
          <w:tcPr>
            <w:tcW w:w="1280" w:type="dxa"/>
            <w:vAlign w:val="bottom"/>
            <w:vMerge w:val="restart"/>
            <w:shd w:val="clear" w:color="auto" w:fill="1D2758"/>
          </w:tcPr>
          <w:p>
            <w:pPr>
              <w:jc w:val="right"/>
              <w:ind w:right="194"/>
              <w:spacing w:after="0"/>
              <w:rPr>
                <w:sz w:val="20"/>
                <w:szCs w:val="20"/>
                <w:color w:val="auto"/>
              </w:rPr>
            </w:pPr>
            <w:r>
              <w:rPr>
                <w:rFonts w:ascii="Arial" w:cs="Arial" w:eastAsia="Arial" w:hAnsi="Arial"/>
                <w:sz w:val="13"/>
                <w:szCs w:val="13"/>
                <w:b w:val="1"/>
                <w:bCs w:val="1"/>
                <w:color w:val="FFFFFF"/>
              </w:rPr>
              <w:t>Net book value</w:t>
            </w:r>
          </w:p>
        </w:tc>
        <w:tc>
          <w:tcPr>
            <w:tcW w:w="0" w:type="dxa"/>
            <w:vAlign w:val="bottom"/>
          </w:tcPr>
          <w:p>
            <w:pPr>
              <w:spacing w:after="0"/>
              <w:rPr>
                <w:sz w:val="1"/>
                <w:szCs w:val="1"/>
                <w:color w:val="auto"/>
              </w:rPr>
            </w:pPr>
          </w:p>
        </w:tc>
      </w:tr>
      <w:tr>
        <w:trPr>
          <w:trHeight w:val="175"/>
        </w:trPr>
        <w:tc>
          <w:tcPr>
            <w:tcW w:w="5220" w:type="dxa"/>
            <w:vAlign w:val="bottom"/>
            <w:gridSpan w:val="2"/>
            <w:vMerge w:val="continue"/>
            <w:shd w:val="clear" w:color="auto" w:fill="1D2758"/>
          </w:tcPr>
          <w:p>
            <w:pPr>
              <w:spacing w:after="0"/>
              <w:rPr>
                <w:sz w:val="15"/>
                <w:szCs w:val="15"/>
                <w:color w:val="auto"/>
              </w:rPr>
            </w:pPr>
          </w:p>
        </w:tc>
        <w:tc>
          <w:tcPr>
            <w:tcW w:w="1520" w:type="dxa"/>
            <w:vAlign w:val="bottom"/>
            <w:shd w:val="clear" w:color="auto" w:fill="1D2758"/>
          </w:tcPr>
          <w:p>
            <w:pPr>
              <w:jc w:val="center"/>
              <w:spacing w:after="0"/>
              <w:rPr>
                <w:sz w:val="20"/>
                <w:szCs w:val="20"/>
                <w:color w:val="auto"/>
              </w:rPr>
            </w:pPr>
            <w:r>
              <w:rPr>
                <w:rFonts w:ascii="Arial" w:cs="Arial" w:eastAsia="Arial" w:hAnsi="Arial"/>
                <w:sz w:val="13"/>
                <w:szCs w:val="13"/>
                <w:b w:val="1"/>
                <w:bCs w:val="1"/>
                <w:color w:val="FFFFFF"/>
                <w:w w:val="99"/>
              </w:rPr>
              <w:t>years)</w:t>
            </w:r>
          </w:p>
        </w:tc>
        <w:tc>
          <w:tcPr>
            <w:tcW w:w="20" w:type="dxa"/>
            <w:vAlign w:val="bottom"/>
            <w:shd w:val="clear" w:color="auto" w:fill="1D2758"/>
          </w:tcPr>
          <w:p>
            <w:pPr>
              <w:spacing w:after="0"/>
              <w:rPr>
                <w:sz w:val="15"/>
                <w:szCs w:val="15"/>
                <w:color w:val="auto"/>
              </w:rPr>
            </w:pPr>
          </w:p>
        </w:tc>
        <w:tc>
          <w:tcPr>
            <w:tcW w:w="160" w:type="dxa"/>
            <w:vAlign w:val="bottom"/>
            <w:shd w:val="clear" w:color="auto" w:fill="1D2758"/>
          </w:tcPr>
          <w:p>
            <w:pPr>
              <w:spacing w:after="0"/>
              <w:rPr>
                <w:sz w:val="15"/>
                <w:szCs w:val="15"/>
                <w:color w:val="auto"/>
              </w:rPr>
            </w:pPr>
          </w:p>
        </w:tc>
        <w:tc>
          <w:tcPr>
            <w:tcW w:w="1280" w:type="dxa"/>
            <w:vAlign w:val="bottom"/>
            <w:gridSpan w:val="2"/>
            <w:shd w:val="clear" w:color="auto" w:fill="1D2758"/>
          </w:tcPr>
          <w:p>
            <w:pPr>
              <w:jc w:val="center"/>
              <w:ind w:right="160"/>
              <w:spacing w:after="0"/>
              <w:rPr>
                <w:sz w:val="20"/>
                <w:szCs w:val="20"/>
                <w:color w:val="auto"/>
              </w:rPr>
            </w:pPr>
            <w:r>
              <w:rPr>
                <w:rFonts w:ascii="Arial" w:cs="Arial" w:eastAsia="Arial" w:hAnsi="Arial"/>
                <w:sz w:val="13"/>
                <w:szCs w:val="13"/>
                <w:b w:val="1"/>
                <w:bCs w:val="1"/>
                <w:color w:val="FFFFFF"/>
              </w:rPr>
              <w:t>amount</w:t>
            </w:r>
          </w:p>
        </w:tc>
        <w:tc>
          <w:tcPr>
            <w:tcW w:w="60" w:type="dxa"/>
            <w:vAlign w:val="bottom"/>
            <w:shd w:val="clear" w:color="auto" w:fill="1D2758"/>
          </w:tcPr>
          <w:p>
            <w:pPr>
              <w:spacing w:after="0"/>
              <w:rPr>
                <w:sz w:val="15"/>
                <w:szCs w:val="15"/>
                <w:color w:val="auto"/>
              </w:rPr>
            </w:pPr>
          </w:p>
        </w:tc>
        <w:tc>
          <w:tcPr>
            <w:tcW w:w="20" w:type="dxa"/>
            <w:vAlign w:val="bottom"/>
            <w:shd w:val="clear" w:color="auto" w:fill="1D2758"/>
          </w:tcPr>
          <w:p>
            <w:pPr>
              <w:spacing w:after="0"/>
              <w:rPr>
                <w:sz w:val="15"/>
                <w:szCs w:val="15"/>
                <w:color w:val="auto"/>
              </w:rPr>
            </w:pPr>
          </w:p>
        </w:tc>
        <w:tc>
          <w:tcPr>
            <w:tcW w:w="200" w:type="dxa"/>
            <w:vAlign w:val="bottom"/>
            <w:shd w:val="clear" w:color="auto" w:fill="1D2758"/>
          </w:tcPr>
          <w:p>
            <w:pPr>
              <w:spacing w:after="0"/>
              <w:rPr>
                <w:sz w:val="15"/>
                <w:szCs w:val="15"/>
                <w:color w:val="auto"/>
              </w:rPr>
            </w:pPr>
          </w:p>
        </w:tc>
        <w:tc>
          <w:tcPr>
            <w:tcW w:w="1340" w:type="dxa"/>
            <w:vAlign w:val="bottom"/>
            <w:gridSpan w:val="2"/>
            <w:shd w:val="clear" w:color="auto" w:fill="1D2758"/>
          </w:tcPr>
          <w:p>
            <w:pPr>
              <w:jc w:val="center"/>
              <w:ind w:right="280"/>
              <w:spacing w:after="0"/>
              <w:rPr>
                <w:sz w:val="20"/>
                <w:szCs w:val="20"/>
                <w:color w:val="auto"/>
              </w:rPr>
            </w:pPr>
            <w:r>
              <w:rPr>
                <w:rFonts w:ascii="Arial" w:cs="Arial" w:eastAsia="Arial" w:hAnsi="Arial"/>
                <w:sz w:val="13"/>
                <w:szCs w:val="13"/>
                <w:b w:val="1"/>
                <w:bCs w:val="1"/>
                <w:color w:val="FFFFFF"/>
              </w:rPr>
              <w:t>amortization</w:t>
            </w:r>
          </w:p>
        </w:tc>
        <w:tc>
          <w:tcPr>
            <w:tcW w:w="180" w:type="dxa"/>
            <w:vAlign w:val="bottom"/>
            <w:shd w:val="clear" w:color="auto" w:fill="1D2758"/>
          </w:tcPr>
          <w:p>
            <w:pPr>
              <w:spacing w:after="0"/>
              <w:rPr>
                <w:sz w:val="15"/>
                <w:szCs w:val="15"/>
                <w:color w:val="auto"/>
              </w:rPr>
            </w:pPr>
          </w:p>
        </w:tc>
        <w:tc>
          <w:tcPr>
            <w:tcW w:w="1280" w:type="dxa"/>
            <w:vAlign w:val="bottom"/>
            <w:vMerge w:val="continue"/>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20" w:type="dxa"/>
            <w:vAlign w:val="bottom"/>
            <w:gridSpan w:val="2"/>
            <w:shd w:val="clear" w:color="auto" w:fill="DBDBDB"/>
          </w:tcPr>
          <w:p>
            <w:pPr>
              <w:ind w:left="20"/>
              <w:spacing w:after="0"/>
              <w:rPr>
                <w:sz w:val="20"/>
                <w:szCs w:val="20"/>
                <w:color w:val="auto"/>
              </w:rPr>
            </w:pPr>
            <w:r>
              <w:rPr>
                <w:rFonts w:ascii="Arial" w:cs="Arial" w:eastAsia="Arial" w:hAnsi="Arial"/>
                <w:sz w:val="13"/>
                <w:szCs w:val="13"/>
                <w:color w:val="auto"/>
              </w:rPr>
              <w:t>Intangible assets subject to amortization:</w:t>
            </w:r>
          </w:p>
        </w:tc>
        <w:tc>
          <w:tcPr>
            <w:tcW w:w="152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26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2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2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220" w:type="dxa"/>
            <w:vAlign w:val="bottom"/>
            <w:gridSpan w:val="2"/>
          </w:tcPr>
          <w:p>
            <w:pPr>
              <w:ind w:left="100"/>
              <w:spacing w:after="0"/>
              <w:rPr>
                <w:sz w:val="20"/>
                <w:szCs w:val="20"/>
                <w:color w:val="auto"/>
              </w:rPr>
            </w:pPr>
            <w:r>
              <w:rPr>
                <w:rFonts w:ascii="Arial" w:cs="Arial" w:eastAsia="Arial" w:hAnsi="Arial"/>
                <w:sz w:val="13"/>
                <w:szCs w:val="13"/>
                <w:color w:val="auto"/>
              </w:rPr>
              <w:t>Mobile Mini customer relationships</w:t>
            </w:r>
          </w:p>
        </w:tc>
        <w:tc>
          <w:tcPr>
            <w:tcW w:w="1520" w:type="dxa"/>
            <w:vAlign w:val="bottom"/>
          </w:tcPr>
          <w:p>
            <w:pPr>
              <w:jc w:val="center"/>
              <w:spacing w:after="0"/>
              <w:rPr>
                <w:sz w:val="20"/>
                <w:szCs w:val="20"/>
                <w:color w:val="auto"/>
              </w:rPr>
            </w:pPr>
            <w:r>
              <w:rPr>
                <w:rFonts w:ascii="Arial" w:cs="Arial" w:eastAsia="Arial" w:hAnsi="Arial"/>
                <w:sz w:val="13"/>
                <w:szCs w:val="13"/>
                <w:color w:val="auto"/>
                <w:w w:val="99"/>
              </w:rPr>
              <w:t>6.6</w:t>
            </w:r>
          </w:p>
        </w:tc>
        <w:tc>
          <w:tcPr>
            <w:tcW w:w="180" w:type="dxa"/>
            <w:vAlign w:val="bottom"/>
            <w:gridSpan w:val="2"/>
          </w:tcPr>
          <w:p>
            <w:pPr>
              <w:jc w:val="right"/>
              <w:ind w:right="14"/>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209,000</w:t>
            </w:r>
          </w:p>
        </w:tc>
        <w:tc>
          <w:tcPr>
            <w:tcW w:w="20" w:type="dxa"/>
            <w:vAlign w:val="bottom"/>
          </w:tcPr>
          <w:p>
            <w:pPr>
              <w:spacing w:after="0"/>
              <w:rPr>
                <w:sz w:val="14"/>
                <w:szCs w:val="14"/>
                <w:color w:val="auto"/>
              </w:rPr>
            </w:pPr>
          </w:p>
        </w:tc>
        <w:tc>
          <w:tcPr>
            <w:tcW w:w="280" w:type="dxa"/>
            <w:vAlign w:val="bottom"/>
            <w:gridSpan w:val="3"/>
          </w:tcPr>
          <w:p>
            <w:pPr>
              <w:jc w:val="right"/>
              <w:ind w:right="34"/>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(38,447)</w:t>
            </w:r>
          </w:p>
        </w:tc>
        <w:tc>
          <w:tcPr>
            <w:tcW w:w="100" w:type="dxa"/>
            <w:vAlign w:val="bottom"/>
          </w:tcPr>
          <w:p>
            <w:pPr>
              <w:spacing w:after="0"/>
              <w:rPr>
                <w:sz w:val="14"/>
                <w:szCs w:val="14"/>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170,553</w:t>
            </w:r>
          </w:p>
        </w:tc>
        <w:tc>
          <w:tcPr>
            <w:tcW w:w="0" w:type="dxa"/>
            <w:vAlign w:val="bottom"/>
          </w:tcPr>
          <w:p>
            <w:pPr>
              <w:spacing w:after="0"/>
              <w:rPr>
                <w:sz w:val="1"/>
                <w:szCs w:val="1"/>
                <w:color w:val="auto"/>
              </w:rPr>
            </w:pPr>
          </w:p>
        </w:tc>
      </w:tr>
      <w:tr>
        <w:trPr>
          <w:trHeight w:val="178"/>
        </w:trPr>
        <w:tc>
          <w:tcPr>
            <w:tcW w:w="5220" w:type="dxa"/>
            <w:vAlign w:val="bottom"/>
            <w:gridSpan w:val="2"/>
            <w:shd w:val="clear" w:color="auto" w:fill="DBDBDB"/>
          </w:tcPr>
          <w:p>
            <w:pPr>
              <w:ind w:left="100"/>
              <w:spacing w:after="0"/>
              <w:rPr>
                <w:sz w:val="20"/>
                <w:szCs w:val="20"/>
                <w:color w:val="auto"/>
              </w:rPr>
            </w:pPr>
            <w:r>
              <w:rPr>
                <w:rFonts w:ascii="Arial" w:cs="Arial" w:eastAsia="Arial" w:hAnsi="Arial"/>
                <w:sz w:val="13"/>
                <w:szCs w:val="13"/>
                <w:color w:val="auto"/>
              </w:rPr>
              <w:t>Technology</w:t>
            </w:r>
          </w:p>
        </w:tc>
        <w:tc>
          <w:tcPr>
            <w:tcW w:w="1520" w:type="dxa"/>
            <w:vAlign w:val="bottom"/>
            <w:shd w:val="clear" w:color="auto" w:fill="DBDBDB"/>
          </w:tcPr>
          <w:p>
            <w:pPr>
              <w:jc w:val="center"/>
              <w:spacing w:after="0"/>
              <w:rPr>
                <w:sz w:val="20"/>
                <w:szCs w:val="20"/>
                <w:color w:val="auto"/>
              </w:rPr>
            </w:pPr>
            <w:r>
              <w:rPr>
                <w:rFonts w:ascii="Arial" w:cs="Arial" w:eastAsia="Arial" w:hAnsi="Arial"/>
                <w:sz w:val="13"/>
                <w:szCs w:val="13"/>
                <w:color w:val="auto"/>
                <w:w w:val="99"/>
              </w:rPr>
              <w:t>4.5</w:t>
            </w:r>
          </w:p>
        </w:tc>
        <w:tc>
          <w:tcPr>
            <w:tcW w:w="2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1,500</w:t>
            </w:r>
          </w:p>
        </w:tc>
        <w:tc>
          <w:tcPr>
            <w:tcW w:w="20" w:type="dxa"/>
            <w:vAlign w:val="bottom"/>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(375)</w:t>
            </w:r>
          </w:p>
        </w:tc>
        <w:tc>
          <w:tcPr>
            <w:tcW w:w="10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1,125</w:t>
            </w:r>
          </w:p>
        </w:tc>
        <w:tc>
          <w:tcPr>
            <w:tcW w:w="0" w:type="dxa"/>
            <w:vAlign w:val="bottom"/>
          </w:tcPr>
          <w:p>
            <w:pPr>
              <w:spacing w:after="0"/>
              <w:rPr>
                <w:sz w:val="1"/>
                <w:szCs w:val="1"/>
                <w:color w:val="auto"/>
              </w:rPr>
            </w:pPr>
          </w:p>
        </w:tc>
      </w:tr>
      <w:tr>
        <w:trPr>
          <w:trHeight w:val="172"/>
        </w:trPr>
        <w:tc>
          <w:tcPr>
            <w:tcW w:w="5220" w:type="dxa"/>
            <w:vAlign w:val="bottom"/>
            <w:gridSpan w:val="2"/>
          </w:tcPr>
          <w:p>
            <w:pPr>
              <w:ind w:left="20"/>
              <w:spacing w:after="0"/>
              <w:rPr>
                <w:sz w:val="20"/>
                <w:szCs w:val="20"/>
                <w:color w:val="auto"/>
              </w:rPr>
            </w:pPr>
            <w:r>
              <w:rPr>
                <w:rFonts w:ascii="Arial" w:cs="Arial" w:eastAsia="Arial" w:hAnsi="Arial"/>
                <w:sz w:val="13"/>
                <w:szCs w:val="13"/>
                <w:color w:val="auto"/>
              </w:rPr>
              <w:t>Indefinite-lived intangible assets:</w:t>
            </w: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220" w:type="dxa"/>
            <w:vAlign w:val="bottom"/>
            <w:gridSpan w:val="2"/>
            <w:shd w:val="clear" w:color="auto" w:fill="DBDBDB"/>
          </w:tcPr>
          <w:p>
            <w:pPr>
              <w:ind w:left="100"/>
              <w:spacing w:after="0"/>
              <w:rPr>
                <w:sz w:val="20"/>
                <w:szCs w:val="20"/>
                <w:color w:val="auto"/>
              </w:rPr>
            </w:pPr>
            <w:r>
              <w:rPr>
                <w:rFonts w:ascii="Arial" w:cs="Arial" w:eastAsia="Arial" w:hAnsi="Arial"/>
                <w:sz w:val="13"/>
                <w:szCs w:val="13"/>
                <w:color w:val="auto"/>
              </w:rPr>
              <w:t>Trade name - Mobile Mini</w:t>
            </w:r>
          </w:p>
        </w:tc>
        <w:tc>
          <w:tcPr>
            <w:tcW w:w="152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164,000</w:t>
            </w:r>
          </w:p>
        </w:tc>
        <w:tc>
          <w:tcPr>
            <w:tcW w:w="20" w:type="dxa"/>
            <w:vAlign w:val="bottom"/>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34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DBDBDB"/>
          </w:tcPr>
          <w:p>
            <w:pPr>
              <w:spacing w:after="0"/>
              <w:rPr>
                <w:sz w:val="15"/>
                <w:szCs w:val="15"/>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164,000</w:t>
            </w:r>
          </w:p>
        </w:tc>
        <w:tc>
          <w:tcPr>
            <w:tcW w:w="0" w:type="dxa"/>
            <w:vAlign w:val="bottom"/>
          </w:tcPr>
          <w:p>
            <w:pPr>
              <w:spacing w:after="0"/>
              <w:rPr>
                <w:sz w:val="1"/>
                <w:szCs w:val="1"/>
                <w:color w:val="auto"/>
              </w:rPr>
            </w:pPr>
          </w:p>
        </w:tc>
      </w:tr>
      <w:tr>
        <w:trPr>
          <w:trHeight w:val="172"/>
        </w:trPr>
        <w:tc>
          <w:tcPr>
            <w:tcW w:w="5220" w:type="dxa"/>
            <w:vAlign w:val="bottom"/>
            <w:tcBorders>
              <w:bottom w:val="single" w:sz="8" w:color="DBDBDB"/>
            </w:tcBorders>
            <w:gridSpan w:val="2"/>
          </w:tcPr>
          <w:p>
            <w:pPr>
              <w:ind w:left="100"/>
              <w:spacing w:after="0"/>
              <w:rPr>
                <w:sz w:val="20"/>
                <w:szCs w:val="20"/>
                <w:color w:val="auto"/>
              </w:rPr>
            </w:pPr>
            <w:r>
              <w:rPr>
                <w:rFonts w:ascii="Arial" w:cs="Arial" w:eastAsia="Arial" w:hAnsi="Arial"/>
                <w:sz w:val="13"/>
                <w:szCs w:val="13"/>
                <w:color w:val="auto"/>
              </w:rPr>
              <w:t>Trade name - WillScot</w:t>
            </w:r>
          </w:p>
        </w:tc>
        <w:tc>
          <w:tcPr>
            <w:tcW w:w="1520" w:type="dxa"/>
            <w:vAlign w:val="bottom"/>
            <w:tcBorders>
              <w:bottom w:val="single" w:sz="8" w:color="DBDBDB"/>
            </w:tcBorders>
          </w:tcPr>
          <w:p>
            <w:pPr>
              <w:spacing w:after="0"/>
              <w:rPr>
                <w:sz w:val="14"/>
                <w:szCs w:val="14"/>
                <w:color w:val="auto"/>
              </w:rPr>
            </w:pPr>
          </w:p>
        </w:tc>
        <w:tc>
          <w:tcPr>
            <w:tcW w:w="20" w:type="dxa"/>
            <w:vAlign w:val="bottom"/>
            <w:tcBorders>
              <w:bottom w:val="single" w:sz="8" w:color="DBDBDB"/>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125,000</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125,000</w:t>
            </w:r>
          </w:p>
        </w:tc>
        <w:tc>
          <w:tcPr>
            <w:tcW w:w="0" w:type="dxa"/>
            <w:vAlign w:val="bottom"/>
          </w:tcPr>
          <w:p>
            <w:pPr>
              <w:spacing w:after="0"/>
              <w:rPr>
                <w:sz w:val="1"/>
                <w:szCs w:val="1"/>
                <w:color w:val="auto"/>
              </w:rPr>
            </w:pPr>
          </w:p>
        </w:tc>
      </w:tr>
      <w:tr>
        <w:trPr>
          <w:trHeight w:val="189"/>
        </w:trPr>
        <w:tc>
          <w:tcPr>
            <w:tcW w:w="52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3"/>
                <w:szCs w:val="13"/>
                <w:color w:val="auto"/>
              </w:rPr>
              <w:t>Total intangible assets other than goodwill</w:t>
            </w:r>
          </w:p>
        </w:tc>
        <w:tc>
          <w:tcPr>
            <w:tcW w:w="1520" w:type="dxa"/>
            <w:vAlign w:val="bottom"/>
            <w:tcBorders>
              <w:bottom w:val="single" w:sz="8" w:color="DBDBDB"/>
            </w:tcBorders>
            <w:shd w:val="clear" w:color="auto" w:fill="DBDBDB"/>
          </w:tcPr>
          <w:p>
            <w:pPr>
              <w:spacing w:after="0"/>
              <w:rPr>
                <w:sz w:val="16"/>
                <w:szCs w:val="16"/>
                <w:color w:val="auto"/>
              </w:rPr>
            </w:pPr>
          </w:p>
        </w:tc>
        <w:tc>
          <w:tcPr>
            <w:tcW w:w="20" w:type="dxa"/>
            <w:vAlign w:val="bottom"/>
            <w:tcBorders>
              <w:bottom w:val="single" w:sz="8" w:color="DBDBDB"/>
            </w:tcBorders>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jc w:val="right"/>
              <w:ind w:right="14"/>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499,500</w:t>
            </w:r>
          </w:p>
        </w:tc>
        <w:tc>
          <w:tcPr>
            <w:tcW w:w="2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DBDBDB"/>
            </w:tcBorders>
            <w:gridSpan w:val="2"/>
            <w:shd w:val="clear" w:color="auto" w:fill="DBDBDB"/>
          </w:tcPr>
          <w:p>
            <w:pPr>
              <w:spacing w:after="0"/>
              <w:rPr>
                <w:sz w:val="16"/>
                <w:szCs w:val="16"/>
                <w:color w:val="auto"/>
              </w:rPr>
            </w:pPr>
          </w:p>
        </w:tc>
        <w:tc>
          <w:tcPr>
            <w:tcW w:w="200" w:type="dxa"/>
            <w:vAlign w:val="bottom"/>
            <w:tcBorders>
              <w:bottom w:val="single" w:sz="8" w:color="auto"/>
            </w:tcBorders>
            <w:shd w:val="clear" w:color="auto" w:fill="DBDBDB"/>
          </w:tcPr>
          <w:p>
            <w:pPr>
              <w:jc w:val="right"/>
              <w:ind w:right="34"/>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(38,822)</w:t>
            </w:r>
          </w:p>
        </w:tc>
        <w:tc>
          <w:tcPr>
            <w:tcW w:w="100" w:type="dxa"/>
            <w:vAlign w:val="bottom"/>
            <w:tcBorders>
              <w:bottom w:val="single" w:sz="8" w:color="DBDBDB"/>
            </w:tcBorders>
            <w:shd w:val="clear" w:color="auto" w:fill="DBDBDB"/>
          </w:tcPr>
          <w:p>
            <w:pPr>
              <w:spacing w:after="0"/>
              <w:rPr>
                <w:sz w:val="16"/>
                <w:szCs w:val="16"/>
                <w:color w:val="auto"/>
              </w:rPr>
            </w:pPr>
          </w:p>
        </w:tc>
        <w:tc>
          <w:tcPr>
            <w:tcW w:w="180" w:type="dxa"/>
            <w:vAlign w:val="bottom"/>
            <w:tcBorders>
              <w:bottom w:val="single" w:sz="8" w:color="auto"/>
            </w:tcBorders>
            <w:shd w:val="clear" w:color="auto" w:fill="DBDBDB"/>
          </w:tcPr>
          <w:p>
            <w:pPr>
              <w:jc w:val="right"/>
              <w:ind w:right="34"/>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460,678</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5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gridSpan w:val="2"/>
          </w:tcPr>
          <w:p>
            <w:pPr>
              <w:spacing w:after="0"/>
              <w:rPr>
                <w:sz w:val="8"/>
                <w:szCs w:val="8"/>
                <w:color w:val="auto"/>
              </w:rPr>
            </w:pPr>
          </w:p>
        </w:tc>
        <w:tc>
          <w:tcPr>
            <w:tcW w:w="1560" w:type="dxa"/>
            <w:vAlign w:val="bottom"/>
            <w:gridSpan w:val="4"/>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5180" w:type="dxa"/>
            <w:vAlign w:val="bottom"/>
            <w:shd w:val="clear" w:color="auto" w:fill="1D2758"/>
          </w:tcPr>
          <w:p>
            <w:pPr>
              <w:spacing w:after="0"/>
              <w:rPr>
                <w:sz w:val="15"/>
                <w:szCs w:val="15"/>
                <w:color w:val="auto"/>
              </w:rPr>
            </w:pPr>
          </w:p>
        </w:tc>
        <w:tc>
          <w:tcPr>
            <w:tcW w:w="40" w:type="dxa"/>
            <w:vAlign w:val="bottom"/>
            <w:shd w:val="clear" w:color="auto" w:fill="1D2758"/>
          </w:tcPr>
          <w:p>
            <w:pPr>
              <w:spacing w:after="0"/>
              <w:rPr>
                <w:sz w:val="15"/>
                <w:szCs w:val="15"/>
                <w:color w:val="auto"/>
              </w:rPr>
            </w:pPr>
          </w:p>
        </w:tc>
        <w:tc>
          <w:tcPr>
            <w:tcW w:w="1520" w:type="dxa"/>
            <w:vAlign w:val="bottom"/>
            <w:shd w:val="clear" w:color="auto" w:fill="1D2758"/>
          </w:tcPr>
          <w:p>
            <w:pPr>
              <w:spacing w:after="0"/>
              <w:rPr>
                <w:sz w:val="15"/>
                <w:szCs w:val="15"/>
                <w:color w:val="auto"/>
              </w:rPr>
            </w:pPr>
          </w:p>
        </w:tc>
        <w:tc>
          <w:tcPr>
            <w:tcW w:w="20" w:type="dxa"/>
            <w:vAlign w:val="bottom"/>
            <w:shd w:val="clear" w:color="auto" w:fill="1D2758"/>
          </w:tcPr>
          <w:p>
            <w:pPr>
              <w:spacing w:after="0"/>
              <w:rPr>
                <w:sz w:val="15"/>
                <w:szCs w:val="15"/>
                <w:color w:val="auto"/>
              </w:rPr>
            </w:pPr>
          </w:p>
        </w:tc>
        <w:tc>
          <w:tcPr>
            <w:tcW w:w="160" w:type="dxa"/>
            <w:vAlign w:val="bottom"/>
            <w:shd w:val="clear" w:color="auto" w:fill="1D2758"/>
          </w:tcPr>
          <w:p>
            <w:pPr>
              <w:spacing w:after="0"/>
              <w:rPr>
                <w:sz w:val="15"/>
                <w:szCs w:val="15"/>
                <w:color w:val="auto"/>
              </w:rPr>
            </w:pPr>
          </w:p>
        </w:tc>
        <w:tc>
          <w:tcPr>
            <w:tcW w:w="2900" w:type="dxa"/>
            <w:vAlign w:val="bottom"/>
            <w:gridSpan w:val="7"/>
            <w:shd w:val="clear" w:color="auto" w:fill="1D2758"/>
          </w:tcPr>
          <w:p>
            <w:pPr>
              <w:ind w:left="720"/>
              <w:spacing w:after="0"/>
              <w:rPr>
                <w:sz w:val="20"/>
                <w:szCs w:val="20"/>
                <w:color w:val="auto"/>
              </w:rPr>
            </w:pPr>
            <w:r>
              <w:rPr>
                <w:rFonts w:ascii="Arial" w:cs="Arial" w:eastAsia="Arial" w:hAnsi="Arial"/>
                <w:sz w:val="13"/>
                <w:szCs w:val="13"/>
                <w:b w:val="1"/>
                <w:bCs w:val="1"/>
                <w:color w:val="FFFFFF"/>
              </w:rPr>
              <w:t>December 31, 2020</w:t>
            </w:r>
          </w:p>
        </w:tc>
        <w:tc>
          <w:tcPr>
            <w:tcW w:w="180" w:type="dxa"/>
            <w:vAlign w:val="bottom"/>
            <w:shd w:val="clear" w:color="auto" w:fill="1D2758"/>
          </w:tcPr>
          <w:p>
            <w:pPr>
              <w:spacing w:after="0"/>
              <w:rPr>
                <w:sz w:val="15"/>
                <w:szCs w:val="15"/>
                <w:color w:val="auto"/>
              </w:rPr>
            </w:pPr>
          </w:p>
        </w:tc>
        <w:tc>
          <w:tcPr>
            <w:tcW w:w="1280" w:type="dxa"/>
            <w:vAlign w:val="bottom"/>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5180" w:type="dxa"/>
            <w:vAlign w:val="bottom"/>
            <w:shd w:val="clear" w:color="auto" w:fill="1D2758"/>
          </w:tcPr>
          <w:p>
            <w:pPr>
              <w:spacing w:after="0"/>
              <w:rPr>
                <w:sz w:val="11"/>
                <w:szCs w:val="11"/>
                <w:color w:val="auto"/>
              </w:rPr>
            </w:pPr>
          </w:p>
        </w:tc>
        <w:tc>
          <w:tcPr>
            <w:tcW w:w="40" w:type="dxa"/>
            <w:vAlign w:val="bottom"/>
            <w:shd w:val="clear" w:color="auto" w:fill="1D2758"/>
          </w:tcPr>
          <w:p>
            <w:pPr>
              <w:spacing w:after="0"/>
              <w:rPr>
                <w:sz w:val="11"/>
                <w:szCs w:val="11"/>
                <w:color w:val="auto"/>
              </w:rPr>
            </w:pPr>
          </w:p>
        </w:tc>
        <w:tc>
          <w:tcPr>
            <w:tcW w:w="1520" w:type="dxa"/>
            <w:vAlign w:val="bottom"/>
            <w:shd w:val="clear" w:color="auto" w:fill="1D2758"/>
          </w:tcPr>
          <w:p>
            <w:pPr>
              <w:jc w:val="center"/>
              <w:ind w:right="54"/>
              <w:spacing w:after="0" w:line="133" w:lineRule="exact"/>
              <w:rPr>
                <w:sz w:val="20"/>
                <w:szCs w:val="20"/>
                <w:color w:val="auto"/>
              </w:rPr>
            </w:pPr>
            <w:r>
              <w:rPr>
                <w:rFonts w:ascii="Arial" w:cs="Arial" w:eastAsia="Arial" w:hAnsi="Arial"/>
                <w:sz w:val="13"/>
                <w:szCs w:val="13"/>
                <w:b w:val="1"/>
                <w:bCs w:val="1"/>
                <w:color w:val="FFFFFF"/>
              </w:rPr>
              <w:t>Weighted average</w:t>
            </w:r>
          </w:p>
        </w:tc>
        <w:tc>
          <w:tcPr>
            <w:tcW w:w="20" w:type="dxa"/>
            <w:vAlign w:val="bottom"/>
            <w:shd w:val="clear" w:color="auto" w:fill="1D2758"/>
          </w:tcPr>
          <w:p>
            <w:pPr>
              <w:spacing w:after="0"/>
              <w:rPr>
                <w:sz w:val="11"/>
                <w:szCs w:val="11"/>
                <w:color w:val="auto"/>
              </w:rPr>
            </w:pPr>
          </w:p>
        </w:tc>
        <w:tc>
          <w:tcPr>
            <w:tcW w:w="160" w:type="dxa"/>
            <w:vAlign w:val="bottom"/>
            <w:shd w:val="clear" w:color="auto" w:fill="1D2758"/>
          </w:tcPr>
          <w:p>
            <w:pPr>
              <w:spacing w:after="0"/>
              <w:rPr>
                <w:sz w:val="11"/>
                <w:szCs w:val="11"/>
                <w:color w:val="auto"/>
              </w:rPr>
            </w:pPr>
          </w:p>
        </w:tc>
        <w:tc>
          <w:tcPr>
            <w:tcW w:w="1280" w:type="dxa"/>
            <w:vAlign w:val="bottom"/>
            <w:gridSpan w:val="2"/>
            <w:vMerge w:val="restart"/>
            <w:shd w:val="clear" w:color="auto" w:fill="1D2758"/>
          </w:tcPr>
          <w:p>
            <w:pPr>
              <w:jc w:val="center"/>
              <w:ind w:right="200"/>
              <w:spacing w:after="0"/>
              <w:rPr>
                <w:sz w:val="20"/>
                <w:szCs w:val="20"/>
                <w:color w:val="auto"/>
              </w:rPr>
            </w:pPr>
            <w:r>
              <w:rPr>
                <w:rFonts w:ascii="Arial" w:cs="Arial" w:eastAsia="Arial" w:hAnsi="Arial"/>
                <w:sz w:val="13"/>
                <w:szCs w:val="13"/>
                <w:b w:val="1"/>
                <w:bCs w:val="1"/>
                <w:color w:val="FFFFFF"/>
                <w:w w:val="99"/>
              </w:rPr>
              <w:t>Gross carrying</w:t>
            </w:r>
          </w:p>
        </w:tc>
        <w:tc>
          <w:tcPr>
            <w:tcW w:w="60" w:type="dxa"/>
            <w:vAlign w:val="bottom"/>
            <w:shd w:val="clear" w:color="auto" w:fill="1D2758"/>
          </w:tcPr>
          <w:p>
            <w:pPr>
              <w:spacing w:after="0"/>
              <w:rPr>
                <w:sz w:val="11"/>
                <w:szCs w:val="11"/>
                <w:color w:val="auto"/>
              </w:rPr>
            </w:pPr>
          </w:p>
        </w:tc>
        <w:tc>
          <w:tcPr>
            <w:tcW w:w="20" w:type="dxa"/>
            <w:vAlign w:val="bottom"/>
            <w:shd w:val="clear" w:color="auto" w:fill="1D2758"/>
          </w:tcPr>
          <w:p>
            <w:pPr>
              <w:spacing w:after="0"/>
              <w:rPr>
                <w:sz w:val="11"/>
                <w:szCs w:val="11"/>
                <w:color w:val="auto"/>
              </w:rPr>
            </w:pPr>
          </w:p>
        </w:tc>
        <w:tc>
          <w:tcPr>
            <w:tcW w:w="200" w:type="dxa"/>
            <w:vAlign w:val="bottom"/>
            <w:shd w:val="clear" w:color="auto" w:fill="1D2758"/>
          </w:tcPr>
          <w:p>
            <w:pPr>
              <w:spacing w:after="0"/>
              <w:rPr>
                <w:sz w:val="11"/>
                <w:szCs w:val="11"/>
                <w:color w:val="auto"/>
              </w:rPr>
            </w:pPr>
          </w:p>
        </w:tc>
        <w:tc>
          <w:tcPr>
            <w:tcW w:w="1340" w:type="dxa"/>
            <w:vAlign w:val="bottom"/>
            <w:gridSpan w:val="2"/>
            <w:vMerge w:val="restart"/>
            <w:shd w:val="clear" w:color="auto" w:fill="1D2758"/>
          </w:tcPr>
          <w:p>
            <w:pPr>
              <w:jc w:val="center"/>
              <w:ind w:right="320"/>
              <w:spacing w:after="0"/>
              <w:rPr>
                <w:sz w:val="20"/>
                <w:szCs w:val="20"/>
                <w:color w:val="auto"/>
              </w:rPr>
            </w:pPr>
            <w:r>
              <w:rPr>
                <w:rFonts w:ascii="Arial" w:cs="Arial" w:eastAsia="Arial" w:hAnsi="Arial"/>
                <w:sz w:val="13"/>
                <w:szCs w:val="13"/>
                <w:b w:val="1"/>
                <w:bCs w:val="1"/>
                <w:color w:val="FFFFFF"/>
              </w:rPr>
              <w:t>Accumulated</w:t>
            </w:r>
          </w:p>
        </w:tc>
        <w:tc>
          <w:tcPr>
            <w:tcW w:w="180" w:type="dxa"/>
            <w:vAlign w:val="bottom"/>
            <w:shd w:val="clear" w:color="auto" w:fill="1D2758"/>
          </w:tcPr>
          <w:p>
            <w:pPr>
              <w:spacing w:after="0"/>
              <w:rPr>
                <w:sz w:val="11"/>
                <w:szCs w:val="11"/>
                <w:color w:val="auto"/>
              </w:rPr>
            </w:pPr>
          </w:p>
        </w:tc>
        <w:tc>
          <w:tcPr>
            <w:tcW w:w="1280" w:type="dxa"/>
            <w:vAlign w:val="bottom"/>
            <w:shd w:val="clear" w:color="auto" w:fill="1D2758"/>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180" w:type="dxa"/>
            <w:vAlign w:val="bottom"/>
            <w:vMerge w:val="restart"/>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40" w:type="dxa"/>
            <w:vAlign w:val="bottom"/>
            <w:shd w:val="clear" w:color="auto" w:fill="1D2758"/>
          </w:tcPr>
          <w:p>
            <w:pPr>
              <w:spacing w:after="0"/>
              <w:rPr>
                <w:sz w:val="11"/>
                <w:szCs w:val="11"/>
                <w:color w:val="auto"/>
              </w:rPr>
            </w:pPr>
          </w:p>
        </w:tc>
        <w:tc>
          <w:tcPr>
            <w:tcW w:w="1520" w:type="dxa"/>
            <w:vAlign w:val="bottom"/>
            <w:shd w:val="clear" w:color="auto" w:fill="1D2758"/>
          </w:tcPr>
          <w:p>
            <w:pPr>
              <w:jc w:val="center"/>
              <w:ind w:right="54"/>
              <w:spacing w:after="0" w:line="131" w:lineRule="exact"/>
              <w:rPr>
                <w:sz w:val="20"/>
                <w:szCs w:val="20"/>
                <w:color w:val="auto"/>
              </w:rPr>
            </w:pPr>
            <w:r>
              <w:rPr>
                <w:rFonts w:ascii="Arial" w:cs="Arial" w:eastAsia="Arial" w:hAnsi="Arial"/>
                <w:sz w:val="13"/>
                <w:szCs w:val="13"/>
                <w:b w:val="1"/>
                <w:bCs w:val="1"/>
                <w:color w:val="FFFFFF"/>
                <w:w w:val="99"/>
              </w:rPr>
              <w:t>remaining life (in</w:t>
            </w:r>
          </w:p>
        </w:tc>
        <w:tc>
          <w:tcPr>
            <w:tcW w:w="20" w:type="dxa"/>
            <w:vAlign w:val="bottom"/>
            <w:shd w:val="clear" w:color="auto" w:fill="1D2758"/>
          </w:tcPr>
          <w:p>
            <w:pPr>
              <w:spacing w:after="0"/>
              <w:rPr>
                <w:sz w:val="11"/>
                <w:szCs w:val="11"/>
                <w:color w:val="auto"/>
              </w:rPr>
            </w:pPr>
          </w:p>
        </w:tc>
        <w:tc>
          <w:tcPr>
            <w:tcW w:w="160" w:type="dxa"/>
            <w:vAlign w:val="bottom"/>
            <w:shd w:val="clear" w:color="auto" w:fill="1D2758"/>
          </w:tcPr>
          <w:p>
            <w:pPr>
              <w:spacing w:after="0"/>
              <w:rPr>
                <w:sz w:val="11"/>
                <w:szCs w:val="11"/>
                <w:color w:val="auto"/>
              </w:rPr>
            </w:pPr>
          </w:p>
        </w:tc>
        <w:tc>
          <w:tcPr>
            <w:tcW w:w="1280" w:type="dxa"/>
            <w:vAlign w:val="bottom"/>
            <w:gridSpan w:val="2"/>
            <w:vMerge w:val="continue"/>
            <w:shd w:val="clear" w:color="auto" w:fill="1D2758"/>
          </w:tcPr>
          <w:p>
            <w:pPr>
              <w:spacing w:after="0"/>
              <w:rPr>
                <w:sz w:val="11"/>
                <w:szCs w:val="11"/>
                <w:color w:val="auto"/>
              </w:rPr>
            </w:pPr>
          </w:p>
        </w:tc>
        <w:tc>
          <w:tcPr>
            <w:tcW w:w="60" w:type="dxa"/>
            <w:vAlign w:val="bottom"/>
            <w:shd w:val="clear" w:color="auto" w:fill="1D2758"/>
          </w:tcPr>
          <w:p>
            <w:pPr>
              <w:spacing w:after="0"/>
              <w:rPr>
                <w:sz w:val="11"/>
                <w:szCs w:val="11"/>
                <w:color w:val="auto"/>
              </w:rPr>
            </w:pPr>
          </w:p>
        </w:tc>
        <w:tc>
          <w:tcPr>
            <w:tcW w:w="20" w:type="dxa"/>
            <w:vAlign w:val="bottom"/>
            <w:shd w:val="clear" w:color="auto" w:fill="1D2758"/>
          </w:tcPr>
          <w:p>
            <w:pPr>
              <w:spacing w:after="0"/>
              <w:rPr>
                <w:sz w:val="11"/>
                <w:szCs w:val="11"/>
                <w:color w:val="auto"/>
              </w:rPr>
            </w:pPr>
          </w:p>
        </w:tc>
        <w:tc>
          <w:tcPr>
            <w:tcW w:w="200" w:type="dxa"/>
            <w:vAlign w:val="bottom"/>
            <w:shd w:val="clear" w:color="auto" w:fill="1D2758"/>
          </w:tcPr>
          <w:p>
            <w:pPr>
              <w:spacing w:after="0"/>
              <w:rPr>
                <w:sz w:val="11"/>
                <w:szCs w:val="11"/>
                <w:color w:val="auto"/>
              </w:rPr>
            </w:pPr>
          </w:p>
        </w:tc>
        <w:tc>
          <w:tcPr>
            <w:tcW w:w="1340" w:type="dxa"/>
            <w:vAlign w:val="bottom"/>
            <w:gridSpan w:val="2"/>
            <w:vMerge w:val="continue"/>
            <w:shd w:val="clear" w:color="auto" w:fill="1D2758"/>
          </w:tcPr>
          <w:p>
            <w:pPr>
              <w:spacing w:after="0"/>
              <w:rPr>
                <w:sz w:val="11"/>
                <w:szCs w:val="11"/>
                <w:color w:val="auto"/>
              </w:rPr>
            </w:pPr>
          </w:p>
        </w:tc>
        <w:tc>
          <w:tcPr>
            <w:tcW w:w="180" w:type="dxa"/>
            <w:vAlign w:val="bottom"/>
            <w:shd w:val="clear" w:color="auto" w:fill="1D2758"/>
          </w:tcPr>
          <w:p>
            <w:pPr>
              <w:spacing w:after="0"/>
              <w:rPr>
                <w:sz w:val="11"/>
                <w:szCs w:val="11"/>
                <w:color w:val="auto"/>
              </w:rPr>
            </w:pPr>
          </w:p>
        </w:tc>
        <w:tc>
          <w:tcPr>
            <w:tcW w:w="1280" w:type="dxa"/>
            <w:vAlign w:val="bottom"/>
            <w:vMerge w:val="restart"/>
            <w:shd w:val="clear" w:color="auto" w:fill="1D2758"/>
          </w:tcPr>
          <w:p>
            <w:pPr>
              <w:jc w:val="right"/>
              <w:ind w:right="194"/>
              <w:spacing w:after="0"/>
              <w:rPr>
                <w:sz w:val="20"/>
                <w:szCs w:val="20"/>
                <w:color w:val="auto"/>
              </w:rPr>
            </w:pPr>
            <w:r>
              <w:rPr>
                <w:rFonts w:ascii="Arial" w:cs="Arial" w:eastAsia="Arial" w:hAnsi="Arial"/>
                <w:sz w:val="13"/>
                <w:szCs w:val="13"/>
                <w:b w:val="1"/>
                <w:bCs w:val="1"/>
                <w:color w:val="FFFFFF"/>
              </w:rPr>
              <w:t>Net book value</w:t>
            </w:r>
          </w:p>
        </w:tc>
        <w:tc>
          <w:tcPr>
            <w:tcW w:w="0" w:type="dxa"/>
            <w:vAlign w:val="bottom"/>
          </w:tcPr>
          <w:p>
            <w:pPr>
              <w:spacing w:after="0"/>
              <w:rPr>
                <w:sz w:val="1"/>
                <w:szCs w:val="1"/>
                <w:color w:val="auto"/>
              </w:rPr>
            </w:pPr>
          </w:p>
        </w:tc>
      </w:tr>
      <w:tr>
        <w:trPr>
          <w:trHeight w:val="175"/>
        </w:trPr>
        <w:tc>
          <w:tcPr>
            <w:tcW w:w="5180" w:type="dxa"/>
            <w:vAlign w:val="bottom"/>
            <w:vMerge w:val="continue"/>
            <w:shd w:val="clear" w:color="auto" w:fill="1D2758"/>
          </w:tcPr>
          <w:p>
            <w:pPr>
              <w:spacing w:after="0"/>
              <w:rPr>
                <w:sz w:val="15"/>
                <w:szCs w:val="15"/>
                <w:color w:val="auto"/>
              </w:rPr>
            </w:pPr>
          </w:p>
        </w:tc>
        <w:tc>
          <w:tcPr>
            <w:tcW w:w="40" w:type="dxa"/>
            <w:vAlign w:val="bottom"/>
            <w:shd w:val="clear" w:color="auto" w:fill="1D2758"/>
          </w:tcPr>
          <w:p>
            <w:pPr>
              <w:spacing w:after="0"/>
              <w:rPr>
                <w:sz w:val="15"/>
                <w:szCs w:val="15"/>
                <w:color w:val="auto"/>
              </w:rPr>
            </w:pPr>
          </w:p>
        </w:tc>
        <w:tc>
          <w:tcPr>
            <w:tcW w:w="1520" w:type="dxa"/>
            <w:vAlign w:val="bottom"/>
            <w:shd w:val="clear" w:color="auto" w:fill="1D2758"/>
          </w:tcPr>
          <w:p>
            <w:pPr>
              <w:jc w:val="center"/>
              <w:ind w:right="54"/>
              <w:spacing w:after="0"/>
              <w:rPr>
                <w:sz w:val="20"/>
                <w:szCs w:val="20"/>
                <w:color w:val="auto"/>
              </w:rPr>
            </w:pPr>
            <w:r>
              <w:rPr>
                <w:rFonts w:ascii="Arial" w:cs="Arial" w:eastAsia="Arial" w:hAnsi="Arial"/>
                <w:sz w:val="13"/>
                <w:szCs w:val="13"/>
                <w:b w:val="1"/>
                <w:bCs w:val="1"/>
                <w:color w:val="FFFFFF"/>
              </w:rPr>
              <w:t>years)</w:t>
            </w:r>
          </w:p>
        </w:tc>
        <w:tc>
          <w:tcPr>
            <w:tcW w:w="20" w:type="dxa"/>
            <w:vAlign w:val="bottom"/>
            <w:shd w:val="clear" w:color="auto" w:fill="1D2758"/>
          </w:tcPr>
          <w:p>
            <w:pPr>
              <w:spacing w:after="0"/>
              <w:rPr>
                <w:sz w:val="15"/>
                <w:szCs w:val="15"/>
                <w:color w:val="auto"/>
              </w:rPr>
            </w:pPr>
          </w:p>
        </w:tc>
        <w:tc>
          <w:tcPr>
            <w:tcW w:w="160" w:type="dxa"/>
            <w:vAlign w:val="bottom"/>
            <w:shd w:val="clear" w:color="auto" w:fill="1D2758"/>
          </w:tcPr>
          <w:p>
            <w:pPr>
              <w:spacing w:after="0"/>
              <w:rPr>
                <w:sz w:val="15"/>
                <w:szCs w:val="15"/>
                <w:color w:val="auto"/>
              </w:rPr>
            </w:pPr>
          </w:p>
        </w:tc>
        <w:tc>
          <w:tcPr>
            <w:tcW w:w="1280" w:type="dxa"/>
            <w:vAlign w:val="bottom"/>
            <w:gridSpan w:val="2"/>
            <w:shd w:val="clear" w:color="auto" w:fill="1D2758"/>
          </w:tcPr>
          <w:p>
            <w:pPr>
              <w:jc w:val="center"/>
              <w:ind w:right="200"/>
              <w:spacing w:after="0"/>
              <w:rPr>
                <w:sz w:val="20"/>
                <w:szCs w:val="20"/>
                <w:color w:val="auto"/>
              </w:rPr>
            </w:pPr>
            <w:r>
              <w:rPr>
                <w:rFonts w:ascii="Arial" w:cs="Arial" w:eastAsia="Arial" w:hAnsi="Arial"/>
                <w:sz w:val="13"/>
                <w:szCs w:val="13"/>
                <w:b w:val="1"/>
                <w:bCs w:val="1"/>
                <w:color w:val="FFFFFF"/>
              </w:rPr>
              <w:t>amount</w:t>
            </w:r>
          </w:p>
        </w:tc>
        <w:tc>
          <w:tcPr>
            <w:tcW w:w="60" w:type="dxa"/>
            <w:vAlign w:val="bottom"/>
            <w:shd w:val="clear" w:color="auto" w:fill="1D2758"/>
          </w:tcPr>
          <w:p>
            <w:pPr>
              <w:spacing w:after="0"/>
              <w:rPr>
                <w:sz w:val="15"/>
                <w:szCs w:val="15"/>
                <w:color w:val="auto"/>
              </w:rPr>
            </w:pPr>
          </w:p>
        </w:tc>
        <w:tc>
          <w:tcPr>
            <w:tcW w:w="20" w:type="dxa"/>
            <w:vAlign w:val="bottom"/>
            <w:shd w:val="clear" w:color="auto" w:fill="1D2758"/>
          </w:tcPr>
          <w:p>
            <w:pPr>
              <w:spacing w:after="0"/>
              <w:rPr>
                <w:sz w:val="15"/>
                <w:szCs w:val="15"/>
                <w:color w:val="auto"/>
              </w:rPr>
            </w:pPr>
          </w:p>
        </w:tc>
        <w:tc>
          <w:tcPr>
            <w:tcW w:w="200" w:type="dxa"/>
            <w:vAlign w:val="bottom"/>
            <w:shd w:val="clear" w:color="auto" w:fill="1D2758"/>
          </w:tcPr>
          <w:p>
            <w:pPr>
              <w:spacing w:after="0"/>
              <w:rPr>
                <w:sz w:val="15"/>
                <w:szCs w:val="15"/>
                <w:color w:val="auto"/>
              </w:rPr>
            </w:pPr>
          </w:p>
        </w:tc>
        <w:tc>
          <w:tcPr>
            <w:tcW w:w="1340" w:type="dxa"/>
            <w:vAlign w:val="bottom"/>
            <w:gridSpan w:val="2"/>
            <w:shd w:val="clear" w:color="auto" w:fill="1D2758"/>
          </w:tcPr>
          <w:p>
            <w:pPr>
              <w:jc w:val="center"/>
              <w:ind w:right="320"/>
              <w:spacing w:after="0"/>
              <w:rPr>
                <w:sz w:val="20"/>
                <w:szCs w:val="20"/>
                <w:color w:val="auto"/>
              </w:rPr>
            </w:pPr>
            <w:r>
              <w:rPr>
                <w:rFonts w:ascii="Arial" w:cs="Arial" w:eastAsia="Arial" w:hAnsi="Arial"/>
                <w:sz w:val="13"/>
                <w:szCs w:val="13"/>
                <w:b w:val="1"/>
                <w:bCs w:val="1"/>
                <w:color w:val="FFFFFF"/>
              </w:rPr>
              <w:t>amortization</w:t>
            </w:r>
          </w:p>
        </w:tc>
        <w:tc>
          <w:tcPr>
            <w:tcW w:w="180" w:type="dxa"/>
            <w:vAlign w:val="bottom"/>
            <w:shd w:val="clear" w:color="auto" w:fill="1D2758"/>
          </w:tcPr>
          <w:p>
            <w:pPr>
              <w:spacing w:after="0"/>
              <w:rPr>
                <w:sz w:val="15"/>
                <w:szCs w:val="15"/>
                <w:color w:val="auto"/>
              </w:rPr>
            </w:pPr>
          </w:p>
        </w:tc>
        <w:tc>
          <w:tcPr>
            <w:tcW w:w="1280" w:type="dxa"/>
            <w:vAlign w:val="bottom"/>
            <w:vMerge w:val="continue"/>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20" w:type="dxa"/>
            <w:vAlign w:val="bottom"/>
            <w:gridSpan w:val="2"/>
            <w:shd w:val="clear" w:color="auto" w:fill="DBDBDB"/>
          </w:tcPr>
          <w:p>
            <w:pPr>
              <w:ind w:left="20"/>
              <w:spacing w:after="0"/>
              <w:rPr>
                <w:sz w:val="20"/>
                <w:szCs w:val="20"/>
                <w:color w:val="auto"/>
              </w:rPr>
            </w:pPr>
            <w:r>
              <w:rPr>
                <w:rFonts w:ascii="Arial" w:cs="Arial" w:eastAsia="Arial" w:hAnsi="Arial"/>
                <w:sz w:val="13"/>
                <w:szCs w:val="13"/>
                <w:color w:val="auto"/>
              </w:rPr>
              <w:t>Intangible assets subject to amortization:</w:t>
            </w:r>
          </w:p>
        </w:tc>
        <w:tc>
          <w:tcPr>
            <w:tcW w:w="152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26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2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2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220" w:type="dxa"/>
            <w:vAlign w:val="bottom"/>
            <w:gridSpan w:val="2"/>
          </w:tcPr>
          <w:p>
            <w:pPr>
              <w:ind w:left="100"/>
              <w:spacing w:after="0"/>
              <w:rPr>
                <w:sz w:val="20"/>
                <w:szCs w:val="20"/>
                <w:color w:val="auto"/>
              </w:rPr>
            </w:pPr>
            <w:r>
              <w:rPr>
                <w:rFonts w:ascii="Arial" w:cs="Arial" w:eastAsia="Arial" w:hAnsi="Arial"/>
                <w:sz w:val="13"/>
                <w:szCs w:val="13"/>
                <w:color w:val="auto"/>
              </w:rPr>
              <w:t>Trade name - ModSpace</w:t>
            </w:r>
          </w:p>
        </w:tc>
        <w:tc>
          <w:tcPr>
            <w:tcW w:w="1520" w:type="dxa"/>
            <w:vAlign w:val="bottom"/>
          </w:tcPr>
          <w:p>
            <w:pPr>
              <w:jc w:val="center"/>
              <w:ind w:right="74"/>
              <w:spacing w:after="0"/>
              <w:rPr>
                <w:sz w:val="20"/>
                <w:szCs w:val="20"/>
                <w:color w:val="auto"/>
              </w:rPr>
            </w:pPr>
            <w:r>
              <w:rPr>
                <w:rFonts w:ascii="Arial" w:cs="Arial" w:eastAsia="Arial" w:hAnsi="Arial"/>
                <w:sz w:val="13"/>
                <w:szCs w:val="13"/>
                <w:color w:val="auto"/>
                <w:w w:val="99"/>
              </w:rPr>
              <w:t>0.7</w:t>
            </w:r>
          </w:p>
        </w:tc>
        <w:tc>
          <w:tcPr>
            <w:tcW w:w="180" w:type="dxa"/>
            <w:vAlign w:val="bottom"/>
            <w:gridSpan w:val="2"/>
          </w:tcPr>
          <w:p>
            <w:pPr>
              <w:jc w:val="right"/>
              <w:ind w:right="34"/>
              <w:spacing w:after="0"/>
              <w:rPr>
                <w:sz w:val="20"/>
                <w:szCs w:val="20"/>
                <w:color w:val="auto"/>
              </w:rPr>
            </w:pPr>
            <w:r>
              <w:rPr>
                <w:rFonts w:ascii="Arial" w:cs="Arial" w:eastAsia="Arial" w:hAnsi="Arial"/>
                <w:sz w:val="13"/>
                <w:szCs w:val="13"/>
                <w:color w:val="auto"/>
                <w:w w:val="82"/>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3,000</w:t>
            </w:r>
          </w:p>
        </w:tc>
        <w:tc>
          <w:tcPr>
            <w:tcW w:w="20" w:type="dxa"/>
            <w:vAlign w:val="bottom"/>
          </w:tcPr>
          <w:p>
            <w:pPr>
              <w:spacing w:after="0"/>
              <w:rPr>
                <w:sz w:val="14"/>
                <w:szCs w:val="14"/>
                <w:color w:val="auto"/>
              </w:rPr>
            </w:pPr>
          </w:p>
        </w:tc>
        <w:tc>
          <w:tcPr>
            <w:tcW w:w="280" w:type="dxa"/>
            <w:vAlign w:val="bottom"/>
            <w:gridSpan w:val="3"/>
          </w:tcPr>
          <w:p>
            <w:pPr>
              <w:jc w:val="right"/>
              <w:ind w:right="54"/>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(2,375)</w:t>
            </w:r>
          </w:p>
        </w:tc>
        <w:tc>
          <w:tcPr>
            <w:tcW w:w="100" w:type="dxa"/>
            <w:vAlign w:val="bottom"/>
          </w:tcPr>
          <w:p>
            <w:pPr>
              <w:spacing w:after="0"/>
              <w:rPr>
                <w:sz w:val="14"/>
                <w:szCs w:val="14"/>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625</w:t>
            </w:r>
          </w:p>
        </w:tc>
        <w:tc>
          <w:tcPr>
            <w:tcW w:w="0" w:type="dxa"/>
            <w:vAlign w:val="bottom"/>
          </w:tcPr>
          <w:p>
            <w:pPr>
              <w:spacing w:after="0"/>
              <w:rPr>
                <w:sz w:val="1"/>
                <w:szCs w:val="1"/>
                <w:color w:val="auto"/>
              </w:rPr>
            </w:pPr>
          </w:p>
        </w:tc>
      </w:tr>
      <w:tr>
        <w:trPr>
          <w:trHeight w:val="178"/>
        </w:trPr>
        <w:tc>
          <w:tcPr>
            <w:tcW w:w="5220" w:type="dxa"/>
            <w:vAlign w:val="bottom"/>
            <w:gridSpan w:val="2"/>
            <w:shd w:val="clear" w:color="auto" w:fill="DBDBDB"/>
          </w:tcPr>
          <w:p>
            <w:pPr>
              <w:ind w:left="100"/>
              <w:spacing w:after="0"/>
              <w:rPr>
                <w:sz w:val="20"/>
                <w:szCs w:val="20"/>
                <w:color w:val="auto"/>
              </w:rPr>
            </w:pPr>
            <w:r>
              <w:rPr>
                <w:rFonts w:ascii="Arial" w:cs="Arial" w:eastAsia="Arial" w:hAnsi="Arial"/>
                <w:sz w:val="13"/>
                <w:szCs w:val="13"/>
                <w:color w:val="auto"/>
              </w:rPr>
              <w:t>Mobile Mini customer relationships</w:t>
            </w:r>
          </w:p>
        </w:tc>
        <w:tc>
          <w:tcPr>
            <w:tcW w:w="1520" w:type="dxa"/>
            <w:vAlign w:val="bottom"/>
            <w:shd w:val="clear" w:color="auto" w:fill="DBDBDB"/>
          </w:tcPr>
          <w:p>
            <w:pPr>
              <w:jc w:val="center"/>
              <w:ind w:right="74"/>
              <w:spacing w:after="0"/>
              <w:rPr>
                <w:sz w:val="20"/>
                <w:szCs w:val="20"/>
                <w:color w:val="auto"/>
              </w:rPr>
            </w:pPr>
            <w:r>
              <w:rPr>
                <w:rFonts w:ascii="Arial" w:cs="Arial" w:eastAsia="Arial" w:hAnsi="Arial"/>
                <w:sz w:val="13"/>
                <w:szCs w:val="13"/>
                <w:color w:val="auto"/>
                <w:w w:val="99"/>
              </w:rPr>
              <w:t>8.0</w:t>
            </w:r>
          </w:p>
        </w:tc>
        <w:tc>
          <w:tcPr>
            <w:tcW w:w="2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217,000</w:t>
            </w:r>
          </w:p>
        </w:tc>
        <w:tc>
          <w:tcPr>
            <w:tcW w:w="20" w:type="dxa"/>
            <w:vAlign w:val="bottom"/>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(12,053)</w:t>
            </w:r>
          </w:p>
        </w:tc>
        <w:tc>
          <w:tcPr>
            <w:tcW w:w="10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204,947</w:t>
            </w:r>
          </w:p>
        </w:tc>
        <w:tc>
          <w:tcPr>
            <w:tcW w:w="0" w:type="dxa"/>
            <w:vAlign w:val="bottom"/>
          </w:tcPr>
          <w:p>
            <w:pPr>
              <w:spacing w:after="0"/>
              <w:rPr>
                <w:sz w:val="1"/>
                <w:szCs w:val="1"/>
                <w:color w:val="auto"/>
              </w:rPr>
            </w:pPr>
          </w:p>
        </w:tc>
      </w:tr>
      <w:tr>
        <w:trPr>
          <w:trHeight w:val="172"/>
        </w:trPr>
        <w:tc>
          <w:tcPr>
            <w:tcW w:w="5220" w:type="dxa"/>
            <w:vAlign w:val="bottom"/>
            <w:gridSpan w:val="2"/>
          </w:tcPr>
          <w:p>
            <w:pPr>
              <w:ind w:left="100"/>
              <w:spacing w:after="0"/>
              <w:rPr>
                <w:sz w:val="20"/>
                <w:szCs w:val="20"/>
                <w:color w:val="auto"/>
              </w:rPr>
            </w:pPr>
            <w:r>
              <w:rPr>
                <w:rFonts w:ascii="Arial" w:cs="Arial" w:eastAsia="Arial" w:hAnsi="Arial"/>
                <w:sz w:val="13"/>
                <w:szCs w:val="13"/>
                <w:color w:val="auto"/>
              </w:rPr>
              <w:t>Technology</w:t>
            </w:r>
          </w:p>
        </w:tc>
        <w:tc>
          <w:tcPr>
            <w:tcW w:w="1520" w:type="dxa"/>
            <w:vAlign w:val="bottom"/>
          </w:tcPr>
          <w:p>
            <w:pPr>
              <w:jc w:val="center"/>
              <w:ind w:right="74"/>
              <w:spacing w:after="0"/>
              <w:rPr>
                <w:sz w:val="20"/>
                <w:szCs w:val="20"/>
                <w:color w:val="auto"/>
              </w:rPr>
            </w:pPr>
            <w:r>
              <w:rPr>
                <w:rFonts w:ascii="Arial" w:cs="Arial" w:eastAsia="Arial" w:hAnsi="Arial"/>
                <w:sz w:val="13"/>
                <w:szCs w:val="13"/>
                <w:color w:val="auto"/>
                <w:w w:val="99"/>
              </w:rPr>
              <w:t>5.5</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1,500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(125)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1,375</w:t>
            </w:r>
          </w:p>
        </w:tc>
        <w:tc>
          <w:tcPr>
            <w:tcW w:w="0" w:type="dxa"/>
            <w:vAlign w:val="bottom"/>
          </w:tcPr>
          <w:p>
            <w:pPr>
              <w:spacing w:after="0"/>
              <w:rPr>
                <w:sz w:val="1"/>
                <w:szCs w:val="1"/>
                <w:color w:val="auto"/>
              </w:rPr>
            </w:pPr>
          </w:p>
        </w:tc>
      </w:tr>
      <w:tr>
        <w:trPr>
          <w:trHeight w:val="178"/>
        </w:trPr>
        <w:tc>
          <w:tcPr>
            <w:tcW w:w="5220" w:type="dxa"/>
            <w:vAlign w:val="bottom"/>
            <w:gridSpan w:val="2"/>
            <w:shd w:val="clear" w:color="auto" w:fill="DBDBDB"/>
          </w:tcPr>
          <w:p>
            <w:pPr>
              <w:ind w:left="20"/>
              <w:spacing w:after="0"/>
              <w:rPr>
                <w:sz w:val="20"/>
                <w:szCs w:val="20"/>
                <w:color w:val="auto"/>
              </w:rPr>
            </w:pPr>
            <w:r>
              <w:rPr>
                <w:rFonts w:ascii="Arial" w:cs="Arial" w:eastAsia="Arial" w:hAnsi="Arial"/>
                <w:sz w:val="13"/>
                <w:szCs w:val="13"/>
                <w:color w:val="auto"/>
              </w:rPr>
              <w:t>Indefinite-lived intangible assets:</w:t>
            </w:r>
          </w:p>
        </w:tc>
        <w:tc>
          <w:tcPr>
            <w:tcW w:w="152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26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2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2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220" w:type="dxa"/>
            <w:vAlign w:val="bottom"/>
            <w:gridSpan w:val="2"/>
          </w:tcPr>
          <w:p>
            <w:pPr>
              <w:ind w:left="200"/>
              <w:spacing w:after="0"/>
              <w:rPr>
                <w:sz w:val="20"/>
                <w:szCs w:val="20"/>
                <w:color w:val="auto"/>
              </w:rPr>
            </w:pPr>
            <w:r>
              <w:rPr>
                <w:rFonts w:ascii="Arial" w:cs="Arial" w:eastAsia="Arial" w:hAnsi="Arial"/>
                <w:sz w:val="13"/>
                <w:szCs w:val="13"/>
                <w:color w:val="auto"/>
              </w:rPr>
              <w:t>Trade name - Mobile Mini</w:t>
            </w:r>
          </w:p>
        </w:tc>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164,000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164,000</w:t>
            </w:r>
          </w:p>
        </w:tc>
        <w:tc>
          <w:tcPr>
            <w:tcW w:w="0" w:type="dxa"/>
            <w:vAlign w:val="bottom"/>
          </w:tcPr>
          <w:p>
            <w:pPr>
              <w:spacing w:after="0"/>
              <w:rPr>
                <w:sz w:val="1"/>
                <w:szCs w:val="1"/>
                <w:color w:val="auto"/>
              </w:rPr>
            </w:pPr>
          </w:p>
        </w:tc>
      </w:tr>
      <w:tr>
        <w:trPr>
          <w:trHeight w:val="186"/>
        </w:trPr>
        <w:tc>
          <w:tcPr>
            <w:tcW w:w="5220" w:type="dxa"/>
            <w:vAlign w:val="bottom"/>
            <w:gridSpan w:val="2"/>
            <w:shd w:val="clear" w:color="auto" w:fill="DBDBDB"/>
          </w:tcPr>
          <w:p>
            <w:pPr>
              <w:ind w:left="200"/>
              <w:spacing w:after="0"/>
              <w:rPr>
                <w:sz w:val="20"/>
                <w:szCs w:val="20"/>
                <w:color w:val="auto"/>
              </w:rPr>
            </w:pPr>
            <w:r>
              <w:rPr>
                <w:rFonts w:ascii="Arial" w:cs="Arial" w:eastAsia="Arial" w:hAnsi="Arial"/>
                <w:sz w:val="13"/>
                <w:szCs w:val="13"/>
                <w:color w:val="auto"/>
              </w:rPr>
              <w:t>Trade name - WillScot</w:t>
            </w:r>
          </w:p>
        </w:tc>
        <w:tc>
          <w:tcPr>
            <w:tcW w:w="1520" w:type="dxa"/>
            <w:vAlign w:val="bottom"/>
            <w:shd w:val="clear" w:color="auto" w:fill="DBDBDB"/>
          </w:tcPr>
          <w:p>
            <w:pPr>
              <w:spacing w:after="0"/>
              <w:rPr>
                <w:sz w:val="16"/>
                <w:szCs w:val="16"/>
                <w:color w:val="auto"/>
              </w:rPr>
            </w:pPr>
          </w:p>
        </w:tc>
        <w:tc>
          <w:tcPr>
            <w:tcW w:w="20" w:type="dxa"/>
            <w:vAlign w:val="bottom"/>
            <w:tcBorders>
              <w:bottom w:val="single" w:sz="8" w:color="auto"/>
            </w:tcBorders>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125,000</w:t>
            </w:r>
          </w:p>
        </w:tc>
        <w:tc>
          <w:tcPr>
            <w:tcW w:w="2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20" w:type="dxa"/>
            <w:vAlign w:val="bottom"/>
            <w:tcBorders>
              <w:bottom w:val="single" w:sz="8" w:color="auto"/>
            </w:tcBorders>
            <w:shd w:val="clear" w:color="auto" w:fill="DBDBDB"/>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DBDBDB"/>
          </w:tcPr>
          <w:p>
            <w:pPr>
              <w:spacing w:after="0"/>
              <w:rPr>
                <w:sz w:val="16"/>
                <w:szCs w:val="16"/>
                <w:color w:val="auto"/>
              </w:rPr>
            </w:pPr>
          </w:p>
        </w:tc>
        <w:tc>
          <w:tcPr>
            <w:tcW w:w="180" w:type="dxa"/>
            <w:vAlign w:val="bottom"/>
            <w:tcBorders>
              <w:bottom w:val="single" w:sz="8" w:color="auto"/>
            </w:tcBorders>
            <w:shd w:val="clear" w:color="auto" w:fill="DBDBDB"/>
          </w:tcPr>
          <w:p>
            <w:pPr>
              <w:spacing w:after="0"/>
              <w:rPr>
                <w:sz w:val="16"/>
                <w:szCs w:val="16"/>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125,000</w:t>
            </w:r>
          </w:p>
        </w:tc>
        <w:tc>
          <w:tcPr>
            <w:tcW w:w="0" w:type="dxa"/>
            <w:vAlign w:val="bottom"/>
          </w:tcPr>
          <w:p>
            <w:pPr>
              <w:spacing w:after="0"/>
              <w:rPr>
                <w:sz w:val="1"/>
                <w:szCs w:val="1"/>
                <w:color w:val="auto"/>
              </w:rPr>
            </w:pPr>
          </w:p>
        </w:tc>
      </w:tr>
      <w:tr>
        <w:trPr>
          <w:trHeight w:val="167"/>
        </w:trPr>
        <w:tc>
          <w:tcPr>
            <w:tcW w:w="5220" w:type="dxa"/>
            <w:vAlign w:val="bottom"/>
            <w:gridSpan w:val="2"/>
          </w:tcPr>
          <w:p>
            <w:pPr>
              <w:ind w:left="20"/>
              <w:spacing w:after="0"/>
              <w:rPr>
                <w:sz w:val="20"/>
                <w:szCs w:val="20"/>
                <w:color w:val="auto"/>
              </w:rPr>
            </w:pPr>
            <w:r>
              <w:rPr>
                <w:rFonts w:ascii="Arial" w:cs="Arial" w:eastAsia="Arial" w:hAnsi="Arial"/>
                <w:sz w:val="13"/>
                <w:szCs w:val="13"/>
                <w:color w:val="auto"/>
              </w:rPr>
              <w:t>Total intangible assets other than goodwill</w:t>
            </w:r>
          </w:p>
        </w:tc>
        <w:tc>
          <w:tcPr>
            <w:tcW w:w="1520" w:type="dxa"/>
            <w:vAlign w:val="bottom"/>
          </w:tcPr>
          <w:p>
            <w:pPr>
              <w:spacing w:after="0"/>
              <w:rPr>
                <w:sz w:val="14"/>
                <w:szCs w:val="14"/>
                <w:color w:val="auto"/>
              </w:rPr>
            </w:pPr>
          </w:p>
        </w:tc>
        <w:tc>
          <w:tcPr>
            <w:tcW w:w="180" w:type="dxa"/>
            <w:vAlign w:val="bottom"/>
            <w:gridSpan w:val="2"/>
          </w:tcPr>
          <w:p>
            <w:pPr>
              <w:jc w:val="right"/>
              <w:ind w:right="34"/>
              <w:spacing w:after="0"/>
              <w:rPr>
                <w:sz w:val="20"/>
                <w:szCs w:val="20"/>
                <w:color w:val="auto"/>
              </w:rPr>
            </w:pPr>
            <w:r>
              <w:rPr>
                <w:rFonts w:ascii="Arial" w:cs="Arial" w:eastAsia="Arial" w:hAnsi="Arial"/>
                <w:sz w:val="13"/>
                <w:szCs w:val="13"/>
                <w:color w:val="auto"/>
                <w:w w:val="82"/>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510,500</w:t>
            </w:r>
          </w:p>
        </w:tc>
        <w:tc>
          <w:tcPr>
            <w:tcW w:w="20" w:type="dxa"/>
            <w:vAlign w:val="bottom"/>
          </w:tcPr>
          <w:p>
            <w:pPr>
              <w:spacing w:after="0"/>
              <w:rPr>
                <w:sz w:val="14"/>
                <w:szCs w:val="14"/>
                <w:color w:val="auto"/>
              </w:rPr>
            </w:pPr>
          </w:p>
        </w:tc>
        <w:tc>
          <w:tcPr>
            <w:tcW w:w="280" w:type="dxa"/>
            <w:vAlign w:val="bottom"/>
            <w:gridSpan w:val="3"/>
          </w:tcPr>
          <w:p>
            <w:pPr>
              <w:jc w:val="right"/>
              <w:ind w:right="54"/>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(14,553)</w:t>
            </w:r>
          </w:p>
        </w:tc>
        <w:tc>
          <w:tcPr>
            <w:tcW w:w="100" w:type="dxa"/>
            <w:vAlign w:val="bottom"/>
          </w:tcPr>
          <w:p>
            <w:pPr>
              <w:spacing w:after="0"/>
              <w:rPr>
                <w:sz w:val="14"/>
                <w:szCs w:val="14"/>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495,947</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As discussed further in Note 2, the Company acquired Mobile Mini on July 1, 2020. The Company recorded $164.0 million of indefinite-lived intangible assets and $210.5 million of intangibles subject to amortization, related to Mobile Mini customer relationships and technology.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30" w:right="319" w:bottom="1440" w:gutter="0" w:footer="0" w:header="0"/>
        </w:sectPr>
      </w:pPr>
    </w:p>
    <w:bookmarkStart w:id="94" w:name="page95"/>
    <w:bookmarkEnd w:id="94"/>
    <w:p>
      <w:pPr>
        <w:ind w:left="540"/>
        <w:spacing w:after="0"/>
        <w:rPr>
          <w:sz w:val="20"/>
          <w:szCs w:val="20"/>
          <w:color w:val="auto"/>
        </w:rPr>
      </w:pPr>
      <w:r>
        <w:rPr>
          <w:rFonts w:ascii="Arial" w:cs="Arial" w:eastAsia="Arial" w:hAnsi="Arial"/>
          <w:sz w:val="13"/>
          <w:szCs w:val="13"/>
          <w:color w:val="auto"/>
        </w:rPr>
        <w:t>For the years ended December 31, 2021 and 2020, the aggregate amount recorded to depreciation and amortization expense for intangible assets subject to amortization was $27.3</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680" w:type="dxa"/>
            <w:vAlign w:val="bottom"/>
          </w:tcPr>
          <w:p>
            <w:pPr>
              <w:spacing w:after="0"/>
              <w:rPr>
                <w:sz w:val="20"/>
                <w:szCs w:val="20"/>
                <w:color w:val="auto"/>
              </w:rPr>
            </w:pPr>
            <w:r>
              <w:rPr>
                <w:rFonts w:ascii="Arial" w:cs="Arial" w:eastAsia="Arial" w:hAnsi="Arial"/>
                <w:sz w:val="13"/>
                <w:szCs w:val="13"/>
                <w:color w:val="auto"/>
              </w:rPr>
              <w:t>million and $14.4 million, respectively.</w:t>
            </w:r>
          </w:p>
        </w:tc>
        <w:tc>
          <w:tcPr>
            <w:tcW w:w="36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197"/>
        </w:trPr>
        <w:tc>
          <w:tcPr>
            <w:tcW w:w="8680" w:type="dxa"/>
            <w:vAlign w:val="bottom"/>
          </w:tcPr>
          <w:p>
            <w:pPr>
              <w:ind w:left="540"/>
              <w:spacing w:after="0"/>
              <w:rPr>
                <w:sz w:val="20"/>
                <w:szCs w:val="20"/>
                <w:color w:val="auto"/>
              </w:rPr>
            </w:pPr>
            <w:r>
              <w:rPr>
                <w:rFonts w:ascii="Arial" w:cs="Arial" w:eastAsia="Arial" w:hAnsi="Arial"/>
                <w:sz w:val="13"/>
                <w:szCs w:val="13"/>
                <w:color w:val="auto"/>
              </w:rPr>
              <w:t>As of December 31, 2021, the expected future amortization expense for intangible assets is as follows:</w:t>
            </w:r>
          </w:p>
        </w:tc>
        <w:tc>
          <w:tcPr>
            <w:tcW w:w="36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60"/>
        </w:trPr>
        <w:tc>
          <w:tcPr>
            <w:tcW w:w="8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40" w:type="dxa"/>
            <w:vAlign w:val="bottom"/>
          </w:tcPr>
          <w:p>
            <w:pPr>
              <w:spacing w:after="0"/>
              <w:rPr>
                <w:sz w:val="5"/>
                <w:szCs w:val="5"/>
                <w:color w:val="auto"/>
              </w:rPr>
            </w:pPr>
          </w:p>
        </w:tc>
      </w:tr>
      <w:tr>
        <w:trPr>
          <w:trHeight w:val="175"/>
        </w:trPr>
        <w:tc>
          <w:tcPr>
            <w:tcW w:w="868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360" w:type="dxa"/>
            <w:vAlign w:val="bottom"/>
            <w:shd w:val="clear" w:color="auto" w:fill="1D2758"/>
          </w:tcPr>
          <w:p>
            <w:pPr>
              <w:spacing w:after="0"/>
              <w:rPr>
                <w:sz w:val="15"/>
                <w:szCs w:val="15"/>
                <w:color w:val="auto"/>
              </w:rPr>
            </w:pPr>
          </w:p>
        </w:tc>
        <w:tc>
          <w:tcPr>
            <w:tcW w:w="2240" w:type="dxa"/>
            <w:vAlign w:val="bottom"/>
            <w:shd w:val="clear" w:color="auto" w:fill="1D2758"/>
          </w:tcPr>
          <w:p>
            <w:pPr>
              <w:jc w:val="right"/>
              <w:ind w:right="554"/>
              <w:spacing w:after="0"/>
              <w:rPr>
                <w:sz w:val="20"/>
                <w:szCs w:val="20"/>
                <w:color w:val="auto"/>
              </w:rPr>
            </w:pPr>
            <w:r>
              <w:rPr>
                <w:rFonts w:ascii="Arial" w:cs="Arial" w:eastAsia="Arial" w:hAnsi="Arial"/>
                <w:sz w:val="13"/>
                <w:szCs w:val="13"/>
                <w:b w:val="1"/>
                <w:bCs w:val="1"/>
                <w:color w:val="FFFFFF"/>
              </w:rPr>
              <w:t>Amortization Expense</w:t>
            </w:r>
          </w:p>
        </w:tc>
      </w:tr>
      <w:tr>
        <w:trPr>
          <w:trHeight w:val="175"/>
        </w:trPr>
        <w:tc>
          <w:tcPr>
            <w:tcW w:w="8680" w:type="dxa"/>
            <w:vAlign w:val="bottom"/>
            <w:shd w:val="clear" w:color="auto" w:fill="DBDBDB"/>
          </w:tcPr>
          <w:p>
            <w:pPr>
              <w:ind w:left="20"/>
              <w:spacing w:after="0"/>
              <w:rPr>
                <w:sz w:val="20"/>
                <w:szCs w:val="20"/>
                <w:color w:val="auto"/>
              </w:rPr>
            </w:pPr>
            <w:r>
              <w:rPr>
                <w:rFonts w:ascii="Arial" w:cs="Arial" w:eastAsia="Arial" w:hAnsi="Arial"/>
                <w:sz w:val="13"/>
                <w:szCs w:val="13"/>
                <w:color w:val="auto"/>
              </w:rPr>
              <w:t>2022</w:t>
            </w:r>
          </w:p>
        </w:tc>
        <w:tc>
          <w:tcPr>
            <w:tcW w:w="360" w:type="dxa"/>
            <w:vAlign w:val="bottom"/>
            <w:shd w:val="clear" w:color="auto" w:fill="DBDBDB"/>
          </w:tcPr>
          <w:p>
            <w:pPr>
              <w:jc w:val="right"/>
              <w:ind w:right="214"/>
              <w:spacing w:after="0"/>
              <w:rPr>
                <w:sz w:val="20"/>
                <w:szCs w:val="20"/>
                <w:color w:val="auto"/>
              </w:rPr>
            </w:pPr>
            <w:r>
              <w:rPr>
                <w:rFonts w:ascii="Arial" w:cs="Arial" w:eastAsia="Arial" w:hAnsi="Arial"/>
                <w:sz w:val="13"/>
                <w:szCs w:val="13"/>
                <w:color w:val="auto"/>
                <w:w w:val="82"/>
              </w:rPr>
              <w:t>$</w:t>
            </w:r>
          </w:p>
        </w:tc>
        <w:tc>
          <w:tcPr>
            <w:tcW w:w="22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26,416</w:t>
            </w:r>
          </w:p>
        </w:tc>
      </w:tr>
      <w:tr>
        <w:trPr>
          <w:trHeight w:val="172"/>
        </w:trPr>
        <w:tc>
          <w:tcPr>
            <w:tcW w:w="8680" w:type="dxa"/>
            <w:vAlign w:val="bottom"/>
          </w:tcPr>
          <w:p>
            <w:pPr>
              <w:ind w:left="20"/>
              <w:spacing w:after="0"/>
              <w:rPr>
                <w:sz w:val="20"/>
                <w:szCs w:val="20"/>
                <w:color w:val="auto"/>
              </w:rPr>
            </w:pPr>
            <w:r>
              <w:rPr>
                <w:rFonts w:ascii="Arial" w:cs="Arial" w:eastAsia="Arial" w:hAnsi="Arial"/>
                <w:sz w:val="13"/>
                <w:szCs w:val="13"/>
                <w:color w:val="auto"/>
              </w:rPr>
              <w:t>2023</w:t>
            </w:r>
          </w:p>
        </w:tc>
        <w:tc>
          <w:tcPr>
            <w:tcW w:w="360" w:type="dxa"/>
            <w:vAlign w:val="bottom"/>
          </w:tcPr>
          <w:p>
            <w:pPr>
              <w:spacing w:after="0"/>
              <w:rPr>
                <w:sz w:val="14"/>
                <w:szCs w:val="14"/>
                <w:color w:val="auto"/>
              </w:rPr>
            </w:pPr>
          </w:p>
        </w:tc>
        <w:tc>
          <w:tcPr>
            <w:tcW w:w="2240" w:type="dxa"/>
            <w:vAlign w:val="bottom"/>
          </w:tcPr>
          <w:p>
            <w:pPr>
              <w:jc w:val="right"/>
              <w:spacing w:after="0"/>
              <w:rPr>
                <w:sz w:val="20"/>
                <w:szCs w:val="20"/>
                <w:color w:val="auto"/>
              </w:rPr>
            </w:pPr>
            <w:r>
              <w:rPr>
                <w:rFonts w:ascii="Arial" w:cs="Arial" w:eastAsia="Arial" w:hAnsi="Arial"/>
                <w:sz w:val="13"/>
                <w:szCs w:val="13"/>
                <w:color w:val="auto"/>
              </w:rPr>
              <w:t>26,416</w:t>
            </w:r>
          </w:p>
        </w:tc>
      </w:tr>
      <w:tr>
        <w:trPr>
          <w:trHeight w:val="178"/>
        </w:trPr>
        <w:tc>
          <w:tcPr>
            <w:tcW w:w="8680" w:type="dxa"/>
            <w:vAlign w:val="bottom"/>
            <w:shd w:val="clear" w:color="auto" w:fill="DBDBDB"/>
          </w:tcPr>
          <w:p>
            <w:pPr>
              <w:ind w:left="20"/>
              <w:spacing w:after="0"/>
              <w:rPr>
                <w:sz w:val="20"/>
                <w:szCs w:val="20"/>
                <w:color w:val="auto"/>
              </w:rPr>
            </w:pPr>
            <w:r>
              <w:rPr>
                <w:rFonts w:ascii="Arial" w:cs="Arial" w:eastAsia="Arial" w:hAnsi="Arial"/>
                <w:sz w:val="13"/>
                <w:szCs w:val="13"/>
                <w:color w:val="auto"/>
              </w:rPr>
              <w:t>2024</w:t>
            </w:r>
          </w:p>
        </w:tc>
        <w:tc>
          <w:tcPr>
            <w:tcW w:w="360" w:type="dxa"/>
            <w:vAlign w:val="bottom"/>
            <w:shd w:val="clear" w:color="auto" w:fill="DBDBDB"/>
          </w:tcPr>
          <w:p>
            <w:pPr>
              <w:spacing w:after="0"/>
              <w:rPr>
                <w:sz w:val="15"/>
                <w:szCs w:val="15"/>
                <w:color w:val="auto"/>
              </w:rPr>
            </w:pPr>
          </w:p>
        </w:tc>
        <w:tc>
          <w:tcPr>
            <w:tcW w:w="22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26,416</w:t>
            </w:r>
          </w:p>
        </w:tc>
      </w:tr>
      <w:tr>
        <w:trPr>
          <w:trHeight w:val="172"/>
        </w:trPr>
        <w:tc>
          <w:tcPr>
            <w:tcW w:w="8680" w:type="dxa"/>
            <w:vAlign w:val="bottom"/>
          </w:tcPr>
          <w:p>
            <w:pPr>
              <w:ind w:left="20"/>
              <w:spacing w:after="0"/>
              <w:rPr>
                <w:sz w:val="20"/>
                <w:szCs w:val="20"/>
                <w:color w:val="auto"/>
              </w:rPr>
            </w:pPr>
            <w:r>
              <w:rPr>
                <w:rFonts w:ascii="Arial" w:cs="Arial" w:eastAsia="Arial" w:hAnsi="Arial"/>
                <w:sz w:val="13"/>
                <w:szCs w:val="13"/>
                <w:color w:val="auto"/>
              </w:rPr>
              <w:t>2025</w:t>
            </w:r>
          </w:p>
        </w:tc>
        <w:tc>
          <w:tcPr>
            <w:tcW w:w="360" w:type="dxa"/>
            <w:vAlign w:val="bottom"/>
          </w:tcPr>
          <w:p>
            <w:pPr>
              <w:spacing w:after="0"/>
              <w:rPr>
                <w:sz w:val="14"/>
                <w:szCs w:val="14"/>
                <w:color w:val="auto"/>
              </w:rPr>
            </w:pPr>
          </w:p>
        </w:tc>
        <w:tc>
          <w:tcPr>
            <w:tcW w:w="2240" w:type="dxa"/>
            <w:vAlign w:val="bottom"/>
          </w:tcPr>
          <w:p>
            <w:pPr>
              <w:jc w:val="right"/>
              <w:spacing w:after="0"/>
              <w:rPr>
                <w:sz w:val="20"/>
                <w:szCs w:val="20"/>
                <w:color w:val="auto"/>
              </w:rPr>
            </w:pPr>
            <w:r>
              <w:rPr>
                <w:rFonts w:ascii="Arial" w:cs="Arial" w:eastAsia="Arial" w:hAnsi="Arial"/>
                <w:sz w:val="13"/>
                <w:szCs w:val="13"/>
                <w:color w:val="auto"/>
              </w:rPr>
              <w:t>26,416</w:t>
            </w:r>
          </w:p>
        </w:tc>
      </w:tr>
      <w:tr>
        <w:trPr>
          <w:trHeight w:val="178"/>
        </w:trPr>
        <w:tc>
          <w:tcPr>
            <w:tcW w:w="8680" w:type="dxa"/>
            <w:vAlign w:val="bottom"/>
            <w:shd w:val="clear" w:color="auto" w:fill="DBDBDB"/>
          </w:tcPr>
          <w:p>
            <w:pPr>
              <w:ind w:left="20"/>
              <w:spacing w:after="0"/>
              <w:rPr>
                <w:sz w:val="20"/>
                <w:szCs w:val="20"/>
                <w:color w:val="auto"/>
              </w:rPr>
            </w:pPr>
            <w:r>
              <w:rPr>
                <w:rFonts w:ascii="Arial" w:cs="Arial" w:eastAsia="Arial" w:hAnsi="Arial"/>
                <w:sz w:val="13"/>
                <w:szCs w:val="13"/>
                <w:color w:val="auto"/>
              </w:rPr>
              <w:t>2026</w:t>
            </w:r>
          </w:p>
        </w:tc>
        <w:tc>
          <w:tcPr>
            <w:tcW w:w="360" w:type="dxa"/>
            <w:vAlign w:val="bottom"/>
            <w:shd w:val="clear" w:color="auto" w:fill="DBDBDB"/>
          </w:tcPr>
          <w:p>
            <w:pPr>
              <w:spacing w:after="0"/>
              <w:rPr>
                <w:sz w:val="15"/>
                <w:szCs w:val="15"/>
                <w:color w:val="auto"/>
              </w:rPr>
            </w:pPr>
          </w:p>
        </w:tc>
        <w:tc>
          <w:tcPr>
            <w:tcW w:w="22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26,179</w:t>
            </w:r>
          </w:p>
        </w:tc>
      </w:tr>
      <w:tr>
        <w:trPr>
          <w:trHeight w:val="172"/>
        </w:trPr>
        <w:tc>
          <w:tcPr>
            <w:tcW w:w="868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Thereafter</w:t>
            </w:r>
          </w:p>
        </w:tc>
        <w:tc>
          <w:tcPr>
            <w:tcW w:w="3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39,835</w:t>
            </w:r>
          </w:p>
        </w:tc>
      </w:tr>
      <w:tr>
        <w:trPr>
          <w:trHeight w:val="194"/>
        </w:trPr>
        <w:tc>
          <w:tcPr>
            <w:tcW w:w="8680" w:type="dxa"/>
            <w:vAlign w:val="bottom"/>
            <w:tcBorders>
              <w:bottom w:val="single" w:sz="8" w:color="DBDBDB"/>
            </w:tcBorders>
            <w:shd w:val="clear" w:color="auto" w:fill="DBDBDB"/>
          </w:tcPr>
          <w:p>
            <w:pPr>
              <w:ind w:left="200"/>
              <w:spacing w:after="0"/>
              <w:rPr>
                <w:sz w:val="20"/>
                <w:szCs w:val="20"/>
                <w:color w:val="auto"/>
              </w:rPr>
            </w:pPr>
            <w:r>
              <w:rPr>
                <w:rFonts w:ascii="Arial" w:cs="Arial" w:eastAsia="Arial" w:hAnsi="Arial"/>
                <w:sz w:val="13"/>
                <w:szCs w:val="13"/>
                <w:color w:val="auto"/>
              </w:rPr>
              <w:t>Total</w:t>
            </w:r>
          </w:p>
        </w:tc>
        <w:tc>
          <w:tcPr>
            <w:tcW w:w="360" w:type="dxa"/>
            <w:vAlign w:val="bottom"/>
            <w:tcBorders>
              <w:bottom w:val="single" w:sz="8" w:color="auto"/>
            </w:tcBorders>
            <w:shd w:val="clear" w:color="auto" w:fill="DBDBDB"/>
          </w:tcPr>
          <w:p>
            <w:pPr>
              <w:jc w:val="right"/>
              <w:ind w:right="214"/>
              <w:spacing w:after="0"/>
              <w:rPr>
                <w:sz w:val="20"/>
                <w:szCs w:val="20"/>
                <w:color w:val="auto"/>
              </w:rPr>
            </w:pPr>
            <w:r>
              <w:rPr>
                <w:rFonts w:ascii="Arial" w:cs="Arial" w:eastAsia="Arial" w:hAnsi="Arial"/>
                <w:sz w:val="13"/>
                <w:szCs w:val="13"/>
                <w:color w:val="auto"/>
                <w:w w:val="82"/>
              </w:rPr>
              <w:t>$</w:t>
            </w:r>
          </w:p>
        </w:tc>
        <w:tc>
          <w:tcPr>
            <w:tcW w:w="2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171,678</w:t>
            </w:r>
          </w:p>
        </w:tc>
      </w:tr>
      <w:tr>
        <w:trPr>
          <w:trHeight w:val="20"/>
        </w:trPr>
        <w:tc>
          <w:tcPr>
            <w:tcW w:w="868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2240" w:type="dxa"/>
            <w:vAlign w:val="bottom"/>
            <w:tcBorders>
              <w:top w:val="single" w:sz="8" w:color="DBDBDB"/>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9"/>
          <w:szCs w:val="19"/>
          <w:color w:val="1D2758"/>
        </w:rPr>
        <w:t>NOTE 9 - Debt</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920" w:type="dxa"/>
            <w:vAlign w:val="bottom"/>
            <w:gridSpan w:val="2"/>
          </w:tcPr>
          <w:p>
            <w:pPr>
              <w:ind w:left="540"/>
              <w:spacing w:after="0"/>
              <w:rPr>
                <w:sz w:val="20"/>
                <w:szCs w:val="20"/>
                <w:color w:val="auto"/>
              </w:rPr>
            </w:pPr>
            <w:r>
              <w:rPr>
                <w:rFonts w:ascii="Arial" w:cs="Arial" w:eastAsia="Arial" w:hAnsi="Arial"/>
                <w:sz w:val="13"/>
                <w:szCs w:val="13"/>
                <w:color w:val="auto"/>
              </w:rPr>
              <w:t>The carrying value of debt outstanding at December 31 consisted of the following:</w:t>
            </w:r>
          </w:p>
        </w:tc>
        <w:tc>
          <w:tcPr>
            <w:tcW w:w="1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60"/>
        </w:trPr>
        <w:tc>
          <w:tcPr>
            <w:tcW w:w="348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8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175"/>
        </w:trPr>
        <w:tc>
          <w:tcPr>
            <w:tcW w:w="348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 except rates)</w:t>
            </w:r>
          </w:p>
        </w:tc>
        <w:tc>
          <w:tcPr>
            <w:tcW w:w="2440" w:type="dxa"/>
            <w:vAlign w:val="bottom"/>
            <w:shd w:val="clear" w:color="auto" w:fill="1D2758"/>
          </w:tcPr>
          <w:p>
            <w:pPr>
              <w:jc w:val="center"/>
              <w:ind w:left="734"/>
              <w:spacing w:after="0"/>
              <w:rPr>
                <w:sz w:val="20"/>
                <w:szCs w:val="20"/>
                <w:color w:val="auto"/>
              </w:rPr>
            </w:pPr>
            <w:r>
              <w:rPr>
                <w:rFonts w:ascii="Arial" w:cs="Arial" w:eastAsia="Arial" w:hAnsi="Arial"/>
                <w:sz w:val="13"/>
                <w:szCs w:val="13"/>
                <w:b w:val="1"/>
                <w:bCs w:val="1"/>
                <w:color w:val="FFFFFF"/>
              </w:rPr>
              <w:t>Interest rate</w:t>
            </w:r>
          </w:p>
        </w:tc>
        <w:tc>
          <w:tcPr>
            <w:tcW w:w="1880" w:type="dxa"/>
            <w:vAlign w:val="bottom"/>
            <w:shd w:val="clear" w:color="auto" w:fill="1D2758"/>
          </w:tcPr>
          <w:p>
            <w:pPr>
              <w:jc w:val="center"/>
              <w:spacing w:after="0"/>
              <w:rPr>
                <w:sz w:val="20"/>
                <w:szCs w:val="20"/>
                <w:color w:val="auto"/>
              </w:rPr>
            </w:pPr>
            <w:r>
              <w:rPr>
                <w:rFonts w:ascii="Arial" w:cs="Arial" w:eastAsia="Arial" w:hAnsi="Arial"/>
                <w:sz w:val="13"/>
                <w:szCs w:val="13"/>
                <w:b w:val="1"/>
                <w:bCs w:val="1"/>
                <w:color w:val="FFFFFF"/>
                <w:w w:val="98"/>
              </w:rPr>
              <w:t>Year of maturity</w:t>
            </w:r>
          </w:p>
        </w:tc>
        <w:tc>
          <w:tcPr>
            <w:tcW w:w="400" w:type="dxa"/>
            <w:vAlign w:val="bottom"/>
            <w:shd w:val="clear" w:color="auto" w:fill="1D2758"/>
          </w:tcPr>
          <w:p>
            <w:pPr>
              <w:spacing w:after="0"/>
              <w:rPr>
                <w:sz w:val="15"/>
                <w:szCs w:val="15"/>
                <w:color w:val="auto"/>
              </w:rPr>
            </w:pPr>
          </w:p>
        </w:tc>
        <w:tc>
          <w:tcPr>
            <w:tcW w:w="1300" w:type="dxa"/>
            <w:vAlign w:val="bottom"/>
            <w:shd w:val="clear" w:color="auto" w:fill="1D2758"/>
          </w:tcPr>
          <w:p>
            <w:pPr>
              <w:jc w:val="right"/>
              <w:ind w:right="634"/>
              <w:spacing w:after="0"/>
              <w:rPr>
                <w:sz w:val="20"/>
                <w:szCs w:val="20"/>
                <w:color w:val="auto"/>
              </w:rPr>
            </w:pPr>
            <w:r>
              <w:rPr>
                <w:rFonts w:ascii="Arial" w:cs="Arial" w:eastAsia="Arial" w:hAnsi="Arial"/>
                <w:sz w:val="13"/>
                <w:szCs w:val="13"/>
                <w:b w:val="1"/>
                <w:bCs w:val="1"/>
                <w:color w:val="FFFFFF"/>
              </w:rPr>
              <w:t>2021</w:t>
            </w:r>
          </w:p>
        </w:tc>
        <w:tc>
          <w:tcPr>
            <w:tcW w:w="80" w:type="dxa"/>
            <w:vAlign w:val="bottom"/>
            <w:shd w:val="clear" w:color="auto" w:fill="1D2758"/>
          </w:tcPr>
          <w:p>
            <w:pPr>
              <w:spacing w:after="0"/>
              <w:rPr>
                <w:sz w:val="15"/>
                <w:szCs w:val="15"/>
                <w:color w:val="auto"/>
              </w:rPr>
            </w:pPr>
          </w:p>
        </w:tc>
        <w:tc>
          <w:tcPr>
            <w:tcW w:w="400" w:type="dxa"/>
            <w:vAlign w:val="bottom"/>
            <w:shd w:val="clear" w:color="auto" w:fill="1D2758"/>
          </w:tcPr>
          <w:p>
            <w:pPr>
              <w:spacing w:after="0"/>
              <w:rPr>
                <w:sz w:val="15"/>
                <w:szCs w:val="15"/>
                <w:color w:val="auto"/>
              </w:rPr>
            </w:pPr>
          </w:p>
        </w:tc>
        <w:tc>
          <w:tcPr>
            <w:tcW w:w="1300" w:type="dxa"/>
            <w:vAlign w:val="bottom"/>
            <w:shd w:val="clear" w:color="auto" w:fill="1D2758"/>
          </w:tcPr>
          <w:p>
            <w:pPr>
              <w:jc w:val="right"/>
              <w:ind w:right="634"/>
              <w:spacing w:after="0"/>
              <w:rPr>
                <w:sz w:val="20"/>
                <w:szCs w:val="20"/>
                <w:color w:val="auto"/>
              </w:rPr>
            </w:pPr>
            <w:r>
              <w:rPr>
                <w:rFonts w:ascii="Arial" w:cs="Arial" w:eastAsia="Arial" w:hAnsi="Arial"/>
                <w:sz w:val="13"/>
                <w:szCs w:val="13"/>
                <w:b w:val="1"/>
                <w:bCs w:val="1"/>
                <w:color w:val="FFFFFF"/>
              </w:rPr>
              <w:t>2020</w:t>
            </w:r>
          </w:p>
        </w:tc>
      </w:tr>
      <w:tr>
        <w:trPr>
          <w:trHeight w:val="175"/>
        </w:trPr>
        <w:tc>
          <w:tcPr>
            <w:tcW w:w="3480" w:type="dxa"/>
            <w:vAlign w:val="bottom"/>
            <w:shd w:val="clear" w:color="auto" w:fill="DBDBDB"/>
          </w:tcPr>
          <w:p>
            <w:pPr>
              <w:ind w:left="20"/>
              <w:spacing w:after="0"/>
              <w:rPr>
                <w:sz w:val="20"/>
                <w:szCs w:val="20"/>
                <w:color w:val="auto"/>
              </w:rPr>
            </w:pPr>
            <w:r>
              <w:rPr>
                <w:rFonts w:ascii="Arial" w:cs="Arial" w:eastAsia="Arial" w:hAnsi="Arial"/>
                <w:sz w:val="13"/>
                <w:szCs w:val="13"/>
                <w:color w:val="auto"/>
              </w:rPr>
              <w:t>2025 Secured Notes</w:t>
            </w:r>
          </w:p>
        </w:tc>
        <w:tc>
          <w:tcPr>
            <w:tcW w:w="2440" w:type="dxa"/>
            <w:vAlign w:val="bottom"/>
            <w:shd w:val="clear" w:color="auto" w:fill="DBDBDB"/>
          </w:tcPr>
          <w:p>
            <w:pPr>
              <w:jc w:val="center"/>
              <w:ind w:left="734"/>
              <w:spacing w:after="0"/>
              <w:rPr>
                <w:sz w:val="20"/>
                <w:szCs w:val="20"/>
                <w:color w:val="auto"/>
              </w:rPr>
            </w:pPr>
            <w:r>
              <w:rPr>
                <w:rFonts w:ascii="Arial" w:cs="Arial" w:eastAsia="Arial" w:hAnsi="Arial"/>
                <w:sz w:val="13"/>
                <w:szCs w:val="13"/>
                <w:color w:val="auto"/>
                <w:w w:val="99"/>
              </w:rPr>
              <w:t>6.125%</w:t>
            </w:r>
          </w:p>
        </w:tc>
        <w:tc>
          <w:tcPr>
            <w:tcW w:w="1880" w:type="dxa"/>
            <w:vAlign w:val="bottom"/>
            <w:shd w:val="clear" w:color="auto" w:fill="DBDBDB"/>
          </w:tcPr>
          <w:p>
            <w:pPr>
              <w:jc w:val="center"/>
              <w:spacing w:after="0"/>
              <w:rPr>
                <w:sz w:val="20"/>
                <w:szCs w:val="20"/>
                <w:color w:val="auto"/>
              </w:rPr>
            </w:pPr>
            <w:r>
              <w:rPr>
                <w:rFonts w:ascii="Arial" w:cs="Arial" w:eastAsia="Arial" w:hAnsi="Arial"/>
                <w:sz w:val="13"/>
                <w:szCs w:val="13"/>
                <w:color w:val="auto"/>
              </w:rPr>
              <w:t>2025</w:t>
            </w:r>
          </w:p>
        </w:tc>
        <w:tc>
          <w:tcPr>
            <w:tcW w:w="400" w:type="dxa"/>
            <w:vAlign w:val="bottom"/>
            <w:shd w:val="clear" w:color="auto" w:fill="DBDBDB"/>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518,117</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637,068</w:t>
            </w:r>
          </w:p>
        </w:tc>
      </w:tr>
      <w:tr>
        <w:trPr>
          <w:trHeight w:val="175"/>
        </w:trPr>
        <w:tc>
          <w:tcPr>
            <w:tcW w:w="3480" w:type="dxa"/>
            <w:vAlign w:val="bottom"/>
          </w:tcPr>
          <w:p>
            <w:pPr>
              <w:ind w:left="20"/>
              <w:spacing w:after="0" w:line="175" w:lineRule="exact"/>
              <w:rPr>
                <w:sz w:val="20"/>
                <w:szCs w:val="20"/>
                <w:color w:val="auto"/>
              </w:rPr>
            </w:pPr>
            <w:r>
              <w:rPr>
                <w:rFonts w:ascii="Arial" w:cs="Arial" w:eastAsia="Arial" w:hAnsi="Arial"/>
                <w:sz w:val="13"/>
                <w:szCs w:val="13"/>
                <w:color w:val="auto"/>
              </w:rPr>
              <w:t>ABL Facility</w:t>
            </w:r>
            <w:r>
              <w:rPr>
                <w:rFonts w:ascii="Arial" w:cs="Arial" w:eastAsia="Arial" w:hAnsi="Arial"/>
                <w:sz w:val="17"/>
                <w:szCs w:val="17"/>
                <w:color w:val="auto"/>
                <w:vertAlign w:val="superscript"/>
              </w:rPr>
              <w:t>(a)</w:t>
            </w:r>
          </w:p>
        </w:tc>
        <w:tc>
          <w:tcPr>
            <w:tcW w:w="2440" w:type="dxa"/>
            <w:vAlign w:val="bottom"/>
          </w:tcPr>
          <w:p>
            <w:pPr>
              <w:jc w:val="center"/>
              <w:ind w:left="734"/>
              <w:spacing w:after="0"/>
              <w:rPr>
                <w:sz w:val="20"/>
                <w:szCs w:val="20"/>
                <w:color w:val="auto"/>
              </w:rPr>
            </w:pPr>
            <w:r>
              <w:rPr>
                <w:rFonts w:ascii="Arial" w:cs="Arial" w:eastAsia="Arial" w:hAnsi="Arial"/>
                <w:sz w:val="13"/>
                <w:szCs w:val="13"/>
                <w:color w:val="auto"/>
                <w:w w:val="97"/>
              </w:rPr>
              <w:t>Varies</w:t>
            </w:r>
          </w:p>
        </w:tc>
        <w:tc>
          <w:tcPr>
            <w:tcW w:w="1880" w:type="dxa"/>
            <w:vAlign w:val="bottom"/>
          </w:tcPr>
          <w:p>
            <w:pPr>
              <w:jc w:val="center"/>
              <w:spacing w:after="0"/>
              <w:rPr>
                <w:sz w:val="20"/>
                <w:szCs w:val="20"/>
                <w:color w:val="auto"/>
              </w:rPr>
            </w:pPr>
            <w:r>
              <w:rPr>
                <w:rFonts w:ascii="Arial" w:cs="Arial" w:eastAsia="Arial" w:hAnsi="Arial"/>
                <w:sz w:val="13"/>
                <w:szCs w:val="13"/>
                <w:color w:val="auto"/>
              </w:rPr>
              <w:t>2025</w:t>
            </w: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1,612,783</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1,263,833</w:t>
            </w:r>
          </w:p>
        </w:tc>
      </w:tr>
      <w:tr>
        <w:trPr>
          <w:trHeight w:val="175"/>
        </w:trPr>
        <w:tc>
          <w:tcPr>
            <w:tcW w:w="3480" w:type="dxa"/>
            <w:vAlign w:val="bottom"/>
            <w:shd w:val="clear" w:color="auto" w:fill="DBDBDB"/>
          </w:tcPr>
          <w:p>
            <w:pPr>
              <w:ind w:left="20"/>
              <w:spacing w:after="0"/>
              <w:rPr>
                <w:sz w:val="20"/>
                <w:szCs w:val="20"/>
                <w:color w:val="auto"/>
              </w:rPr>
            </w:pPr>
            <w:r>
              <w:rPr>
                <w:rFonts w:ascii="Arial" w:cs="Arial" w:eastAsia="Arial" w:hAnsi="Arial"/>
                <w:sz w:val="13"/>
                <w:szCs w:val="13"/>
                <w:color w:val="auto"/>
              </w:rPr>
              <w:t>2028 Secured Notes</w:t>
            </w:r>
          </w:p>
        </w:tc>
        <w:tc>
          <w:tcPr>
            <w:tcW w:w="2440" w:type="dxa"/>
            <w:vAlign w:val="bottom"/>
            <w:shd w:val="clear" w:color="auto" w:fill="DBDBDB"/>
          </w:tcPr>
          <w:p>
            <w:pPr>
              <w:jc w:val="center"/>
              <w:ind w:left="734"/>
              <w:spacing w:after="0"/>
              <w:rPr>
                <w:sz w:val="20"/>
                <w:szCs w:val="20"/>
                <w:color w:val="auto"/>
              </w:rPr>
            </w:pPr>
            <w:r>
              <w:rPr>
                <w:rFonts w:ascii="Arial" w:cs="Arial" w:eastAsia="Arial" w:hAnsi="Arial"/>
                <w:sz w:val="13"/>
                <w:szCs w:val="13"/>
                <w:color w:val="auto"/>
                <w:w w:val="99"/>
              </w:rPr>
              <w:t>4.625%</w:t>
            </w:r>
          </w:p>
        </w:tc>
        <w:tc>
          <w:tcPr>
            <w:tcW w:w="1880" w:type="dxa"/>
            <w:vAlign w:val="bottom"/>
            <w:shd w:val="clear" w:color="auto" w:fill="DBDBDB"/>
          </w:tcPr>
          <w:p>
            <w:pPr>
              <w:jc w:val="center"/>
              <w:spacing w:after="0"/>
              <w:rPr>
                <w:sz w:val="20"/>
                <w:szCs w:val="20"/>
                <w:color w:val="auto"/>
              </w:rPr>
            </w:pPr>
            <w:r>
              <w:rPr>
                <w:rFonts w:ascii="Arial" w:cs="Arial" w:eastAsia="Arial" w:hAnsi="Arial"/>
                <w:sz w:val="13"/>
                <w:szCs w:val="13"/>
                <w:color w:val="auto"/>
              </w:rPr>
              <w:t>2028</w:t>
            </w: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492,490</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491,555</w:t>
            </w:r>
          </w:p>
        </w:tc>
      </w:tr>
      <w:tr>
        <w:trPr>
          <w:trHeight w:val="172"/>
        </w:trPr>
        <w:tc>
          <w:tcPr>
            <w:tcW w:w="348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Finance Leases</w:t>
            </w:r>
          </w:p>
        </w:tc>
        <w:tc>
          <w:tcPr>
            <w:tcW w:w="2440" w:type="dxa"/>
            <w:vAlign w:val="bottom"/>
            <w:tcBorders>
              <w:bottom w:val="single" w:sz="8" w:color="DBDBDB"/>
            </w:tcBorders>
          </w:tcPr>
          <w:p>
            <w:pPr>
              <w:jc w:val="center"/>
              <w:ind w:left="734"/>
              <w:spacing w:after="0"/>
              <w:rPr>
                <w:sz w:val="20"/>
                <w:szCs w:val="20"/>
                <w:color w:val="auto"/>
              </w:rPr>
            </w:pPr>
            <w:r>
              <w:rPr>
                <w:rFonts w:ascii="Arial" w:cs="Arial" w:eastAsia="Arial" w:hAnsi="Arial"/>
                <w:sz w:val="13"/>
                <w:szCs w:val="13"/>
                <w:color w:val="auto"/>
                <w:w w:val="97"/>
              </w:rPr>
              <w:t>Varies</w:t>
            </w:r>
          </w:p>
        </w:tc>
        <w:tc>
          <w:tcPr>
            <w:tcW w:w="1880" w:type="dxa"/>
            <w:vAlign w:val="bottom"/>
            <w:tcBorders>
              <w:bottom w:val="single" w:sz="8" w:color="DBDBDB"/>
            </w:tcBorders>
          </w:tcPr>
          <w:p>
            <w:pPr>
              <w:jc w:val="center"/>
              <w:spacing w:after="0"/>
              <w:rPr>
                <w:sz w:val="20"/>
                <w:szCs w:val="20"/>
                <w:color w:val="auto"/>
              </w:rPr>
            </w:pPr>
            <w:r>
              <w:rPr>
                <w:rFonts w:ascii="Arial" w:cs="Arial" w:eastAsia="Arial" w:hAnsi="Arial"/>
                <w:sz w:val="13"/>
                <w:szCs w:val="13"/>
                <w:color w:val="auto"/>
                <w:w w:val="97"/>
              </w:rPr>
              <w:t>Varies</w:t>
            </w: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89,050</w:t>
            </w:r>
          </w:p>
        </w:tc>
        <w:tc>
          <w:tcPr>
            <w:tcW w:w="80" w:type="dxa"/>
            <w:vAlign w:val="bottom"/>
            <w:tcBorders>
              <w:bottom w:val="single" w:sz="8" w:color="DBDBDB"/>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77,874</w:t>
            </w:r>
          </w:p>
        </w:tc>
      </w:tr>
      <w:tr>
        <w:trPr>
          <w:trHeight w:val="169"/>
        </w:trPr>
        <w:tc>
          <w:tcPr>
            <w:tcW w:w="3480" w:type="dxa"/>
            <w:vAlign w:val="bottom"/>
            <w:shd w:val="clear" w:color="auto" w:fill="DBDBDB"/>
          </w:tcPr>
          <w:p>
            <w:pPr>
              <w:ind w:left="200"/>
              <w:spacing w:after="0"/>
              <w:rPr>
                <w:sz w:val="20"/>
                <w:szCs w:val="20"/>
                <w:color w:val="auto"/>
              </w:rPr>
            </w:pPr>
            <w:r>
              <w:rPr>
                <w:rFonts w:ascii="Arial" w:cs="Arial" w:eastAsia="Arial" w:hAnsi="Arial"/>
                <w:sz w:val="13"/>
                <w:szCs w:val="13"/>
                <w:color w:val="auto"/>
              </w:rPr>
              <w:t>Total debt</w:t>
            </w:r>
          </w:p>
        </w:tc>
        <w:tc>
          <w:tcPr>
            <w:tcW w:w="2440" w:type="dxa"/>
            <w:vAlign w:val="bottom"/>
            <w:shd w:val="clear" w:color="auto" w:fill="DBDBDB"/>
          </w:tcPr>
          <w:p>
            <w:pPr>
              <w:spacing w:after="0"/>
              <w:rPr>
                <w:sz w:val="14"/>
                <w:szCs w:val="14"/>
                <w:color w:val="auto"/>
              </w:rPr>
            </w:pPr>
          </w:p>
        </w:tc>
        <w:tc>
          <w:tcPr>
            <w:tcW w:w="188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2,712,440</w:t>
            </w:r>
          </w:p>
        </w:tc>
        <w:tc>
          <w:tcPr>
            <w:tcW w:w="8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2,470,330</w:t>
            </w:r>
          </w:p>
        </w:tc>
      </w:tr>
      <w:tr>
        <w:trPr>
          <w:trHeight w:val="172"/>
        </w:trPr>
        <w:tc>
          <w:tcPr>
            <w:tcW w:w="348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Less: current portion of long-term debt</w:t>
            </w:r>
          </w:p>
        </w:tc>
        <w:tc>
          <w:tcPr>
            <w:tcW w:w="2440" w:type="dxa"/>
            <w:vAlign w:val="bottom"/>
            <w:tcBorders>
              <w:bottom w:val="single" w:sz="8" w:color="DBDBDB"/>
            </w:tcBorders>
          </w:tcPr>
          <w:p>
            <w:pPr>
              <w:spacing w:after="0"/>
              <w:rPr>
                <w:sz w:val="14"/>
                <w:szCs w:val="14"/>
                <w:color w:val="auto"/>
              </w:rPr>
            </w:pPr>
          </w:p>
        </w:tc>
        <w:tc>
          <w:tcPr>
            <w:tcW w:w="1880" w:type="dxa"/>
            <w:vAlign w:val="bottom"/>
            <w:tcBorders>
              <w:bottom w:val="single" w:sz="8" w:color="DBDBDB"/>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18,121</w:t>
            </w:r>
          </w:p>
        </w:tc>
        <w:tc>
          <w:tcPr>
            <w:tcW w:w="80" w:type="dxa"/>
            <w:vAlign w:val="bottom"/>
            <w:tcBorders>
              <w:bottom w:val="single" w:sz="8" w:color="DBDBDB"/>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16,521</w:t>
            </w:r>
          </w:p>
        </w:tc>
      </w:tr>
      <w:tr>
        <w:trPr>
          <w:trHeight w:val="194"/>
        </w:trPr>
        <w:tc>
          <w:tcPr>
            <w:tcW w:w="3480" w:type="dxa"/>
            <w:vAlign w:val="bottom"/>
            <w:tcBorders>
              <w:bottom w:val="single" w:sz="8" w:color="DBDBDB"/>
            </w:tcBorders>
            <w:shd w:val="clear" w:color="auto" w:fill="DBDBDB"/>
          </w:tcPr>
          <w:p>
            <w:pPr>
              <w:ind w:left="380"/>
              <w:spacing w:after="0"/>
              <w:rPr>
                <w:sz w:val="20"/>
                <w:szCs w:val="20"/>
                <w:color w:val="auto"/>
              </w:rPr>
            </w:pPr>
            <w:r>
              <w:rPr>
                <w:rFonts w:ascii="Arial" w:cs="Arial" w:eastAsia="Arial" w:hAnsi="Arial"/>
                <w:sz w:val="13"/>
                <w:szCs w:val="13"/>
                <w:color w:val="auto"/>
              </w:rPr>
              <w:t>Total long-term debt</w:t>
            </w:r>
          </w:p>
        </w:tc>
        <w:tc>
          <w:tcPr>
            <w:tcW w:w="2440" w:type="dxa"/>
            <w:vAlign w:val="bottom"/>
            <w:tcBorders>
              <w:bottom w:val="single" w:sz="8" w:color="DBDBDB"/>
            </w:tcBorders>
            <w:shd w:val="clear" w:color="auto" w:fill="DBDBDB"/>
          </w:tcPr>
          <w:p>
            <w:pPr>
              <w:spacing w:after="0"/>
              <w:rPr>
                <w:sz w:val="16"/>
                <w:szCs w:val="16"/>
                <w:color w:val="auto"/>
              </w:rPr>
            </w:pPr>
          </w:p>
        </w:tc>
        <w:tc>
          <w:tcPr>
            <w:tcW w:w="1880" w:type="dxa"/>
            <w:vAlign w:val="bottom"/>
            <w:tcBorders>
              <w:bottom w:val="single" w:sz="8" w:color="DBDBDB"/>
            </w:tcBorders>
            <w:shd w:val="clear" w:color="auto" w:fill="DBDBDB"/>
          </w:tcPr>
          <w:p>
            <w:pPr>
              <w:spacing w:after="0"/>
              <w:rPr>
                <w:sz w:val="16"/>
                <w:szCs w:val="16"/>
                <w:color w:val="auto"/>
              </w:rPr>
            </w:pPr>
          </w:p>
        </w:tc>
        <w:tc>
          <w:tcPr>
            <w:tcW w:w="400" w:type="dxa"/>
            <w:vAlign w:val="bottom"/>
            <w:tcBorders>
              <w:bottom w:val="single" w:sz="8" w:color="auto"/>
            </w:tcBorders>
            <w:shd w:val="clear" w:color="auto" w:fill="DBDBDB"/>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2,694,319</w:t>
            </w:r>
          </w:p>
        </w:tc>
        <w:tc>
          <w:tcPr>
            <w:tcW w:w="80" w:type="dxa"/>
            <w:vAlign w:val="bottom"/>
            <w:tcBorders>
              <w:bottom w:val="single" w:sz="8" w:color="DBDBDB"/>
            </w:tcBorders>
            <w:shd w:val="clear" w:color="auto" w:fill="DBDBDB"/>
          </w:tcPr>
          <w:p>
            <w:pPr>
              <w:spacing w:after="0"/>
              <w:rPr>
                <w:sz w:val="16"/>
                <w:szCs w:val="16"/>
                <w:color w:val="auto"/>
              </w:rPr>
            </w:pPr>
          </w:p>
        </w:tc>
        <w:tc>
          <w:tcPr>
            <w:tcW w:w="400" w:type="dxa"/>
            <w:vAlign w:val="bottom"/>
            <w:tcBorders>
              <w:bottom w:val="single" w:sz="8" w:color="auto"/>
            </w:tcBorders>
            <w:shd w:val="clear" w:color="auto" w:fill="DBDBDB"/>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2,453,809</w:t>
            </w:r>
          </w:p>
        </w:tc>
      </w:tr>
      <w:tr>
        <w:trPr>
          <w:trHeight w:val="20"/>
        </w:trPr>
        <w:tc>
          <w:tcPr>
            <w:tcW w:w="3480" w:type="dxa"/>
            <w:vAlign w:val="bottom"/>
            <w:tcBorders>
              <w:top w:val="single" w:sz="8" w:color="DBDBDB"/>
            </w:tcBorders>
          </w:tcPr>
          <w:p>
            <w:pPr>
              <w:spacing w:after="0" w:line="20" w:lineRule="exact"/>
              <w:rPr>
                <w:sz w:val="1"/>
                <w:szCs w:val="1"/>
                <w:color w:val="auto"/>
              </w:rPr>
            </w:pPr>
          </w:p>
        </w:tc>
        <w:tc>
          <w:tcPr>
            <w:tcW w:w="2440" w:type="dxa"/>
            <w:vAlign w:val="bottom"/>
            <w:tcBorders>
              <w:top w:val="single" w:sz="8" w:color="DBDBDB"/>
            </w:tcBorders>
          </w:tcPr>
          <w:p>
            <w:pPr>
              <w:spacing w:after="0" w:line="20" w:lineRule="exact"/>
              <w:rPr>
                <w:sz w:val="1"/>
                <w:szCs w:val="1"/>
                <w:color w:val="auto"/>
              </w:rPr>
            </w:pPr>
          </w:p>
        </w:tc>
        <w:tc>
          <w:tcPr>
            <w:tcW w:w="188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firstLine="7"/>
        <w:spacing w:after="0" w:line="232" w:lineRule="auto"/>
        <w:tabs>
          <w:tab w:leader="none" w:pos="178" w:val="left"/>
        </w:tabs>
        <w:numPr>
          <w:ilvl w:val="0"/>
          <w:numId w:val="31"/>
        </w:numPr>
        <w:rPr>
          <w:rFonts w:ascii="Arial" w:cs="Arial" w:eastAsia="Arial" w:hAnsi="Arial"/>
          <w:sz w:val="12"/>
          <w:szCs w:val="12"/>
          <w:color w:val="auto"/>
        </w:rPr>
      </w:pPr>
      <w:r>
        <w:rPr>
          <w:rFonts w:ascii="Arial" w:cs="Arial" w:eastAsia="Arial" w:hAnsi="Arial"/>
          <w:sz w:val="12"/>
          <w:szCs w:val="12"/>
          <w:color w:val="auto"/>
        </w:rPr>
        <w:t>As of December 31, 2021 and 2020, the Company had no outstanding principal borrowings on the Multicurrency Facility (defined below) and $6.2 million and $7.9 million, respectively, of related debt issuance costs. No related debt issuance costs were recorded as a direct offset against the principal borrowings on the Multicurrency Facility, and the $6.2 million and $7.9 million in excess of principal was included in other non-current assets on the consolidated balance sheets as of December 31, 2021 and 2020, respectively.</w:t>
      </w:r>
    </w:p>
    <w:p>
      <w:pPr>
        <w:spacing w:after="0" w:line="78" w:lineRule="exact"/>
        <w:rPr>
          <w:sz w:val="20"/>
          <w:szCs w:val="20"/>
          <w:color w:val="auto"/>
        </w:rPr>
      </w:pPr>
    </w:p>
    <w:p>
      <w:pPr>
        <w:ind w:left="540"/>
        <w:spacing w:after="0"/>
        <w:rPr>
          <w:sz w:val="20"/>
          <w:szCs w:val="20"/>
          <w:color w:val="auto"/>
        </w:rPr>
      </w:pPr>
      <w:r>
        <w:rPr>
          <w:rFonts w:ascii="Arial" w:cs="Arial" w:eastAsia="Arial" w:hAnsi="Arial"/>
          <w:sz w:val="13"/>
          <w:szCs w:val="13"/>
          <w:color w:val="auto"/>
        </w:rPr>
        <w:t>Maturities of debt, including finance leases, during the years subsequent to December 31, 2021 are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94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900" w:type="dxa"/>
            <w:vAlign w:val="bottom"/>
            <w:shd w:val="clear" w:color="auto" w:fill="1D2758"/>
          </w:tcPr>
          <w:p>
            <w:pPr>
              <w:spacing w:after="0"/>
              <w:rPr>
                <w:sz w:val="15"/>
                <w:szCs w:val="15"/>
                <w:color w:val="auto"/>
              </w:rPr>
            </w:pPr>
          </w:p>
        </w:tc>
        <w:tc>
          <w:tcPr>
            <w:tcW w:w="1440" w:type="dxa"/>
            <w:vAlign w:val="bottom"/>
            <w:shd w:val="clear" w:color="auto" w:fill="1D2758"/>
          </w:tcPr>
          <w:p>
            <w:pPr>
              <w:spacing w:after="0"/>
              <w:rPr>
                <w:sz w:val="15"/>
                <w:szCs w:val="15"/>
                <w:color w:val="auto"/>
              </w:rPr>
            </w:pPr>
          </w:p>
        </w:tc>
      </w:tr>
      <w:tr>
        <w:trPr>
          <w:trHeight w:val="175"/>
        </w:trPr>
        <w:tc>
          <w:tcPr>
            <w:tcW w:w="8940" w:type="dxa"/>
            <w:vAlign w:val="bottom"/>
            <w:shd w:val="clear" w:color="auto" w:fill="DBDBDB"/>
          </w:tcPr>
          <w:p>
            <w:pPr>
              <w:ind w:left="20"/>
              <w:spacing w:after="0"/>
              <w:rPr>
                <w:sz w:val="20"/>
                <w:szCs w:val="20"/>
                <w:color w:val="auto"/>
              </w:rPr>
            </w:pPr>
            <w:r>
              <w:rPr>
                <w:rFonts w:ascii="Arial" w:cs="Arial" w:eastAsia="Arial" w:hAnsi="Arial"/>
                <w:sz w:val="13"/>
                <w:szCs w:val="13"/>
                <w:color w:val="auto"/>
              </w:rPr>
              <w:t>2022</w:t>
            </w:r>
          </w:p>
        </w:tc>
        <w:tc>
          <w:tcPr>
            <w:tcW w:w="900" w:type="dxa"/>
            <w:vAlign w:val="bottom"/>
            <w:shd w:val="clear" w:color="auto" w:fill="DBDBDB"/>
          </w:tcPr>
          <w:p>
            <w:pPr>
              <w:jc w:val="right"/>
              <w:ind w:right="734"/>
              <w:spacing w:after="0"/>
              <w:rPr>
                <w:sz w:val="20"/>
                <w:szCs w:val="20"/>
                <w:color w:val="auto"/>
              </w:rPr>
            </w:pPr>
            <w:r>
              <w:rPr>
                <w:rFonts w:ascii="Arial" w:cs="Arial" w:eastAsia="Arial" w:hAnsi="Arial"/>
                <w:sz w:val="13"/>
                <w:szCs w:val="13"/>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21,842</w:t>
            </w:r>
          </w:p>
        </w:tc>
      </w:tr>
      <w:tr>
        <w:trPr>
          <w:trHeight w:val="172"/>
        </w:trPr>
        <w:tc>
          <w:tcPr>
            <w:tcW w:w="8940" w:type="dxa"/>
            <w:vAlign w:val="bottom"/>
          </w:tcPr>
          <w:p>
            <w:pPr>
              <w:ind w:left="20"/>
              <w:spacing w:after="0"/>
              <w:rPr>
                <w:sz w:val="20"/>
                <w:szCs w:val="20"/>
                <w:color w:val="auto"/>
              </w:rPr>
            </w:pPr>
            <w:r>
              <w:rPr>
                <w:rFonts w:ascii="Arial" w:cs="Arial" w:eastAsia="Arial" w:hAnsi="Arial"/>
                <w:sz w:val="13"/>
                <w:szCs w:val="13"/>
                <w:color w:val="auto"/>
              </w:rPr>
              <w:t>2023</w:t>
            </w:r>
          </w:p>
        </w:tc>
        <w:tc>
          <w:tcPr>
            <w:tcW w:w="9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17,665</w:t>
            </w:r>
          </w:p>
        </w:tc>
      </w:tr>
      <w:tr>
        <w:trPr>
          <w:trHeight w:val="178"/>
        </w:trPr>
        <w:tc>
          <w:tcPr>
            <w:tcW w:w="8940" w:type="dxa"/>
            <w:vAlign w:val="bottom"/>
            <w:shd w:val="clear" w:color="auto" w:fill="DBDBDB"/>
          </w:tcPr>
          <w:p>
            <w:pPr>
              <w:ind w:left="20"/>
              <w:spacing w:after="0"/>
              <w:rPr>
                <w:sz w:val="20"/>
                <w:szCs w:val="20"/>
                <w:color w:val="auto"/>
              </w:rPr>
            </w:pPr>
            <w:r>
              <w:rPr>
                <w:rFonts w:ascii="Arial" w:cs="Arial" w:eastAsia="Arial" w:hAnsi="Arial"/>
                <w:sz w:val="13"/>
                <w:szCs w:val="13"/>
                <w:color w:val="auto"/>
              </w:rPr>
              <w:t>2024</w:t>
            </w:r>
          </w:p>
        </w:tc>
        <w:tc>
          <w:tcPr>
            <w:tcW w:w="900" w:type="dxa"/>
            <w:vAlign w:val="bottom"/>
            <w:shd w:val="clear" w:color="auto" w:fill="DBDBDB"/>
          </w:tcPr>
          <w:p>
            <w:pPr>
              <w:spacing w:after="0"/>
              <w:rPr>
                <w:sz w:val="15"/>
                <w:szCs w:val="15"/>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14,743</w:t>
            </w:r>
          </w:p>
        </w:tc>
      </w:tr>
      <w:tr>
        <w:trPr>
          <w:trHeight w:val="172"/>
        </w:trPr>
        <w:tc>
          <w:tcPr>
            <w:tcW w:w="8940" w:type="dxa"/>
            <w:vAlign w:val="bottom"/>
          </w:tcPr>
          <w:p>
            <w:pPr>
              <w:ind w:left="20"/>
              <w:spacing w:after="0"/>
              <w:rPr>
                <w:sz w:val="20"/>
                <w:szCs w:val="20"/>
                <w:color w:val="auto"/>
              </w:rPr>
            </w:pPr>
            <w:r>
              <w:rPr>
                <w:rFonts w:ascii="Arial" w:cs="Arial" w:eastAsia="Arial" w:hAnsi="Arial"/>
                <w:sz w:val="13"/>
                <w:szCs w:val="13"/>
                <w:color w:val="auto"/>
              </w:rPr>
              <w:t>2025</w:t>
            </w:r>
          </w:p>
        </w:tc>
        <w:tc>
          <w:tcPr>
            <w:tcW w:w="9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2,185,851</w:t>
            </w:r>
          </w:p>
        </w:tc>
      </w:tr>
      <w:tr>
        <w:trPr>
          <w:trHeight w:val="178"/>
        </w:trPr>
        <w:tc>
          <w:tcPr>
            <w:tcW w:w="8940" w:type="dxa"/>
            <w:vAlign w:val="bottom"/>
            <w:shd w:val="clear" w:color="auto" w:fill="DBDBDB"/>
          </w:tcPr>
          <w:p>
            <w:pPr>
              <w:ind w:left="20"/>
              <w:spacing w:after="0"/>
              <w:rPr>
                <w:sz w:val="20"/>
                <w:szCs w:val="20"/>
                <w:color w:val="auto"/>
              </w:rPr>
            </w:pPr>
            <w:r>
              <w:rPr>
                <w:rFonts w:ascii="Arial" w:cs="Arial" w:eastAsia="Arial" w:hAnsi="Arial"/>
                <w:sz w:val="13"/>
                <w:szCs w:val="13"/>
                <w:color w:val="auto"/>
              </w:rPr>
              <w:t>2026</w:t>
            </w:r>
          </w:p>
        </w:tc>
        <w:tc>
          <w:tcPr>
            <w:tcW w:w="900" w:type="dxa"/>
            <w:vAlign w:val="bottom"/>
            <w:shd w:val="clear" w:color="auto" w:fill="DBDBDB"/>
          </w:tcPr>
          <w:p>
            <w:pPr>
              <w:spacing w:after="0"/>
              <w:rPr>
                <w:sz w:val="15"/>
                <w:szCs w:val="15"/>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12,839</w:t>
            </w:r>
          </w:p>
        </w:tc>
      </w:tr>
      <w:tr>
        <w:trPr>
          <w:trHeight w:val="172"/>
        </w:trPr>
        <w:tc>
          <w:tcPr>
            <w:tcW w:w="894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Thereafter</w:t>
            </w:r>
          </w:p>
        </w:tc>
        <w:tc>
          <w:tcPr>
            <w:tcW w:w="9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514,202</w:t>
            </w:r>
          </w:p>
        </w:tc>
      </w:tr>
      <w:tr>
        <w:trPr>
          <w:trHeight w:val="191"/>
        </w:trPr>
        <w:tc>
          <w:tcPr>
            <w:tcW w:w="89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Total</w:t>
            </w:r>
          </w:p>
        </w:tc>
        <w:tc>
          <w:tcPr>
            <w:tcW w:w="900" w:type="dxa"/>
            <w:vAlign w:val="bottom"/>
            <w:tcBorders>
              <w:bottom w:val="single" w:sz="8" w:color="auto"/>
            </w:tcBorders>
            <w:shd w:val="clear" w:color="auto" w:fill="DBDBDB"/>
          </w:tcPr>
          <w:p>
            <w:pPr>
              <w:jc w:val="right"/>
              <w:ind w:right="734"/>
              <w:spacing w:after="0"/>
              <w:rPr>
                <w:sz w:val="20"/>
                <w:szCs w:val="20"/>
                <w:color w:val="auto"/>
              </w:rPr>
            </w:pPr>
            <w:r>
              <w:rPr>
                <w:rFonts w:ascii="Arial" w:cs="Arial" w:eastAsia="Arial" w:hAnsi="Arial"/>
                <w:sz w:val="13"/>
                <w:szCs w:val="13"/>
                <w:color w:val="auto"/>
              </w:rPr>
              <w:t>$</w:t>
            </w: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2,767,142</w:t>
            </w:r>
          </w:p>
        </w:tc>
      </w:tr>
      <w:tr>
        <w:trPr>
          <w:trHeight w:val="20"/>
        </w:trPr>
        <w:tc>
          <w:tcPr>
            <w:tcW w:w="8940" w:type="dxa"/>
            <w:vAlign w:val="bottom"/>
            <w:tcBorders>
              <w:top w:val="single" w:sz="8" w:color="DBDBDB"/>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28" w:right="319" w:bottom="1440" w:gutter="0" w:footer="0" w:header="0"/>
        </w:sectPr>
      </w:pPr>
    </w:p>
    <w:bookmarkStart w:id="95" w:name="page96"/>
    <w:bookmarkEnd w:id="95"/>
    <w:p>
      <w:pPr>
        <w:jc w:val="both"/>
        <w:ind w:firstLine="524"/>
        <w:spacing w:after="0" w:line="256" w:lineRule="auto"/>
        <w:rPr>
          <w:sz w:val="20"/>
          <w:szCs w:val="20"/>
          <w:color w:val="auto"/>
        </w:rPr>
      </w:pPr>
      <w:r>
        <w:rPr>
          <w:rFonts w:ascii="Arial" w:cs="Arial" w:eastAsia="Arial" w:hAnsi="Arial"/>
          <w:sz w:val="13"/>
          <w:szCs w:val="13"/>
          <w:color w:val="auto"/>
        </w:rPr>
        <w:t>The Company has debt issuance costs recorded as offsets against the carrying value of the related debt. These debt costs will be amortized and included as part of interest expense over the remaining contractual terms of those debt instruments for each of the next five years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4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4120" w:type="dxa"/>
            <w:vAlign w:val="bottom"/>
            <w:shd w:val="clear" w:color="auto" w:fill="1D2758"/>
          </w:tcPr>
          <w:p>
            <w:pPr>
              <w:spacing w:after="0"/>
              <w:rPr>
                <w:sz w:val="15"/>
                <w:szCs w:val="15"/>
                <w:color w:val="auto"/>
              </w:rPr>
            </w:pPr>
          </w:p>
        </w:tc>
        <w:tc>
          <w:tcPr>
            <w:tcW w:w="2220" w:type="dxa"/>
            <w:vAlign w:val="bottom"/>
            <w:shd w:val="clear" w:color="auto" w:fill="1D2758"/>
          </w:tcPr>
          <w:p>
            <w:pPr>
              <w:jc w:val="right"/>
              <w:ind w:right="94"/>
              <w:spacing w:after="0"/>
              <w:rPr>
                <w:sz w:val="20"/>
                <w:szCs w:val="20"/>
                <w:color w:val="auto"/>
              </w:rPr>
            </w:pPr>
            <w:r>
              <w:rPr>
                <w:rFonts w:ascii="Arial" w:cs="Arial" w:eastAsia="Arial" w:hAnsi="Arial"/>
                <w:sz w:val="13"/>
                <w:szCs w:val="13"/>
                <w:b w:val="1"/>
                <w:bCs w:val="1"/>
                <w:color w:val="FFFFFF"/>
              </w:rPr>
              <w:t>Debt issuance cost amortization</w:t>
            </w:r>
          </w:p>
        </w:tc>
      </w:tr>
      <w:tr>
        <w:trPr>
          <w:trHeight w:val="175"/>
        </w:trPr>
        <w:tc>
          <w:tcPr>
            <w:tcW w:w="4940" w:type="dxa"/>
            <w:vAlign w:val="bottom"/>
            <w:shd w:val="clear" w:color="auto" w:fill="DBDBDB"/>
          </w:tcPr>
          <w:p>
            <w:pPr>
              <w:ind w:left="20"/>
              <w:spacing w:after="0"/>
              <w:rPr>
                <w:sz w:val="20"/>
                <w:szCs w:val="20"/>
                <w:color w:val="auto"/>
              </w:rPr>
            </w:pPr>
            <w:r>
              <w:rPr>
                <w:rFonts w:ascii="Arial" w:cs="Arial" w:eastAsia="Arial" w:hAnsi="Arial"/>
                <w:sz w:val="13"/>
                <w:szCs w:val="13"/>
                <w:color w:val="auto"/>
              </w:rPr>
              <w:t>2022</w:t>
            </w:r>
          </w:p>
        </w:tc>
        <w:tc>
          <w:tcPr>
            <w:tcW w:w="4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14,012</w:t>
            </w:r>
          </w:p>
        </w:tc>
      </w:tr>
      <w:tr>
        <w:trPr>
          <w:trHeight w:val="172"/>
        </w:trPr>
        <w:tc>
          <w:tcPr>
            <w:tcW w:w="4940" w:type="dxa"/>
            <w:vAlign w:val="bottom"/>
          </w:tcPr>
          <w:p>
            <w:pPr>
              <w:ind w:left="20"/>
              <w:spacing w:after="0"/>
              <w:rPr>
                <w:sz w:val="20"/>
                <w:szCs w:val="20"/>
                <w:color w:val="auto"/>
              </w:rPr>
            </w:pPr>
            <w:r>
              <w:rPr>
                <w:rFonts w:ascii="Arial" w:cs="Arial" w:eastAsia="Arial" w:hAnsi="Arial"/>
                <w:sz w:val="13"/>
                <w:szCs w:val="13"/>
                <w:color w:val="auto"/>
              </w:rPr>
              <w:t>2023</w:t>
            </w:r>
          </w:p>
        </w:tc>
        <w:tc>
          <w:tcPr>
            <w:tcW w:w="4120" w:type="dxa"/>
            <w:vAlign w:val="bottom"/>
          </w:tcPr>
          <w:p>
            <w:pPr>
              <w:jc w:val="right"/>
              <w:spacing w:after="0"/>
              <w:rPr>
                <w:sz w:val="20"/>
                <w:szCs w:val="20"/>
                <w:color w:val="auto"/>
              </w:rPr>
            </w:pPr>
            <w:r>
              <w:rPr>
                <w:rFonts w:ascii="Arial" w:cs="Arial" w:eastAsia="Arial" w:hAnsi="Arial"/>
                <w:sz w:val="13"/>
                <w:szCs w:val="13"/>
                <w:color w:val="auto"/>
              </w:rPr>
              <w:t>$</w:t>
            </w:r>
          </w:p>
        </w:tc>
        <w:tc>
          <w:tcPr>
            <w:tcW w:w="2220" w:type="dxa"/>
            <w:vAlign w:val="bottom"/>
          </w:tcPr>
          <w:p>
            <w:pPr>
              <w:jc w:val="right"/>
              <w:spacing w:after="0"/>
              <w:rPr>
                <w:sz w:val="20"/>
                <w:szCs w:val="20"/>
                <w:color w:val="auto"/>
              </w:rPr>
            </w:pPr>
            <w:r>
              <w:rPr>
                <w:rFonts w:ascii="Arial" w:cs="Arial" w:eastAsia="Arial" w:hAnsi="Arial"/>
                <w:sz w:val="13"/>
                <w:szCs w:val="13"/>
                <w:color w:val="auto"/>
              </w:rPr>
              <w:t>14,214</w:t>
            </w:r>
          </w:p>
        </w:tc>
      </w:tr>
      <w:tr>
        <w:trPr>
          <w:trHeight w:val="178"/>
        </w:trPr>
        <w:tc>
          <w:tcPr>
            <w:tcW w:w="4940" w:type="dxa"/>
            <w:vAlign w:val="bottom"/>
            <w:shd w:val="clear" w:color="auto" w:fill="DBDBDB"/>
          </w:tcPr>
          <w:p>
            <w:pPr>
              <w:ind w:left="20"/>
              <w:spacing w:after="0"/>
              <w:rPr>
                <w:sz w:val="20"/>
                <w:szCs w:val="20"/>
                <w:color w:val="auto"/>
              </w:rPr>
            </w:pPr>
            <w:r>
              <w:rPr>
                <w:rFonts w:ascii="Arial" w:cs="Arial" w:eastAsia="Arial" w:hAnsi="Arial"/>
                <w:sz w:val="13"/>
                <w:szCs w:val="13"/>
                <w:color w:val="auto"/>
              </w:rPr>
              <w:t>2024</w:t>
            </w:r>
          </w:p>
        </w:tc>
        <w:tc>
          <w:tcPr>
            <w:tcW w:w="4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14,429</w:t>
            </w:r>
          </w:p>
        </w:tc>
      </w:tr>
      <w:tr>
        <w:trPr>
          <w:trHeight w:val="172"/>
        </w:trPr>
        <w:tc>
          <w:tcPr>
            <w:tcW w:w="4940" w:type="dxa"/>
            <w:vAlign w:val="bottom"/>
          </w:tcPr>
          <w:p>
            <w:pPr>
              <w:ind w:left="20"/>
              <w:spacing w:after="0"/>
              <w:rPr>
                <w:sz w:val="20"/>
                <w:szCs w:val="20"/>
                <w:color w:val="auto"/>
              </w:rPr>
            </w:pPr>
            <w:r>
              <w:rPr>
                <w:rFonts w:ascii="Arial" w:cs="Arial" w:eastAsia="Arial" w:hAnsi="Arial"/>
                <w:sz w:val="13"/>
                <w:szCs w:val="13"/>
                <w:color w:val="auto"/>
              </w:rPr>
              <w:t>2025</w:t>
            </w:r>
          </w:p>
        </w:tc>
        <w:tc>
          <w:tcPr>
            <w:tcW w:w="4120" w:type="dxa"/>
            <w:vAlign w:val="bottom"/>
          </w:tcPr>
          <w:p>
            <w:pPr>
              <w:jc w:val="right"/>
              <w:spacing w:after="0"/>
              <w:rPr>
                <w:sz w:val="20"/>
                <w:szCs w:val="20"/>
                <w:color w:val="auto"/>
              </w:rPr>
            </w:pPr>
            <w:r>
              <w:rPr>
                <w:rFonts w:ascii="Arial" w:cs="Arial" w:eastAsia="Arial" w:hAnsi="Arial"/>
                <w:sz w:val="13"/>
                <w:szCs w:val="13"/>
                <w:color w:val="auto"/>
              </w:rPr>
              <w:t>$</w:t>
            </w:r>
          </w:p>
        </w:tc>
        <w:tc>
          <w:tcPr>
            <w:tcW w:w="2220" w:type="dxa"/>
            <w:vAlign w:val="bottom"/>
          </w:tcPr>
          <w:p>
            <w:pPr>
              <w:jc w:val="right"/>
              <w:spacing w:after="0"/>
              <w:rPr>
                <w:sz w:val="20"/>
                <w:szCs w:val="20"/>
                <w:color w:val="auto"/>
              </w:rPr>
            </w:pPr>
            <w:r>
              <w:rPr>
                <w:rFonts w:ascii="Arial" w:cs="Arial" w:eastAsia="Arial" w:hAnsi="Arial"/>
                <w:sz w:val="13"/>
                <w:szCs w:val="13"/>
                <w:color w:val="auto"/>
              </w:rPr>
              <w:t>7,753</w:t>
            </w:r>
          </w:p>
        </w:tc>
      </w:tr>
      <w:tr>
        <w:trPr>
          <w:trHeight w:val="178"/>
        </w:trPr>
        <w:tc>
          <w:tcPr>
            <w:tcW w:w="4940" w:type="dxa"/>
            <w:vAlign w:val="bottom"/>
            <w:shd w:val="clear" w:color="auto" w:fill="DBDBDB"/>
          </w:tcPr>
          <w:p>
            <w:pPr>
              <w:ind w:left="20"/>
              <w:spacing w:after="0"/>
              <w:rPr>
                <w:sz w:val="20"/>
                <w:szCs w:val="20"/>
                <w:color w:val="auto"/>
              </w:rPr>
            </w:pPr>
            <w:r>
              <w:rPr>
                <w:rFonts w:ascii="Arial" w:cs="Arial" w:eastAsia="Arial" w:hAnsi="Arial"/>
                <w:sz w:val="13"/>
                <w:szCs w:val="13"/>
                <w:color w:val="auto"/>
              </w:rPr>
              <w:t>2026</w:t>
            </w:r>
          </w:p>
        </w:tc>
        <w:tc>
          <w:tcPr>
            <w:tcW w:w="4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1,193</w:t>
            </w:r>
          </w:p>
        </w:tc>
      </w:tr>
      <w:tr>
        <w:trPr>
          <w:trHeight w:val="169"/>
        </w:trPr>
        <w:tc>
          <w:tcPr>
            <w:tcW w:w="4940" w:type="dxa"/>
            <w:vAlign w:val="bottom"/>
          </w:tcPr>
          <w:p>
            <w:pPr>
              <w:ind w:left="20"/>
              <w:spacing w:after="0"/>
              <w:rPr>
                <w:sz w:val="20"/>
                <w:szCs w:val="20"/>
                <w:color w:val="auto"/>
              </w:rPr>
            </w:pPr>
            <w:r>
              <w:rPr>
                <w:rFonts w:ascii="Arial" w:cs="Arial" w:eastAsia="Arial" w:hAnsi="Arial"/>
                <w:sz w:val="13"/>
                <w:szCs w:val="13"/>
                <w:color w:val="auto"/>
              </w:rPr>
              <w:t>Thereafter</w:t>
            </w:r>
          </w:p>
        </w:tc>
        <w:tc>
          <w:tcPr>
            <w:tcW w:w="4120" w:type="dxa"/>
            <w:vAlign w:val="bottom"/>
          </w:tcPr>
          <w:p>
            <w:pPr>
              <w:jc w:val="right"/>
              <w:spacing w:after="0"/>
              <w:rPr>
                <w:sz w:val="20"/>
                <w:szCs w:val="20"/>
                <w:color w:val="auto"/>
              </w:rPr>
            </w:pPr>
            <w:r>
              <w:rPr>
                <w:rFonts w:ascii="Arial" w:cs="Arial" w:eastAsia="Arial" w:hAnsi="Arial"/>
                <w:sz w:val="13"/>
                <w:szCs w:val="13"/>
                <w:color w:val="auto"/>
              </w:rPr>
              <w:t>$</w:t>
            </w:r>
          </w:p>
        </w:tc>
        <w:tc>
          <w:tcPr>
            <w:tcW w:w="2220" w:type="dxa"/>
            <w:vAlign w:val="bottom"/>
          </w:tcPr>
          <w:p>
            <w:pPr>
              <w:jc w:val="right"/>
              <w:spacing w:after="0"/>
              <w:rPr>
                <w:sz w:val="20"/>
                <w:szCs w:val="20"/>
                <w:color w:val="auto"/>
              </w:rPr>
            </w:pPr>
            <w:r>
              <w:rPr>
                <w:rFonts w:ascii="Arial" w:cs="Arial" w:eastAsia="Arial" w:hAnsi="Arial"/>
                <w:sz w:val="13"/>
                <w:szCs w:val="13"/>
                <w:color w:val="auto"/>
              </w:rPr>
              <w:t>2,173</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2020 Asset Backed Lending Facility</w:t>
      </w:r>
    </w:p>
    <w:p>
      <w:pPr>
        <w:spacing w:after="0" w:line="66"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On July 1, 2020, in connection with the completion of the Merger, Williams Scotsman Holdings Corp ("Holdings"), WSII, and certain of its subsidiaries, entered into a new asset-based credit agreement that provides for revolving credit facilities in the aggregate principal amount of up to $2.4 billion, consisting of: (i) a senior secured asset-based US dollar revolving credit facility in the aggregate principal amount of $2.0 billion (the "US Facility"), available to WSII and certain of its subsidiaries (collectively, the "US Borrowers"), and (ii) a $400.0 million senior secured asset-based multicurrency revolving credit facility (the "Multicurrency Facility," together with the US Facility, the "2020 ABL Facility"), available to be drawn in US Dollars, Canadian Dollars, British Pounds Sterling or Euros by the US Borrowers and certain of WSII's wholly-owned subsidiaries organized in Canada and in the UK. On July 1, 2020, in connection with the completion of the Merger, approximately $1.47 billion of proceeds from the 2020 ABL Facility were used to repay an ABL credit agreement entered into by the Company in 2017 (the "2017 ABL Facility") and the asset-backed lending facility assumed in the transaction with Mobile Mini, as well as, to pay fees and expense related to the Merger and the related financing transactions. In connection with the repayment of the 2017 ABL facility, the Company wrote off $4.4 million of deferred financing costs to loss on extinguishment of debt. The 2020 ABL Facility matures on July 1, 2025.</w:t>
      </w:r>
    </w:p>
    <w:p>
      <w:pPr>
        <w:spacing w:after="0" w:line="36"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Borrowings under the 2020 ABL Facility initially bore interest at (i) in the case of US Dollars, at WSII's option, either an adjusted LIBOR rate plus 1.875% or an alternative base rate plus 0.875%, (ii) in the case of Canadian Dollars, at WSII's option, either a Canadian BA rate plus 1.875% or Canadian prime rate plus 0.875%, and (iii) in the case of Euros and British Pounds Sterling, an adjusted LIBOR rate plus 1.875%.</w:t>
      </w:r>
    </w:p>
    <w:p>
      <w:pPr>
        <w:spacing w:after="0" w:line="33"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On December 13, 2021, due to the upcoming transition of LIBOR, the 2020 ABL Facility was amended to adjust the rate for borrowings denominated in Euros from a LIBOR-based rate to the EURIBOR (Euro Interbank Offered Rate) rate plus 1.875% and to adjust the rate of borrowings denominated in British Pounds Sterling from a LIBOR-based rate to the SONIA (Sterling Overnight Index Average) rate plus 1.9076%.</w:t>
      </w:r>
    </w:p>
    <w:p>
      <w:pPr>
        <w:spacing w:after="0" w:line="33"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On December 16, 2021, the 2020 ABL Facility was amended to permit (i) the merger of WSII with and into Williams Scotsman, Inc. ("WSI") and (ii) WSI to assume the duties and obligations of WSII, the administrative borrower of the 2020 ABL Facility.</w:t>
      </w:r>
    </w:p>
    <w:p>
      <w:pPr>
        <w:spacing w:after="0" w:line="31"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At December 31, 2021, the weighted average interest rate for borrowings under the 2020 ABL Facility was 1.99%. The weighted average interest rate on the balance outstanding at December 31, 2021, as adjusted for the effects of the interest rate swap agreements was 2.71%. Refer to Note 13 for a more detailed discussion on interest rate management.</w:t>
      </w:r>
    </w:p>
    <w:p>
      <w:pPr>
        <w:spacing w:after="0" w:line="31" w:lineRule="exact"/>
        <w:rPr>
          <w:sz w:val="20"/>
          <w:szCs w:val="20"/>
          <w:color w:val="auto"/>
        </w:rPr>
      </w:pPr>
    </w:p>
    <w:p>
      <w:pPr>
        <w:jc w:val="both"/>
        <w:ind w:firstLine="524"/>
        <w:spacing w:after="0" w:line="248" w:lineRule="auto"/>
        <w:rPr>
          <w:sz w:val="20"/>
          <w:szCs w:val="20"/>
          <w:color w:val="auto"/>
        </w:rPr>
      </w:pPr>
      <w:r>
        <w:rPr>
          <w:rFonts w:ascii="Arial" w:cs="Arial" w:eastAsia="Arial" w:hAnsi="Arial"/>
          <w:sz w:val="13"/>
          <w:szCs w:val="13"/>
          <w:color w:val="auto"/>
        </w:rPr>
        <w:t>Borrowing availability under the US Facility and the Multicurrency Facility is equal to the lesser of (i) the aggregate Revolver Commitments and (ii) the Borrowing Base ("Line Cap"). At December 31, 2021, the Line Cap was $2.4 billion and the Borrowers had $743.6 million of available borrowing capacity under the 2020 ABL Facility, including $343.6 million under the US ABL Facility and $400.0 million under the Multicurrency Facility. Borrowing capacity under the 2020 ABL Facility is made available for up to $208.1 million of letters of credit and up to $168.5 million of swingline loans. At December 31, 2021, letters of credit and bank guarantees carried fees of 2.0%. The Company had issued $11.9 million of standby letters of credit under the 2020 ABL Facility at December 31, 2021. The 2020 ABL Facility requires the payment of an annual commitment fee on the unused available borrowings of 0.225% per annum.</w:t>
      </w:r>
    </w:p>
    <w:p>
      <w:pPr>
        <w:spacing w:after="0" w:line="36"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The Company had $1.6 billion outstanding principal under the 2020 ABL Facility at December 31, 2021. Debt issuance costs of $31.7 million were included in the carrying value of the 2020 ABL Facility at December 31, 2021.</w:t>
      </w:r>
    </w:p>
    <w:p>
      <w:pPr>
        <w:spacing w:after="0" w:line="31"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The obligations of the US Borrowers are unconditionally guaranteed by Holdings and each existing and subsequently acquired or organized direct or indirect wholly-owned US organized restricted subsidiary of Holdings, other than excluded subsidiaries (together with Holdings, the "US Guarantors"). The obligations of the Multicurrency Borrowers are unconditionally guaranteed by the US Borrowers and the US Guarantors, and each existing and subsequently acquired or organized direct or indirect wholly-owned Canadian organized restricted subsidiary of Holdings other than certain excluded subsidiaries (together with the US Guarantors, the "ABL Guarantors").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27" w:right="319" w:bottom="1440" w:gutter="0" w:footer="0" w:header="0"/>
        </w:sectPr>
      </w:pPr>
    </w:p>
    <w:bookmarkStart w:id="96" w:name="page97"/>
    <w:bookmarkEnd w:id="96"/>
    <w:p>
      <w:pPr>
        <w:spacing w:after="0"/>
        <w:rPr>
          <w:sz w:val="20"/>
          <w:szCs w:val="20"/>
          <w:color w:val="auto"/>
        </w:rPr>
      </w:pPr>
      <w:r>
        <w:rPr>
          <w:rFonts w:ascii="Arial" w:cs="Arial" w:eastAsia="Arial" w:hAnsi="Arial"/>
          <w:sz w:val="15"/>
          <w:szCs w:val="15"/>
          <w:b w:val="1"/>
          <w:bCs w:val="1"/>
          <w:color w:val="auto"/>
        </w:rPr>
        <w:t>2022 Senior Secured Notes</w:t>
      </w:r>
    </w:p>
    <w:p>
      <w:pPr>
        <w:spacing w:after="0" w:line="66"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In 2017, WSII issued $300.0 million aggregate principal amount of 7.875% senior secured notes due December 15, 2022 (the “2022 Secured Notes”) under an indenture dated November 29, 2017. Interest was payable semi-annually on June 15 and December 15 beginning June 15, 2018.</w:t>
      </w:r>
    </w:p>
    <w:p>
      <w:pPr>
        <w:spacing w:after="0" w:line="31"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On December 13, 2019, the Company completed a partial redemption of $30.0 million of the 2022 Secured Notes at a redemption price of 103% using proceeds from its 2017 ABL Facility. The Company recorded a loss on extinguishment of debt of $1.5 million, which included $0.9 million of an early redemption premium and $0.6 million related to the write-off of unamortized deferred financing fees.</w:t>
      </w:r>
    </w:p>
    <w:p>
      <w:pPr>
        <w:spacing w:after="0" w:line="33"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In connection with the Merger and related financing transactions in the third quarter of 2020, using proceeds from the 2025 Secured Notes discussed below, the Company redeemed all of its 2022 Secured Notes and recorded a loss on extinguishment of debt in the consolidated statements of operations of $15.2 million comprised of a redemption premium of $10.6 million and write off of unamortized deferred financing fees of $4.6 million.</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2023 Senior Secured Notes</w:t>
      </w:r>
    </w:p>
    <w:p>
      <w:pPr>
        <w:spacing w:after="0" w:line="66"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In 2018, WSII issued $300.0 million in aggregate principal amount of 6.875% senior secured notes due August 15, 2023 (the “2023 Secured Notes”). Interest was payable semi-annually on February 15 and August 15 of each year, beginning February 15, 2019.</w:t>
      </w:r>
    </w:p>
    <w:p>
      <w:pPr>
        <w:spacing w:after="0" w:line="31" w:lineRule="exact"/>
        <w:rPr>
          <w:sz w:val="20"/>
          <w:szCs w:val="20"/>
          <w:color w:val="auto"/>
        </w:rPr>
      </w:pPr>
    </w:p>
    <w:p>
      <w:pPr>
        <w:jc w:val="both"/>
        <w:ind w:firstLine="524"/>
        <w:spacing w:after="0" w:line="248" w:lineRule="auto"/>
        <w:rPr>
          <w:sz w:val="20"/>
          <w:szCs w:val="20"/>
          <w:color w:val="auto"/>
        </w:rPr>
      </w:pPr>
      <w:r>
        <w:rPr>
          <w:rFonts w:ascii="Arial" w:cs="Arial" w:eastAsia="Arial" w:hAnsi="Arial"/>
          <w:sz w:val="13"/>
          <w:szCs w:val="13"/>
          <w:color w:val="auto"/>
        </w:rPr>
        <w:t>On May 14, 2019, a tack-on offering of $190.0 million in aggregate principal amount to the initial 2023 Secured Notes (the "Tack-On Notes") was completed. The Tack-On Notes were issued as additional securities under the 2023 Secured Notes indenture. The Tack-On Notes had identical terms to the initial 2023 Secured Notes, other than with respect to the issue date and issue price. WSII incurred a total of $3.0 million in debt issuance costs in connection with the tack-on offering, which were deferred and were being amortized through the August 15, 2023 maturity date. Subsequent to the Tack-On Notes, the Company had $490.0 million of 6.875% 2023 Secured Notes. On August 11, 2020, using borrowings under the Company's 2020 ABL Facility, 10% of the outstanding principal amount of the 2023 Secured Notes, $49.0 million, at a redemption price of 103% plus accrued interest and unpaid interest was redeemed.</w:t>
      </w:r>
    </w:p>
    <w:p>
      <w:pPr>
        <w:spacing w:after="0" w:line="36" w:lineRule="exact"/>
        <w:rPr>
          <w:sz w:val="20"/>
          <w:szCs w:val="20"/>
          <w:color w:val="auto"/>
        </w:rPr>
      </w:pPr>
    </w:p>
    <w:p>
      <w:pPr>
        <w:jc w:val="both"/>
        <w:ind w:firstLine="524"/>
        <w:spacing w:after="0" w:line="250" w:lineRule="auto"/>
        <w:rPr>
          <w:sz w:val="20"/>
          <w:szCs w:val="20"/>
          <w:color w:val="auto"/>
        </w:rPr>
      </w:pPr>
      <w:r>
        <w:rPr>
          <w:rFonts w:ascii="Arial" w:cs="Arial" w:eastAsia="Arial" w:hAnsi="Arial"/>
          <w:sz w:val="13"/>
          <w:szCs w:val="13"/>
          <w:color w:val="auto"/>
        </w:rPr>
        <w:t>On August 25, 2020, the Company completed a private offering of its 2028 Secured Notes, discussed below, and used the offering proceeds to repay, along with expenses, the $441.0 million outstanding principal amount of its 2023 Secured Notes at a redemption price of 103.438% plus accrued interest and unpaid interest. The Company recorded a loss on extinguishment of debt in the consolidated statements of operations of $22.7 million comprised of a redemption premium of $16.6 million and a write off of unamortized deferred financing fees of $6.1 million.</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2025 Senior Secured Notes</w:t>
      </w:r>
    </w:p>
    <w:p>
      <w:pPr>
        <w:spacing w:after="0" w:line="66"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In anticipation of the Merger, on June 15, 2020, Picasso Finance Sub, Inc., a newly-formed indirect finance subsidiary (the "Finance Sub") of the Company completed a private offering of $650.0 million in aggregate principal amount of its 6.125% senior secured notes due 2025 (the "2025 Secured Notes") to qualified institutional buyers pursuant to Rule 144A of the Securities Act of 1933, as amended ("Rule 144A"). The 2025 Secured Notes contained provisions requiring repayment, without penalty, in the event the Merger was not consummated. The offering proceeds from the 2025 Secured Notes of $650.0 million and $5.1 million of interest due through August 1, 2020 were deposited into an escrow account, pending the closing of the Merger. In connection with the completion of the Merger, on July 1, 2020, the offering proceeds were released and the proceeds were used to repay the 2022 Secured Notes, repay Mobile Mini senior notes assumed in the acquisition and pay certain fees and expenses related to the Merger and the related financing transactions. In addition, Finance Sub was merged into WSII on July 1, 2020. The Company recorded $14.3 million in deferred financing fees related to the 2025 Secured Notes.</w:t>
      </w:r>
    </w:p>
    <w:p>
      <w:pPr>
        <w:spacing w:after="0" w:line="37"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The 2025 Secured Notes mature on June 15, 2025 and bear interest at a rate of 6.125% per annum. Interest is payable semi-annually on June 15 and December 15 of each year, beginning December 15, 2020. Unamortized deferred financing costs pertaining to the 2025 Secured Notes were $8.4 million as of December 31, 2021.</w:t>
      </w:r>
    </w:p>
    <w:p>
      <w:pPr>
        <w:spacing w:after="0" w:line="31"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The Company may redeem the 2025 Secured Notes at any time before June 15, 2022 at a redemption price equal to 100% of the principal amount thereof, plus a customary make whole premium for the 2025 Secured Notes being redeemed, plus accrued and unpaid interest, if any, to but not including the redemption date. Before June 15, 2022, the Company may redeem up to 40% of the aggregate principal amount of the 2025 Secured Notes at a price equal to 106.125% of the principal amount of the 2025 Secured Notes being redeemed, plus accrued and unpaid interest, if any, to but not including the redemption date with the net proceeds of certain equity offerings. At any time prior to June 15, 2022, the Company may also redeem up to 10% of the aggregate principal amount of the 2025 Secured Notes at a redemption price equal to 103% of the principal amount of the 2025 Secured Notes being redeemed during each twelve-month period commencing with the issue date, plus accrued and unpaid interest, if any, to but not including the redemption date. If the Company undergoes a change of control or sells certain of its assets, the Company may be required to offer to repurchase the 2025 Secured Notes.</w:t>
      </w:r>
    </w:p>
    <w:p>
      <w:pPr>
        <w:spacing w:after="0" w:line="37"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On March 26, 2021, using cash on hand and borrowings on the 2020 ABL Facility, the Company redeemed 10% of the outstanding principal, or $65.0 million, of its 2025 Secured Notes and recorded a loss on extinguishment of debt in the consolidated statement of operations of $3.2 million comprised of a redemption premium of $1.9 million and write- off of unamortized deferred financing fees of $1.3 million in the first quarter of 2021.</w:t>
      </w:r>
    </w:p>
    <w:p>
      <w:pPr>
        <w:spacing w:after="0" w:line="33"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On June 16, 2021, using cash on hand and borrowings on the 2020 ABL Facility, the Company redeemed 10% of the outstanding principal, or $58.5 million, of its 2025 Secured Notes and recorded a loss on extinguishment of debt in the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07" w:right="319" w:bottom="1440" w:gutter="0" w:footer="0" w:header="0"/>
        </w:sectPr>
      </w:pPr>
    </w:p>
    <w:bookmarkStart w:id="97" w:name="page98"/>
    <w:bookmarkEnd w:id="97"/>
    <w:p>
      <w:pPr>
        <w:jc w:val="both"/>
        <w:spacing w:after="0" w:line="256" w:lineRule="auto"/>
        <w:rPr>
          <w:sz w:val="20"/>
          <w:szCs w:val="20"/>
          <w:color w:val="auto"/>
        </w:rPr>
      </w:pPr>
      <w:r>
        <w:rPr>
          <w:rFonts w:ascii="Arial" w:cs="Arial" w:eastAsia="Arial" w:hAnsi="Arial"/>
          <w:sz w:val="13"/>
          <w:szCs w:val="13"/>
          <w:color w:val="auto"/>
        </w:rPr>
        <w:t>consolidated statement of operations of $2.8 million comprised of a redemption premium of $1.8 million and write-off of unamortized deferred financing fees of $1.0 million in the second quarter of 2021.</w:t>
      </w:r>
    </w:p>
    <w:p>
      <w:pPr>
        <w:spacing w:after="0" w:line="31"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On and after June 15, 2022, the Company may redeem the 2025 Secured Notes, in whole or in part, at the redemption prices expressed as percentages of principal amount set forth below plus accrued and unpaid interest to but not including the applicable redemption date, subject to the holders' right to receive interest due on an interest payment date falling on or prior to the redemption date, if redeemed during the twelve-month period beginning on June 15 of each of the years set forth below.</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40" w:type="dxa"/>
            <w:vAlign w:val="bottom"/>
            <w:shd w:val="clear" w:color="auto" w:fill="1D2758"/>
          </w:tcPr>
          <w:p>
            <w:pPr>
              <w:ind w:left="20"/>
              <w:spacing w:after="0"/>
              <w:rPr>
                <w:sz w:val="20"/>
                <w:szCs w:val="20"/>
                <w:color w:val="auto"/>
              </w:rPr>
            </w:pPr>
            <w:r>
              <w:rPr>
                <w:rFonts w:ascii="Arial" w:cs="Arial" w:eastAsia="Arial" w:hAnsi="Arial"/>
                <w:sz w:val="13"/>
                <w:szCs w:val="13"/>
                <w:b w:val="1"/>
                <w:bCs w:val="1"/>
                <w:color w:val="FFFFFF"/>
              </w:rPr>
              <w:t>Year</w:t>
            </w:r>
          </w:p>
        </w:tc>
        <w:tc>
          <w:tcPr>
            <w:tcW w:w="5840" w:type="dxa"/>
            <w:vAlign w:val="bottom"/>
            <w:shd w:val="clear" w:color="auto" w:fill="1D2758"/>
          </w:tcPr>
          <w:p>
            <w:pPr>
              <w:jc w:val="right"/>
              <w:ind w:right="394"/>
              <w:spacing w:after="0"/>
              <w:rPr>
                <w:sz w:val="20"/>
                <w:szCs w:val="20"/>
                <w:color w:val="auto"/>
              </w:rPr>
            </w:pPr>
            <w:r>
              <w:rPr>
                <w:rFonts w:ascii="Arial" w:cs="Arial" w:eastAsia="Arial" w:hAnsi="Arial"/>
                <w:sz w:val="13"/>
                <w:szCs w:val="13"/>
                <w:b w:val="1"/>
                <w:bCs w:val="1"/>
                <w:color w:val="FFFFFF"/>
              </w:rPr>
              <w:t>Redemption Price</w:t>
            </w:r>
          </w:p>
        </w:tc>
      </w:tr>
      <w:tr>
        <w:trPr>
          <w:trHeight w:val="175"/>
        </w:trPr>
        <w:tc>
          <w:tcPr>
            <w:tcW w:w="5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2022</w:t>
            </w:r>
          </w:p>
        </w:tc>
        <w:tc>
          <w:tcPr>
            <w:tcW w:w="5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103.063 %</w:t>
            </w:r>
          </w:p>
        </w:tc>
      </w:tr>
      <w:tr>
        <w:trPr>
          <w:trHeight w:val="172"/>
        </w:trPr>
        <w:tc>
          <w:tcPr>
            <w:tcW w:w="5440" w:type="dxa"/>
            <w:vAlign w:val="bottom"/>
          </w:tcPr>
          <w:p>
            <w:pPr>
              <w:ind w:left="20"/>
              <w:spacing w:after="0"/>
              <w:rPr>
                <w:sz w:val="20"/>
                <w:szCs w:val="20"/>
                <w:color w:val="auto"/>
              </w:rPr>
            </w:pPr>
            <w:r>
              <w:rPr>
                <w:rFonts w:ascii="Arial" w:cs="Arial" w:eastAsia="Arial" w:hAnsi="Arial"/>
                <w:sz w:val="13"/>
                <w:szCs w:val="13"/>
                <w:color w:val="auto"/>
              </w:rPr>
              <w:t>2023</w:t>
            </w:r>
          </w:p>
        </w:tc>
        <w:tc>
          <w:tcPr>
            <w:tcW w:w="5840" w:type="dxa"/>
            <w:vAlign w:val="bottom"/>
          </w:tcPr>
          <w:p>
            <w:pPr>
              <w:jc w:val="right"/>
              <w:spacing w:after="0"/>
              <w:rPr>
                <w:sz w:val="20"/>
                <w:szCs w:val="20"/>
                <w:color w:val="auto"/>
              </w:rPr>
            </w:pPr>
            <w:r>
              <w:rPr>
                <w:rFonts w:ascii="Arial" w:cs="Arial" w:eastAsia="Arial" w:hAnsi="Arial"/>
                <w:sz w:val="13"/>
                <w:szCs w:val="13"/>
                <w:color w:val="auto"/>
              </w:rPr>
              <w:t>101.531 %</w:t>
            </w:r>
          </w:p>
        </w:tc>
      </w:tr>
      <w:tr>
        <w:trPr>
          <w:trHeight w:val="178"/>
        </w:trPr>
        <w:tc>
          <w:tcPr>
            <w:tcW w:w="5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2024 and thereafter</w:t>
            </w:r>
          </w:p>
        </w:tc>
        <w:tc>
          <w:tcPr>
            <w:tcW w:w="5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100.000 %</w:t>
            </w:r>
          </w:p>
        </w:tc>
      </w:tr>
    </w:tbl>
    <w:p>
      <w:pPr>
        <w:spacing w:after="0" w:line="275"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The 2025 Secured Notes are unconditionally guaranteed by each of WSII's direct and indirect domestic subsidiaries and WSII's parent, Holdings (collectively, "the Note Guarantors"). WillScot Mobile Mini is not a guarantor of the 2025 Secured Notes. The Note Guarantors, as well as certain of the Company’s non-US subsidiaries, are guarantors or borrowers under the 2020 ABL Facility. To the extent lenders under the 2020 ABL Facility release the guarantee of any Note Guarantor, such Note Guarantor will also be released from obligations under the 2025 Secured Notes. These guarantees are secured by a second priority security interest in substantially all of the assets of WSII and the Note Guarantors, subject to customary exclusions. The guarantees of the 2025 Secured Notes by WillScot Equipment II, LLC, a Delaware limited liability company which holds certain of WSII’s assets in the US, will be subordinated to its obligations under the 2020 ABL Facility. On December 23, 2021, in connection with the merger of WSII with and into WSI, WSI entered into the 2025 Notes Supplemental Indenture, pursuant to which WSI assumed all of WSII's obligations and rights related to the 2025 Secured Notes.</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2028 Senior Secured Notes</w:t>
      </w:r>
    </w:p>
    <w:p>
      <w:pPr>
        <w:spacing w:after="0" w:line="110"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On August 25, 2020, the Company completed a private offering of $500.0 million in aggregate principal amount of 4.625% senior secured notes due 2028 (the "2028 Secured Notes") to qualified institutional buyers pursuant to Rule 144A. The 2028 Secured Notes mature on August 15, 2028. They bear interest at a rate of 4.625% per annum. Interest is payable semi-annually on August 15 and February 15 of each year, beginning February 15, 2021. Unamortized deferred financing costs pertaining to the 2028 Secured Notes were $7.5 million as of December 31, 2021.</w:t>
      </w:r>
    </w:p>
    <w:p>
      <w:pPr>
        <w:spacing w:after="0" w:line="33"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The Company may redeem the 2028 Secured Notes at any time before August 15, 2023 at a redemption price equal to 100% of the principal amount thereof, plus a customary make whole premium for the 2028 Secured Notes being redeemed, plus accrued and unpaid interest, if any, to but not including the redemption date. Before August 15, 2023, the Company may redeem up to 40% of the aggregate principal amount of the 2028 Secured Notes at a price equal to 104.625% of the principal amount of the 2028 Secured Notes being redeemed, plus accrued and unpaid interest, if any, to but not including the redemption date with the net proceeds of certain equity offerings. At any time prior to August 15, 2023, the Company may also redeem up to 10% of the aggregate principal amount at a redemption price equal to 103% of the principal amount of the 2028 Secured Notes being redeemed during each twelve-month period commencing with the issue date, plus accrued and unpaid interest, if any, to but not including the redemption date. If the Company undergoes a change of control or sells certain of its assets, the Company may be required to offer to repurchase the 2028 Secured Notes.</w:t>
      </w:r>
    </w:p>
    <w:p>
      <w:pPr>
        <w:spacing w:after="0" w:line="37"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On and after August 15, 2023, the Company may redeem the 2028 Secured Notes, in whole or in part, at the redemption prices expressed as percentages of principal amount set forth below plus accrued and unpaid interest to but not including the applicable redemption date, subject to the holders' right to receive interest due on an interest payment date falling on or prior to the redemption date, if redeemed during the twelve-month period beginning on August 15 of each of the years set forth below.</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40" w:type="dxa"/>
            <w:vAlign w:val="bottom"/>
            <w:shd w:val="clear" w:color="auto" w:fill="1D2758"/>
          </w:tcPr>
          <w:p>
            <w:pPr>
              <w:ind w:left="20"/>
              <w:spacing w:after="0"/>
              <w:rPr>
                <w:sz w:val="20"/>
                <w:szCs w:val="20"/>
                <w:color w:val="auto"/>
              </w:rPr>
            </w:pPr>
            <w:r>
              <w:rPr>
                <w:rFonts w:ascii="Arial" w:cs="Arial" w:eastAsia="Arial" w:hAnsi="Arial"/>
                <w:sz w:val="13"/>
                <w:szCs w:val="13"/>
                <w:b w:val="1"/>
                <w:bCs w:val="1"/>
                <w:color w:val="FFFFFF"/>
              </w:rPr>
              <w:t>Year</w:t>
            </w:r>
          </w:p>
        </w:tc>
        <w:tc>
          <w:tcPr>
            <w:tcW w:w="5840" w:type="dxa"/>
            <w:vAlign w:val="bottom"/>
            <w:shd w:val="clear" w:color="auto" w:fill="1D2758"/>
          </w:tcPr>
          <w:p>
            <w:pPr>
              <w:jc w:val="right"/>
              <w:ind w:right="394"/>
              <w:spacing w:after="0"/>
              <w:rPr>
                <w:sz w:val="20"/>
                <w:szCs w:val="20"/>
                <w:color w:val="auto"/>
              </w:rPr>
            </w:pPr>
            <w:r>
              <w:rPr>
                <w:rFonts w:ascii="Arial" w:cs="Arial" w:eastAsia="Arial" w:hAnsi="Arial"/>
                <w:sz w:val="13"/>
                <w:szCs w:val="13"/>
                <w:b w:val="1"/>
                <w:bCs w:val="1"/>
                <w:color w:val="FFFFFF"/>
              </w:rPr>
              <w:t>Redemption Price</w:t>
            </w:r>
          </w:p>
        </w:tc>
      </w:tr>
      <w:tr>
        <w:trPr>
          <w:trHeight w:val="175"/>
        </w:trPr>
        <w:tc>
          <w:tcPr>
            <w:tcW w:w="5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2023</w:t>
            </w:r>
          </w:p>
        </w:tc>
        <w:tc>
          <w:tcPr>
            <w:tcW w:w="5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102.313 %</w:t>
            </w:r>
          </w:p>
        </w:tc>
      </w:tr>
      <w:tr>
        <w:trPr>
          <w:trHeight w:val="172"/>
        </w:trPr>
        <w:tc>
          <w:tcPr>
            <w:tcW w:w="5440" w:type="dxa"/>
            <w:vAlign w:val="bottom"/>
          </w:tcPr>
          <w:p>
            <w:pPr>
              <w:ind w:left="20"/>
              <w:spacing w:after="0"/>
              <w:rPr>
                <w:sz w:val="20"/>
                <w:szCs w:val="20"/>
                <w:color w:val="auto"/>
              </w:rPr>
            </w:pPr>
            <w:r>
              <w:rPr>
                <w:rFonts w:ascii="Arial" w:cs="Arial" w:eastAsia="Arial" w:hAnsi="Arial"/>
                <w:sz w:val="13"/>
                <w:szCs w:val="13"/>
                <w:color w:val="auto"/>
              </w:rPr>
              <w:t>2024</w:t>
            </w:r>
          </w:p>
        </w:tc>
        <w:tc>
          <w:tcPr>
            <w:tcW w:w="5840" w:type="dxa"/>
            <w:vAlign w:val="bottom"/>
          </w:tcPr>
          <w:p>
            <w:pPr>
              <w:jc w:val="right"/>
              <w:spacing w:after="0"/>
              <w:rPr>
                <w:sz w:val="20"/>
                <w:szCs w:val="20"/>
                <w:color w:val="auto"/>
              </w:rPr>
            </w:pPr>
            <w:r>
              <w:rPr>
                <w:rFonts w:ascii="Arial" w:cs="Arial" w:eastAsia="Arial" w:hAnsi="Arial"/>
                <w:sz w:val="13"/>
                <w:szCs w:val="13"/>
                <w:color w:val="auto"/>
              </w:rPr>
              <w:t>101.156 %</w:t>
            </w:r>
          </w:p>
        </w:tc>
      </w:tr>
      <w:tr>
        <w:trPr>
          <w:trHeight w:val="178"/>
        </w:trPr>
        <w:tc>
          <w:tcPr>
            <w:tcW w:w="5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2025 and thereafter</w:t>
            </w:r>
          </w:p>
        </w:tc>
        <w:tc>
          <w:tcPr>
            <w:tcW w:w="5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100.000 %</w:t>
            </w:r>
          </w:p>
        </w:tc>
      </w:tr>
    </w:tbl>
    <w:p>
      <w:pPr>
        <w:spacing w:after="0" w:line="198"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The 2028 Secured Notes are unconditionally guaranteed by the Note Guarantors. WillScot Mobile Mini is not a guarantor of the 2028 Secured Notes. The Note Guarantors, as well as certain of the Company’s non-US subsidiaries, are guarantors or borrowers under the 2020 ABL Facility. To the extent lenders under the 2020 ABL Facility release the guarantee of any Note Guarantor, such Note Guarantor will also be released from obligations under the 2025 Secured Notes. These guarantees are secured by a second priority security interest in substantially all of the assets of WSII and the Note Guarantors, subject to customary exclusions. The guarantees of the 2028 Secured Notes by WillScot Equipment II, LLC, a Delaware limited liability company which holds certain of WSII’s assets in the US, will be subordinated to its obligations under the 2020 ABL Facility. On December 23, 2021, in connection with the merger of WSII with and into WSI, WSI entered into the 2028</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27" w:right="319" w:bottom="1440" w:gutter="0" w:footer="0" w:header="0"/>
        </w:sectPr>
      </w:pPr>
    </w:p>
    <w:bookmarkStart w:id="98" w:name="page99"/>
    <w:bookmarkEnd w:id="98"/>
    <w:p>
      <w:pPr>
        <w:spacing w:after="0"/>
        <w:rPr>
          <w:sz w:val="20"/>
          <w:szCs w:val="20"/>
          <w:color w:val="auto"/>
        </w:rPr>
      </w:pPr>
      <w:r>
        <w:rPr>
          <w:rFonts w:ascii="Arial" w:cs="Arial" w:eastAsia="Arial" w:hAnsi="Arial"/>
          <w:sz w:val="13"/>
          <w:szCs w:val="13"/>
          <w:color w:val="auto"/>
        </w:rPr>
        <w:t>Notes Supplemental Indenture, pursuant to which WSI assumed all of WSII's obligations and rights related to the 2028 Secured Notes.</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2023 Senior Unsecured Notes</w:t>
      </w:r>
    </w:p>
    <w:p>
      <w:pPr>
        <w:spacing w:after="0" w:line="66"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The Company had $200.0 million in aggregate principal amount of senior unsecured notes due November 15, 2023. On June 19, 2019 (the "Redemption Date"), WSII used proceeds from its US ABL Facility to redeem all $200.0 million in aggregate outstanding principal amount of the unsecured notes at a redemption price of 102.0%, plus a make-whole premium of 1.126% and any accrued and unpaid interest to, but not including, the Redemption Date. The Company recorded a loss on extinguishment of $7.2 million, which included $6.2 million of make-whole premiums and $1.0 million related to the write-off of unamortized deferred financing fees.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Finance Leases</w:t>
      </w:r>
    </w:p>
    <w:p>
      <w:pPr>
        <w:spacing w:after="0" w:line="66"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The Company maintains finance leases primarily related to transportation equipment. At December 31, 2021 and December 31, 2020, obligations under the finance leases for certain real property and transportation related equipment were $89.1 million and $77.9 million, respectively.</w:t>
      </w:r>
    </w:p>
    <w:p>
      <w:pPr>
        <w:spacing w:after="0" w:line="74"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Company is in compliance with all debt covenants and restrictions for the aforementioned debt instruments for the year ended December 31, 2021.</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Mobile Mini Debt</w:t>
      </w:r>
    </w:p>
    <w:p>
      <w:pPr>
        <w:spacing w:after="0" w:line="66"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Mobile Mini had $250.0 million in aggregate principal amount of 5.875% senior notes outstanding prior to the Merger. In connection with the Merger, these notes were assumed by WillScot Mobile Mini and subsequently redeemed using proceeds from the 2025 Secured Notes discussed above.</w:t>
      </w:r>
    </w:p>
    <w:p>
      <w:pPr>
        <w:spacing w:after="0" w:line="31"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Mobile Mini had a $1.0 billion first lien senior secured revolving credit facility. At June 30, 2020, Mobile Mini had $563.2 million of outstanding principal on the credit facility. In connection with the Merger, this line of credit was assumed by WillScot Mobile Mini and subsequently repaid in full using proceeds from the 2020 ABL Facility discussed above.</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color w:val="1D2758"/>
        </w:rPr>
        <w:t>NOTE 10 - Equity</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Preferred Stock</w:t>
      </w:r>
    </w:p>
    <w:p>
      <w:pPr>
        <w:spacing w:after="0" w:line="66"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WillScot Mobile Mini's certificate of incorporation authorizes the issuance of 1,000,000 shares of Preferred Stock with a par value of $0.0001 per share. As of December 31, 2021, the Company has zero shares of Preferred Stock issued and outstanding.</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Common Stock</w:t>
      </w:r>
    </w:p>
    <w:p>
      <w:pPr>
        <w:spacing w:after="0" w:line="66"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WillScot Mobile Mini's certificate of incorporation authorizes the issuance of 500,000,000 shares of Common Stock with a par value of $0.0001 per share. The Company has 223,939,527 shares of Common Stock issued and outstanding as of December 31, 2021. The outstanding shares of the Company's Common Stock are duly authorized, validly issued, fully paid and non-assessable.</w:t>
      </w:r>
    </w:p>
    <w:p>
      <w:pPr>
        <w:spacing w:after="0" w:line="33"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On June 30, 2020, as contemplated by the Merger Agreement, Sapphire Holdings exchanged each of its shares of common stock of Holdings for 1.3261 shares of newly issued WillScot Class A Common Stock (the "Sapphire Exchange"). As a result of the Sapphire Exchange, all issued and outstanding shares of WillScot's Class B Common Stock, par value $0.0001 per share, were automatically canceled for no consideration and the existing exchange agreement was automatically terminated. As a result of the Sapphire Exchange, Sapphire Holdings became a wholly-owned subsidiary of WillScot. Sapphire Holdings received 10,641,182 shares of Common Stock of WillScot in the Sapphire Exchange. Prior to the Sapphire Exchange, Sapphire Holdings' ownership of Holdings was recorded as a non-controlling interest in the consolidated financial statements. Subsequent to the Sapphire Exchange, the Company's subsidiaries are each wholly owned and there is no non-controlling interest. As a result of the Sapphire Exchange, non-controlling interest of $63.9 million was reclassified to $66.9 million of additional paid-in-capital and $3.0 million to accumulated other comprehensive loss, on the consolidated balance sheet.</w:t>
      </w:r>
    </w:p>
    <w:p>
      <w:pPr>
        <w:spacing w:after="0" w:line="37"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In connection with the Merger on July 1, 2020, the Company issued 106,426,722 shares of Class A Common Stock in exchange for Mobile Mini Common Stock outstanding and subsequently filed an amended and restated certificate of incorporation, which reclassified all outstanding shares of the Class A Common Stock and converted such shares into shares of Common Stock, par value of $0.0001 per share, of WillScot Mobile Mini.</w:t>
      </w:r>
    </w:p>
    <w:p>
      <w:pPr>
        <w:spacing w:after="0" w:line="33"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In connection with the Sapphire Exchange described above, stock compensation vesting and stock option exercises described in Note 16, and the warrant exercises described below, the Company issued 6,752,647 and 13,792,582 shares of Common Stock during the years ended December 31, 2021 and 2020, respectively.</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Repurchase Program</w:t>
      </w:r>
    </w:p>
    <w:p>
      <w:pPr>
        <w:spacing w:after="0" w:line="66"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On August 7, 2020, the Company's Board of Directors approved a stock repurchase program that authorizes the Company to repurchase up to $250 million of its outstanding shares of Common Stock and equivalents. On April 29, 2021, the Board of Directors approved an increase in repurchase authority to $500 million. Subsequently, in October of 2021, the Company's Board of Directors replaced the existing share repurchase program with a new share repurchase program that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059" w:right="319" w:bottom="1440" w:gutter="0" w:footer="0" w:header="0"/>
        </w:sectPr>
      </w:pPr>
    </w:p>
    <w:bookmarkStart w:id="99" w:name="page100"/>
    <w:bookmarkEnd w:id="99"/>
    <w:p>
      <w:pPr>
        <w:jc w:val="both"/>
        <w:spacing w:after="0" w:line="248" w:lineRule="auto"/>
        <w:rPr>
          <w:sz w:val="20"/>
          <w:szCs w:val="20"/>
          <w:color w:val="auto"/>
        </w:rPr>
      </w:pPr>
      <w:r>
        <w:rPr>
          <w:rFonts w:ascii="Arial" w:cs="Arial" w:eastAsia="Arial" w:hAnsi="Arial"/>
          <w:sz w:val="13"/>
          <w:szCs w:val="13"/>
          <w:color w:val="auto"/>
        </w:rPr>
        <w:t>authorizes the Company to repurchase up to $1.0 billion of its outstanding shares of Common Stock and equivalents. The stock repurchase program does not obligate the Company to purchase any particular number of shares, and the timing and exact amount of any repurchases will depend on various factors, including market pricing, business, legal, accounting, and other considerations. The Company may repurchase its shares in open market transactions or through privately negotiated transactions in accordance with federal securities laws, at the Company's discretion. The repurchase program, which has no expiration date, may be increased, suspended, or terminated at any time. The program is expected to be implemented over the course of several years and will be conducted subject to the covenants in the agreements governing indebtedness.</w:t>
      </w:r>
    </w:p>
    <w:p>
      <w:pPr>
        <w:spacing w:after="0" w:line="36"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During the year ended December 31, 2021, the Company repurchased 12,878,490 shares of Common Stock and stock equivalents for $365.9 million. During the year ended December 31, 2020, no shares of Common Stock were repurchased, and 1,728,177 shares of stock equivalents were repurchased for $35.3 million. As of December 31, 2021, $956.7 million of the approved repurchase pool remained available.</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Accumulated Other Comprehensive Loss</w:t>
      </w:r>
    </w:p>
    <w:p>
      <w:pPr>
        <w:spacing w:after="0" w:line="110"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changes in accumulated other comprehensive loss ("AOCI"), net of tax, for the years ended December 31, 2021, 2020 and 2019, were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20" w:type="dxa"/>
            <w:vAlign w:val="bottom"/>
            <w:vMerge w:val="restart"/>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200" w:type="dxa"/>
            <w:vAlign w:val="bottom"/>
            <w:shd w:val="clear" w:color="auto" w:fill="1D2758"/>
          </w:tcPr>
          <w:p>
            <w:pPr>
              <w:spacing w:after="0"/>
              <w:rPr>
                <w:sz w:val="13"/>
                <w:szCs w:val="13"/>
                <w:color w:val="auto"/>
              </w:rPr>
            </w:pPr>
          </w:p>
        </w:tc>
        <w:tc>
          <w:tcPr>
            <w:tcW w:w="1580" w:type="dxa"/>
            <w:vAlign w:val="bottom"/>
            <w:gridSpan w:val="2"/>
            <w:shd w:val="clear" w:color="auto" w:fill="1D2758"/>
          </w:tcPr>
          <w:p>
            <w:pPr>
              <w:jc w:val="center"/>
              <w:ind w:right="280"/>
              <w:spacing w:after="0"/>
              <w:rPr>
                <w:sz w:val="20"/>
                <w:szCs w:val="20"/>
                <w:color w:val="auto"/>
              </w:rPr>
            </w:pPr>
            <w:r>
              <w:rPr>
                <w:rFonts w:ascii="Arial" w:cs="Arial" w:eastAsia="Arial" w:hAnsi="Arial"/>
                <w:sz w:val="13"/>
                <w:szCs w:val="13"/>
                <w:b w:val="1"/>
                <w:bCs w:val="1"/>
                <w:color w:val="FFFFFF"/>
              </w:rPr>
              <w:t>Foreign Currency</w:t>
            </w:r>
          </w:p>
        </w:tc>
        <w:tc>
          <w:tcPr>
            <w:tcW w:w="140" w:type="dxa"/>
            <w:vAlign w:val="bottom"/>
            <w:shd w:val="clear" w:color="auto" w:fill="1D2758"/>
          </w:tcPr>
          <w:p>
            <w:pPr>
              <w:spacing w:after="0"/>
              <w:rPr>
                <w:sz w:val="13"/>
                <w:szCs w:val="13"/>
                <w:color w:val="auto"/>
              </w:rPr>
            </w:pPr>
          </w:p>
        </w:tc>
        <w:tc>
          <w:tcPr>
            <w:tcW w:w="1640" w:type="dxa"/>
            <w:vAlign w:val="bottom"/>
            <w:gridSpan w:val="2"/>
            <w:shd w:val="clear" w:color="auto" w:fill="1D2758"/>
          </w:tcPr>
          <w:p>
            <w:pPr>
              <w:jc w:val="center"/>
              <w:ind w:right="220"/>
              <w:spacing w:after="0"/>
              <w:rPr>
                <w:sz w:val="20"/>
                <w:szCs w:val="20"/>
                <w:color w:val="auto"/>
              </w:rPr>
            </w:pPr>
            <w:r>
              <w:rPr>
                <w:rFonts w:ascii="Arial" w:cs="Arial" w:eastAsia="Arial" w:hAnsi="Arial"/>
                <w:sz w:val="13"/>
                <w:szCs w:val="13"/>
                <w:b w:val="1"/>
                <w:bCs w:val="1"/>
                <w:color w:val="FFFFFF"/>
              </w:rPr>
              <w:t>Unrealized losses on</w:t>
            </w:r>
          </w:p>
        </w:tc>
        <w:tc>
          <w:tcPr>
            <w:tcW w:w="400" w:type="dxa"/>
            <w:vAlign w:val="bottom"/>
            <w:shd w:val="clear" w:color="auto" w:fill="1D2758"/>
          </w:tcPr>
          <w:p>
            <w:pPr>
              <w:spacing w:after="0"/>
              <w:rPr>
                <w:sz w:val="13"/>
                <w:szCs w:val="13"/>
                <w:color w:val="auto"/>
              </w:rPr>
            </w:pPr>
          </w:p>
        </w:tc>
        <w:tc>
          <w:tcPr>
            <w:tcW w:w="1300" w:type="dxa"/>
            <w:vAlign w:val="bottom"/>
            <w:vMerge w:val="restart"/>
            <w:shd w:val="clear" w:color="auto" w:fill="1D2758"/>
          </w:tcPr>
          <w:p>
            <w:pPr>
              <w:jc w:val="right"/>
              <w:ind w:right="634"/>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75"/>
        </w:trPr>
        <w:tc>
          <w:tcPr>
            <w:tcW w:w="6020" w:type="dxa"/>
            <w:vAlign w:val="bottom"/>
            <w:vMerge w:val="continue"/>
            <w:shd w:val="clear" w:color="auto" w:fill="1D2758"/>
          </w:tcPr>
          <w:p>
            <w:pPr>
              <w:spacing w:after="0"/>
              <w:rPr>
                <w:sz w:val="15"/>
                <w:szCs w:val="15"/>
                <w:color w:val="auto"/>
              </w:rPr>
            </w:pPr>
          </w:p>
        </w:tc>
        <w:tc>
          <w:tcPr>
            <w:tcW w:w="200" w:type="dxa"/>
            <w:vAlign w:val="bottom"/>
            <w:shd w:val="clear" w:color="auto" w:fill="1D2758"/>
          </w:tcPr>
          <w:p>
            <w:pPr>
              <w:spacing w:after="0"/>
              <w:rPr>
                <w:sz w:val="15"/>
                <w:szCs w:val="15"/>
                <w:color w:val="auto"/>
              </w:rPr>
            </w:pPr>
          </w:p>
        </w:tc>
        <w:tc>
          <w:tcPr>
            <w:tcW w:w="1580" w:type="dxa"/>
            <w:vAlign w:val="bottom"/>
            <w:gridSpan w:val="2"/>
            <w:shd w:val="clear" w:color="auto" w:fill="1D2758"/>
          </w:tcPr>
          <w:p>
            <w:pPr>
              <w:jc w:val="center"/>
              <w:ind w:right="280"/>
              <w:spacing w:after="0"/>
              <w:rPr>
                <w:sz w:val="20"/>
                <w:szCs w:val="20"/>
                <w:color w:val="auto"/>
              </w:rPr>
            </w:pPr>
            <w:r>
              <w:rPr>
                <w:rFonts w:ascii="Arial" w:cs="Arial" w:eastAsia="Arial" w:hAnsi="Arial"/>
                <w:sz w:val="13"/>
                <w:szCs w:val="13"/>
                <w:b w:val="1"/>
                <w:bCs w:val="1"/>
                <w:color w:val="FFFFFF"/>
                <w:w w:val="99"/>
              </w:rPr>
              <w:t>Translation</w:t>
            </w:r>
          </w:p>
        </w:tc>
        <w:tc>
          <w:tcPr>
            <w:tcW w:w="140" w:type="dxa"/>
            <w:vAlign w:val="bottom"/>
            <w:shd w:val="clear" w:color="auto" w:fill="1D2758"/>
          </w:tcPr>
          <w:p>
            <w:pPr>
              <w:spacing w:after="0"/>
              <w:rPr>
                <w:sz w:val="15"/>
                <w:szCs w:val="15"/>
                <w:color w:val="auto"/>
              </w:rPr>
            </w:pPr>
          </w:p>
        </w:tc>
        <w:tc>
          <w:tcPr>
            <w:tcW w:w="1640" w:type="dxa"/>
            <w:vAlign w:val="bottom"/>
            <w:gridSpan w:val="2"/>
            <w:shd w:val="clear" w:color="auto" w:fill="1D2758"/>
          </w:tcPr>
          <w:p>
            <w:pPr>
              <w:jc w:val="center"/>
              <w:ind w:right="220"/>
              <w:spacing w:after="0"/>
              <w:rPr>
                <w:sz w:val="20"/>
                <w:szCs w:val="20"/>
                <w:color w:val="auto"/>
              </w:rPr>
            </w:pPr>
            <w:r>
              <w:rPr>
                <w:rFonts w:ascii="Arial" w:cs="Arial" w:eastAsia="Arial" w:hAnsi="Arial"/>
                <w:sz w:val="13"/>
                <w:szCs w:val="13"/>
                <w:b w:val="1"/>
                <w:bCs w:val="1"/>
                <w:color w:val="FFFFFF"/>
              </w:rPr>
              <w:t>hedging activities</w:t>
            </w:r>
          </w:p>
        </w:tc>
        <w:tc>
          <w:tcPr>
            <w:tcW w:w="400" w:type="dxa"/>
            <w:vAlign w:val="bottom"/>
            <w:shd w:val="clear" w:color="auto" w:fill="1D2758"/>
          </w:tcPr>
          <w:p>
            <w:pPr>
              <w:spacing w:after="0"/>
              <w:rPr>
                <w:sz w:val="15"/>
                <w:szCs w:val="15"/>
                <w:color w:val="auto"/>
              </w:rPr>
            </w:pPr>
          </w:p>
        </w:tc>
        <w:tc>
          <w:tcPr>
            <w:tcW w:w="1300" w:type="dxa"/>
            <w:vAlign w:val="bottom"/>
            <w:vMerge w:val="continue"/>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020" w:type="dxa"/>
            <w:vAlign w:val="bottom"/>
          </w:tcPr>
          <w:p>
            <w:pPr>
              <w:ind w:left="20"/>
              <w:spacing w:after="0"/>
              <w:rPr>
                <w:sz w:val="20"/>
                <w:szCs w:val="20"/>
                <w:color w:val="auto"/>
              </w:rPr>
            </w:pPr>
            <w:r>
              <w:rPr>
                <w:rFonts w:ascii="Arial" w:cs="Arial" w:eastAsia="Arial" w:hAnsi="Arial"/>
                <w:sz w:val="13"/>
                <w:szCs w:val="13"/>
                <w:color w:val="auto"/>
              </w:rPr>
              <w:t>Balance at December 31, 2018</w:t>
            </w:r>
          </w:p>
        </w:tc>
        <w:tc>
          <w:tcPr>
            <w:tcW w:w="20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(62,608)</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560" w:type="dxa"/>
            <w:vAlign w:val="bottom"/>
          </w:tcPr>
          <w:p>
            <w:pPr>
              <w:jc w:val="right"/>
              <w:spacing w:after="0"/>
              <w:rPr>
                <w:sz w:val="20"/>
                <w:szCs w:val="20"/>
                <w:color w:val="auto"/>
              </w:rPr>
            </w:pPr>
            <w:r>
              <w:rPr>
                <w:rFonts w:ascii="Arial" w:cs="Arial" w:eastAsia="Arial" w:hAnsi="Arial"/>
                <w:sz w:val="13"/>
                <w:szCs w:val="13"/>
                <w:color w:val="auto"/>
              </w:rPr>
              <w:t>(5,418)</w:t>
            </w:r>
          </w:p>
        </w:tc>
        <w:tc>
          <w:tcPr>
            <w:tcW w:w="80" w:type="dxa"/>
            <w:vAlign w:val="bottom"/>
          </w:tcPr>
          <w:p>
            <w:pPr>
              <w:spacing w:after="0"/>
              <w:rPr>
                <w:sz w:val="14"/>
                <w:szCs w:val="14"/>
                <w:color w:val="auto"/>
              </w:rPr>
            </w:pPr>
          </w:p>
        </w:tc>
        <w:tc>
          <w:tcPr>
            <w:tcW w:w="400" w:type="dxa"/>
            <w:vAlign w:val="bottom"/>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(68,026)</w:t>
            </w:r>
          </w:p>
        </w:tc>
        <w:tc>
          <w:tcPr>
            <w:tcW w:w="0" w:type="dxa"/>
            <w:vAlign w:val="bottom"/>
          </w:tcPr>
          <w:p>
            <w:pPr>
              <w:spacing w:after="0"/>
              <w:rPr>
                <w:sz w:val="1"/>
                <w:szCs w:val="1"/>
                <w:color w:val="auto"/>
              </w:rPr>
            </w:pPr>
          </w:p>
        </w:tc>
      </w:tr>
      <w:tr>
        <w:trPr>
          <w:trHeight w:val="178"/>
        </w:trPr>
        <w:tc>
          <w:tcPr>
            <w:tcW w:w="6020" w:type="dxa"/>
            <w:vAlign w:val="bottom"/>
            <w:shd w:val="clear" w:color="auto" w:fill="DBDBDB"/>
          </w:tcPr>
          <w:p>
            <w:pPr>
              <w:ind w:left="200"/>
              <w:spacing w:after="0"/>
              <w:rPr>
                <w:sz w:val="20"/>
                <w:szCs w:val="20"/>
                <w:color w:val="auto"/>
              </w:rPr>
            </w:pPr>
            <w:r>
              <w:rPr>
                <w:rFonts w:ascii="Arial" w:cs="Arial" w:eastAsia="Arial" w:hAnsi="Arial"/>
                <w:sz w:val="13"/>
                <w:szCs w:val="13"/>
                <w:color w:val="auto"/>
              </w:rPr>
              <w:t>Other comprehensive income (loss) before reclassifications</w:t>
            </w:r>
          </w:p>
        </w:tc>
        <w:tc>
          <w:tcPr>
            <w:tcW w:w="200" w:type="dxa"/>
            <w:vAlign w:val="bottom"/>
            <w:shd w:val="clear" w:color="auto" w:fill="DBDBDB"/>
          </w:tcPr>
          <w:p>
            <w:pPr>
              <w:spacing w:after="0"/>
              <w:rPr>
                <w:sz w:val="15"/>
                <w:szCs w:val="15"/>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10,586</w:t>
            </w: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(7,930)</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2,656</w:t>
            </w:r>
          </w:p>
        </w:tc>
        <w:tc>
          <w:tcPr>
            <w:tcW w:w="0" w:type="dxa"/>
            <w:vAlign w:val="bottom"/>
          </w:tcPr>
          <w:p>
            <w:pPr>
              <w:spacing w:after="0"/>
              <w:rPr>
                <w:sz w:val="1"/>
                <w:szCs w:val="1"/>
                <w:color w:val="auto"/>
              </w:rPr>
            </w:pPr>
          </w:p>
        </w:tc>
      </w:tr>
      <w:tr>
        <w:trPr>
          <w:trHeight w:val="175"/>
        </w:trPr>
        <w:tc>
          <w:tcPr>
            <w:tcW w:w="6020" w:type="dxa"/>
            <w:vAlign w:val="bottom"/>
          </w:tcPr>
          <w:p>
            <w:pPr>
              <w:ind w:left="200"/>
              <w:spacing w:after="0" w:line="175" w:lineRule="exact"/>
              <w:rPr>
                <w:sz w:val="20"/>
                <w:szCs w:val="20"/>
                <w:color w:val="auto"/>
              </w:rPr>
            </w:pPr>
            <w:r>
              <w:rPr>
                <w:rFonts w:ascii="Arial" w:cs="Arial" w:eastAsia="Arial" w:hAnsi="Arial"/>
                <w:sz w:val="13"/>
                <w:szCs w:val="13"/>
                <w:color w:val="auto"/>
              </w:rPr>
              <w:t xml:space="preserve">Reclassifications from AOCI to income </w:t>
            </w:r>
            <w:r>
              <w:rPr>
                <w:rFonts w:ascii="Arial" w:cs="Arial" w:eastAsia="Arial" w:hAnsi="Arial"/>
                <w:sz w:val="17"/>
                <w:szCs w:val="17"/>
                <w:color w:val="auto"/>
                <w:vertAlign w:val="superscript"/>
              </w:rPr>
              <w:t>(a)</w:t>
            </w:r>
          </w:p>
        </w:tc>
        <w:tc>
          <w:tcPr>
            <w:tcW w:w="200" w:type="dxa"/>
            <w:vAlign w:val="bottom"/>
          </w:tcPr>
          <w:p>
            <w:pPr>
              <w:spacing w:after="0"/>
              <w:rPr>
                <w:sz w:val="15"/>
                <w:szCs w:val="15"/>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3,121</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3,121</w:t>
            </w:r>
          </w:p>
        </w:tc>
        <w:tc>
          <w:tcPr>
            <w:tcW w:w="0" w:type="dxa"/>
            <w:vAlign w:val="bottom"/>
          </w:tcPr>
          <w:p>
            <w:pPr>
              <w:spacing w:after="0"/>
              <w:rPr>
                <w:sz w:val="1"/>
                <w:szCs w:val="1"/>
                <w:color w:val="auto"/>
              </w:rPr>
            </w:pPr>
          </w:p>
        </w:tc>
      </w:tr>
      <w:tr>
        <w:trPr>
          <w:trHeight w:val="172"/>
        </w:trPr>
        <w:tc>
          <w:tcPr>
            <w:tcW w:w="6020" w:type="dxa"/>
            <w:vAlign w:val="bottom"/>
            <w:shd w:val="clear" w:color="auto" w:fill="DBDBDB"/>
          </w:tcPr>
          <w:p>
            <w:pPr>
              <w:ind w:left="200"/>
              <w:spacing w:after="0"/>
              <w:rPr>
                <w:sz w:val="20"/>
                <w:szCs w:val="20"/>
                <w:color w:val="auto"/>
              </w:rPr>
            </w:pPr>
            <w:r>
              <w:rPr>
                <w:rFonts w:ascii="Arial" w:cs="Arial" w:eastAsia="Arial" w:hAnsi="Arial"/>
                <w:sz w:val="13"/>
                <w:szCs w:val="13"/>
                <w:color w:val="auto"/>
              </w:rPr>
              <w:t>Less other comprehensive (loss) income attributable to non-controlling interest</w:t>
            </w:r>
          </w:p>
        </w:tc>
        <w:tc>
          <w:tcPr>
            <w:tcW w:w="200" w:type="dxa"/>
            <w:vAlign w:val="bottom"/>
            <w:tcBorders>
              <w:bottom w:val="single" w:sz="8" w:color="auto"/>
            </w:tcBorders>
            <w:shd w:val="clear" w:color="auto" w:fill="DBDBDB"/>
          </w:tcPr>
          <w:p>
            <w:pPr>
              <w:spacing w:after="0"/>
              <w:rPr>
                <w:sz w:val="14"/>
                <w:szCs w:val="14"/>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(960)</w:t>
            </w:r>
          </w:p>
        </w:tc>
        <w:tc>
          <w:tcPr>
            <w:tcW w:w="80" w:type="dxa"/>
            <w:vAlign w:val="bottom"/>
            <w:shd w:val="clear" w:color="auto" w:fill="DBDBDB"/>
          </w:tcPr>
          <w:p>
            <w:pPr>
              <w:spacing w:after="0"/>
              <w:rPr>
                <w:sz w:val="14"/>
                <w:szCs w:val="14"/>
                <w:color w:val="auto"/>
              </w:rPr>
            </w:pPr>
          </w:p>
        </w:tc>
        <w:tc>
          <w:tcPr>
            <w:tcW w:w="140" w:type="dxa"/>
            <w:vAlign w:val="bottom"/>
            <w:tcBorders>
              <w:bottom w:val="single" w:sz="8" w:color="auto"/>
            </w:tcBorders>
            <w:shd w:val="clear" w:color="auto" w:fill="DBDBDB"/>
          </w:tcPr>
          <w:p>
            <w:pPr>
              <w:spacing w:after="0"/>
              <w:rPr>
                <w:sz w:val="14"/>
                <w:szCs w:val="14"/>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434</w:t>
            </w:r>
          </w:p>
        </w:tc>
        <w:tc>
          <w:tcPr>
            <w:tcW w:w="80" w:type="dxa"/>
            <w:vAlign w:val="bottom"/>
            <w:shd w:val="clear" w:color="auto" w:fill="DBDBDB"/>
          </w:tcPr>
          <w:p>
            <w:pPr>
              <w:spacing w:after="0"/>
              <w:rPr>
                <w:sz w:val="14"/>
                <w:szCs w:val="14"/>
                <w:color w:val="auto"/>
              </w:rPr>
            </w:pPr>
          </w:p>
        </w:tc>
        <w:tc>
          <w:tcPr>
            <w:tcW w:w="400" w:type="dxa"/>
            <w:vAlign w:val="bottom"/>
            <w:tcBorders>
              <w:bottom w:val="single" w:sz="8" w:color="auto"/>
            </w:tcBorders>
            <w:shd w:val="clear" w:color="auto" w:fill="DBDBDB"/>
          </w:tcPr>
          <w:p>
            <w:pPr>
              <w:spacing w:after="0"/>
              <w:rPr>
                <w:sz w:val="14"/>
                <w:szCs w:val="14"/>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(526)</w:t>
            </w:r>
          </w:p>
        </w:tc>
        <w:tc>
          <w:tcPr>
            <w:tcW w:w="0" w:type="dxa"/>
            <w:vAlign w:val="bottom"/>
          </w:tcPr>
          <w:p>
            <w:pPr>
              <w:spacing w:after="0"/>
              <w:rPr>
                <w:sz w:val="1"/>
                <w:szCs w:val="1"/>
                <w:color w:val="auto"/>
              </w:rPr>
            </w:pPr>
          </w:p>
        </w:tc>
      </w:tr>
      <w:tr>
        <w:trPr>
          <w:trHeight w:val="166"/>
        </w:trPr>
        <w:tc>
          <w:tcPr>
            <w:tcW w:w="6020" w:type="dxa"/>
            <w:vAlign w:val="bottom"/>
          </w:tcPr>
          <w:p>
            <w:pPr>
              <w:ind w:left="20"/>
              <w:spacing w:after="0"/>
              <w:rPr>
                <w:sz w:val="20"/>
                <w:szCs w:val="20"/>
                <w:color w:val="auto"/>
              </w:rPr>
            </w:pPr>
            <w:r>
              <w:rPr>
                <w:rFonts w:ascii="Arial" w:cs="Arial" w:eastAsia="Arial" w:hAnsi="Arial"/>
                <w:sz w:val="13"/>
                <w:szCs w:val="13"/>
                <w:color w:val="auto"/>
              </w:rPr>
              <w:t>Balance at December 31, 2019</w:t>
            </w:r>
          </w:p>
        </w:tc>
        <w:tc>
          <w:tcPr>
            <w:tcW w:w="2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(52,982)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(9,793)</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(62,775)</w:t>
            </w:r>
          </w:p>
        </w:tc>
        <w:tc>
          <w:tcPr>
            <w:tcW w:w="0" w:type="dxa"/>
            <w:vAlign w:val="bottom"/>
          </w:tcPr>
          <w:p>
            <w:pPr>
              <w:spacing w:after="0"/>
              <w:rPr>
                <w:sz w:val="1"/>
                <w:szCs w:val="1"/>
                <w:color w:val="auto"/>
              </w:rPr>
            </w:pPr>
          </w:p>
        </w:tc>
      </w:tr>
      <w:tr>
        <w:trPr>
          <w:trHeight w:val="178"/>
        </w:trPr>
        <w:tc>
          <w:tcPr>
            <w:tcW w:w="6020" w:type="dxa"/>
            <w:vAlign w:val="bottom"/>
            <w:shd w:val="clear" w:color="auto" w:fill="DBDBDB"/>
          </w:tcPr>
          <w:p>
            <w:pPr>
              <w:ind w:left="200"/>
              <w:spacing w:after="0"/>
              <w:rPr>
                <w:sz w:val="20"/>
                <w:szCs w:val="20"/>
                <w:color w:val="auto"/>
              </w:rPr>
            </w:pPr>
            <w:r>
              <w:rPr>
                <w:rFonts w:ascii="Arial" w:cs="Arial" w:eastAsia="Arial" w:hAnsi="Arial"/>
                <w:sz w:val="13"/>
                <w:szCs w:val="13"/>
                <w:color w:val="auto"/>
              </w:rPr>
              <w:t>Other comprehensive income (loss) before reclassifications</w:t>
            </w:r>
          </w:p>
        </w:tc>
        <w:tc>
          <w:tcPr>
            <w:tcW w:w="200" w:type="dxa"/>
            <w:vAlign w:val="bottom"/>
            <w:shd w:val="clear" w:color="auto" w:fill="DBDBDB"/>
          </w:tcPr>
          <w:p>
            <w:pPr>
              <w:spacing w:after="0"/>
              <w:rPr>
                <w:sz w:val="15"/>
                <w:szCs w:val="15"/>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28,404</w:t>
            </w: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(11,874)</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16,530</w:t>
            </w:r>
          </w:p>
        </w:tc>
        <w:tc>
          <w:tcPr>
            <w:tcW w:w="0" w:type="dxa"/>
            <w:vAlign w:val="bottom"/>
          </w:tcPr>
          <w:p>
            <w:pPr>
              <w:spacing w:after="0"/>
              <w:rPr>
                <w:sz w:val="1"/>
                <w:szCs w:val="1"/>
                <w:color w:val="auto"/>
              </w:rPr>
            </w:pPr>
          </w:p>
        </w:tc>
      </w:tr>
      <w:tr>
        <w:trPr>
          <w:trHeight w:val="175"/>
        </w:trPr>
        <w:tc>
          <w:tcPr>
            <w:tcW w:w="6020" w:type="dxa"/>
            <w:vAlign w:val="bottom"/>
          </w:tcPr>
          <w:p>
            <w:pPr>
              <w:ind w:left="200"/>
              <w:spacing w:after="0" w:line="175" w:lineRule="exact"/>
              <w:rPr>
                <w:sz w:val="20"/>
                <w:szCs w:val="20"/>
                <w:color w:val="auto"/>
              </w:rPr>
            </w:pPr>
            <w:r>
              <w:rPr>
                <w:rFonts w:ascii="Arial" w:cs="Arial" w:eastAsia="Arial" w:hAnsi="Arial"/>
                <w:sz w:val="13"/>
                <w:szCs w:val="13"/>
                <w:color w:val="auto"/>
              </w:rPr>
              <w:t xml:space="preserve">Reclassifications from AOCI to income </w:t>
            </w:r>
            <w:r>
              <w:rPr>
                <w:rFonts w:ascii="Arial" w:cs="Arial" w:eastAsia="Arial" w:hAnsi="Arial"/>
                <w:sz w:val="17"/>
                <w:szCs w:val="17"/>
                <w:color w:val="auto"/>
                <w:vertAlign w:val="superscript"/>
              </w:rPr>
              <w:t>(a)</w:t>
            </w:r>
          </w:p>
        </w:tc>
        <w:tc>
          <w:tcPr>
            <w:tcW w:w="200" w:type="dxa"/>
            <w:vAlign w:val="bottom"/>
          </w:tcPr>
          <w:p>
            <w:pPr>
              <w:spacing w:after="0"/>
              <w:rPr>
                <w:sz w:val="15"/>
                <w:szCs w:val="15"/>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10,125</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10,125</w:t>
            </w:r>
          </w:p>
        </w:tc>
        <w:tc>
          <w:tcPr>
            <w:tcW w:w="0" w:type="dxa"/>
            <w:vAlign w:val="bottom"/>
          </w:tcPr>
          <w:p>
            <w:pPr>
              <w:spacing w:after="0"/>
              <w:rPr>
                <w:sz w:val="1"/>
                <w:szCs w:val="1"/>
                <w:color w:val="auto"/>
              </w:rPr>
            </w:pPr>
          </w:p>
        </w:tc>
      </w:tr>
      <w:tr>
        <w:trPr>
          <w:trHeight w:val="175"/>
        </w:trPr>
        <w:tc>
          <w:tcPr>
            <w:tcW w:w="6020" w:type="dxa"/>
            <w:vAlign w:val="bottom"/>
            <w:shd w:val="clear" w:color="auto" w:fill="DBDBDB"/>
          </w:tcPr>
          <w:p>
            <w:pPr>
              <w:ind w:left="200"/>
              <w:spacing w:after="0"/>
              <w:rPr>
                <w:sz w:val="20"/>
                <w:szCs w:val="20"/>
                <w:color w:val="auto"/>
              </w:rPr>
            </w:pPr>
            <w:r>
              <w:rPr>
                <w:rFonts w:ascii="Arial" w:cs="Arial" w:eastAsia="Arial" w:hAnsi="Arial"/>
                <w:sz w:val="13"/>
                <w:szCs w:val="13"/>
                <w:color w:val="auto"/>
              </w:rPr>
              <w:t>Less other comprehensive income attributable to non-controlling interest</w:t>
            </w:r>
          </w:p>
        </w:tc>
        <w:tc>
          <w:tcPr>
            <w:tcW w:w="200" w:type="dxa"/>
            <w:vAlign w:val="bottom"/>
            <w:shd w:val="clear" w:color="auto" w:fill="DBDBDB"/>
          </w:tcPr>
          <w:p>
            <w:pPr>
              <w:spacing w:after="0"/>
              <w:rPr>
                <w:sz w:val="15"/>
                <w:szCs w:val="15"/>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1,183</w:t>
            </w: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702</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1,885</w:t>
            </w:r>
          </w:p>
        </w:tc>
        <w:tc>
          <w:tcPr>
            <w:tcW w:w="0" w:type="dxa"/>
            <w:vAlign w:val="bottom"/>
          </w:tcPr>
          <w:p>
            <w:pPr>
              <w:spacing w:after="0"/>
              <w:rPr>
                <w:sz w:val="1"/>
                <w:szCs w:val="1"/>
                <w:color w:val="auto"/>
              </w:rPr>
            </w:pPr>
          </w:p>
        </w:tc>
      </w:tr>
      <w:tr>
        <w:trPr>
          <w:trHeight w:val="172"/>
        </w:trPr>
        <w:tc>
          <w:tcPr>
            <w:tcW w:w="602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Impact of elimination of non-controlling interest on accumulated other comprehensive income</w:t>
            </w: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(1,299)</w:t>
            </w:r>
          </w:p>
        </w:tc>
        <w:tc>
          <w:tcPr>
            <w:tcW w:w="80" w:type="dxa"/>
            <w:vAlign w:val="bottom"/>
            <w:tcBorders>
              <w:bottom w:val="single" w:sz="8" w:color="DBDBDB"/>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(1,673)</w:t>
            </w:r>
          </w:p>
        </w:tc>
        <w:tc>
          <w:tcPr>
            <w:tcW w:w="80" w:type="dxa"/>
            <w:vAlign w:val="bottom"/>
            <w:tcBorders>
              <w:bottom w:val="single" w:sz="8" w:color="DBDBDB"/>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(2,972)</w:t>
            </w:r>
          </w:p>
        </w:tc>
        <w:tc>
          <w:tcPr>
            <w:tcW w:w="0" w:type="dxa"/>
            <w:vAlign w:val="bottom"/>
          </w:tcPr>
          <w:p>
            <w:pPr>
              <w:spacing w:after="0"/>
              <w:rPr>
                <w:sz w:val="1"/>
                <w:szCs w:val="1"/>
                <w:color w:val="auto"/>
              </w:rPr>
            </w:pPr>
          </w:p>
        </w:tc>
      </w:tr>
      <w:tr>
        <w:trPr>
          <w:trHeight w:val="169"/>
        </w:trPr>
        <w:tc>
          <w:tcPr>
            <w:tcW w:w="6020" w:type="dxa"/>
            <w:vAlign w:val="bottom"/>
            <w:shd w:val="clear" w:color="auto" w:fill="DBDBDB"/>
          </w:tcPr>
          <w:p>
            <w:pPr>
              <w:ind w:left="20"/>
              <w:spacing w:after="0"/>
              <w:rPr>
                <w:sz w:val="20"/>
                <w:szCs w:val="20"/>
                <w:color w:val="auto"/>
              </w:rPr>
            </w:pPr>
            <w:r>
              <w:rPr>
                <w:rFonts w:ascii="Arial" w:cs="Arial" w:eastAsia="Arial" w:hAnsi="Arial"/>
                <w:sz w:val="13"/>
                <w:szCs w:val="13"/>
                <w:color w:val="auto"/>
              </w:rPr>
              <w:t>Balance at December 31, 2020</w:t>
            </w:r>
          </w:p>
        </w:tc>
        <w:tc>
          <w:tcPr>
            <w:tcW w:w="200" w:type="dxa"/>
            <w:vAlign w:val="bottom"/>
            <w:shd w:val="clear" w:color="auto" w:fill="DBDBDB"/>
          </w:tcPr>
          <w:p>
            <w:pPr>
              <w:spacing w:after="0"/>
              <w:rPr>
                <w:sz w:val="14"/>
                <w:szCs w:val="14"/>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(24,694)</w:t>
            </w:r>
          </w:p>
        </w:tc>
        <w:tc>
          <w:tcPr>
            <w:tcW w:w="8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(12,513)</w:t>
            </w:r>
          </w:p>
        </w:tc>
        <w:tc>
          <w:tcPr>
            <w:tcW w:w="8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(37,207)</w:t>
            </w:r>
          </w:p>
        </w:tc>
        <w:tc>
          <w:tcPr>
            <w:tcW w:w="0" w:type="dxa"/>
            <w:vAlign w:val="bottom"/>
          </w:tcPr>
          <w:p>
            <w:pPr>
              <w:spacing w:after="0"/>
              <w:rPr>
                <w:sz w:val="1"/>
                <w:szCs w:val="1"/>
                <w:color w:val="auto"/>
              </w:rPr>
            </w:pPr>
          </w:p>
        </w:tc>
      </w:tr>
      <w:tr>
        <w:trPr>
          <w:trHeight w:val="172"/>
        </w:trPr>
        <w:tc>
          <w:tcPr>
            <w:tcW w:w="6020" w:type="dxa"/>
            <w:vAlign w:val="bottom"/>
          </w:tcPr>
          <w:p>
            <w:pPr>
              <w:ind w:left="200"/>
              <w:spacing w:after="0"/>
              <w:rPr>
                <w:sz w:val="20"/>
                <w:szCs w:val="20"/>
                <w:color w:val="auto"/>
              </w:rPr>
            </w:pPr>
            <w:r>
              <w:rPr>
                <w:rFonts w:ascii="Arial" w:cs="Arial" w:eastAsia="Arial" w:hAnsi="Arial"/>
                <w:sz w:val="13"/>
                <w:szCs w:val="13"/>
                <w:color w:val="auto"/>
              </w:rPr>
              <w:t>Other comprehensive loss before reclassifications</w:t>
            </w:r>
          </w:p>
        </w:tc>
        <w:tc>
          <w:tcPr>
            <w:tcW w:w="2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(880)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(2,985)</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(3,865)</w:t>
            </w:r>
          </w:p>
        </w:tc>
        <w:tc>
          <w:tcPr>
            <w:tcW w:w="0" w:type="dxa"/>
            <w:vAlign w:val="bottom"/>
          </w:tcPr>
          <w:p>
            <w:pPr>
              <w:spacing w:after="0"/>
              <w:rPr>
                <w:sz w:val="1"/>
                <w:szCs w:val="1"/>
                <w:color w:val="auto"/>
              </w:rPr>
            </w:pPr>
          </w:p>
        </w:tc>
      </w:tr>
      <w:tr>
        <w:trPr>
          <w:trHeight w:val="178"/>
        </w:trPr>
        <w:tc>
          <w:tcPr>
            <w:tcW w:w="6020" w:type="dxa"/>
            <w:vAlign w:val="bottom"/>
            <w:shd w:val="clear" w:color="auto" w:fill="DBDBDB"/>
          </w:tcPr>
          <w:p>
            <w:pPr>
              <w:ind w:left="200"/>
              <w:spacing w:after="0" w:line="178" w:lineRule="exact"/>
              <w:rPr>
                <w:sz w:val="20"/>
                <w:szCs w:val="20"/>
                <w:color w:val="auto"/>
              </w:rPr>
            </w:pPr>
            <w:r>
              <w:rPr>
                <w:rFonts w:ascii="Arial" w:cs="Arial" w:eastAsia="Arial" w:hAnsi="Arial"/>
                <w:sz w:val="13"/>
                <w:szCs w:val="13"/>
                <w:color w:val="auto"/>
              </w:rPr>
              <w:t xml:space="preserve">Reclassifications from AOCI to income </w:t>
            </w:r>
            <w:r>
              <w:rPr>
                <w:rFonts w:ascii="Arial" w:cs="Arial" w:eastAsia="Arial" w:hAnsi="Arial"/>
                <w:sz w:val="17"/>
                <w:szCs w:val="17"/>
                <w:color w:val="auto"/>
                <w:vertAlign w:val="superscript"/>
              </w:rPr>
              <w:t>(a)</w:t>
            </w:r>
          </w:p>
        </w:tc>
        <w:tc>
          <w:tcPr>
            <w:tcW w:w="200" w:type="dxa"/>
            <w:vAlign w:val="bottom"/>
            <w:shd w:val="clear" w:color="auto" w:fill="DBDBDB"/>
          </w:tcPr>
          <w:p>
            <w:pPr>
              <w:spacing w:after="0"/>
              <w:rPr>
                <w:sz w:val="15"/>
                <w:szCs w:val="15"/>
                <w:color w:val="auto"/>
              </w:rPr>
            </w:pPr>
          </w:p>
        </w:tc>
        <w:tc>
          <w:tcPr>
            <w:tcW w:w="158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5"/>
                <w:szCs w:val="15"/>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12,001</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12,001</w:t>
            </w:r>
          </w:p>
        </w:tc>
        <w:tc>
          <w:tcPr>
            <w:tcW w:w="0" w:type="dxa"/>
            <w:vAlign w:val="bottom"/>
          </w:tcPr>
          <w:p>
            <w:pPr>
              <w:spacing w:after="0"/>
              <w:rPr>
                <w:sz w:val="1"/>
                <w:szCs w:val="1"/>
                <w:color w:val="auto"/>
              </w:rPr>
            </w:pPr>
          </w:p>
        </w:tc>
      </w:tr>
      <w:tr>
        <w:trPr>
          <w:trHeight w:val="166"/>
        </w:trPr>
        <w:tc>
          <w:tcPr>
            <w:tcW w:w="6020" w:type="dxa"/>
            <w:vAlign w:val="bottom"/>
          </w:tcPr>
          <w:p>
            <w:pPr>
              <w:ind w:left="20"/>
              <w:spacing w:after="0"/>
              <w:rPr>
                <w:sz w:val="20"/>
                <w:szCs w:val="20"/>
                <w:color w:val="auto"/>
              </w:rPr>
            </w:pPr>
            <w:r>
              <w:rPr>
                <w:rFonts w:ascii="Arial" w:cs="Arial" w:eastAsia="Arial" w:hAnsi="Arial"/>
                <w:sz w:val="13"/>
                <w:szCs w:val="13"/>
                <w:color w:val="auto"/>
              </w:rPr>
              <w:t>Balance at December 31, 2021</w:t>
            </w:r>
          </w:p>
        </w:tc>
        <w:tc>
          <w:tcPr>
            <w:tcW w:w="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3"/>
                <w:szCs w:val="13"/>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(25,574)</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(3,497)</w:t>
            </w:r>
          </w:p>
        </w:tc>
        <w:tc>
          <w:tcPr>
            <w:tcW w:w="8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(29,071)</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4" w:lineRule="exact"/>
        <w:rPr>
          <w:sz w:val="20"/>
          <w:szCs w:val="20"/>
          <w:color w:val="auto"/>
        </w:rPr>
      </w:pPr>
    </w:p>
    <w:p>
      <w:pPr>
        <w:jc w:val="both"/>
        <w:ind w:firstLine="7"/>
        <w:spacing w:after="0" w:line="232" w:lineRule="auto"/>
        <w:tabs>
          <w:tab w:leader="none" w:pos="178" w:val="left"/>
        </w:tabs>
        <w:numPr>
          <w:ilvl w:val="0"/>
          <w:numId w:val="32"/>
        </w:numPr>
        <w:rPr>
          <w:rFonts w:ascii="Arial" w:cs="Arial" w:eastAsia="Arial" w:hAnsi="Arial"/>
          <w:sz w:val="12"/>
          <w:szCs w:val="12"/>
          <w:color w:val="auto"/>
        </w:rPr>
      </w:pPr>
      <w:r>
        <w:rPr>
          <w:rFonts w:ascii="Arial" w:cs="Arial" w:eastAsia="Arial" w:hAnsi="Arial"/>
          <w:sz w:val="12"/>
          <w:szCs w:val="12"/>
          <w:color w:val="auto"/>
        </w:rPr>
        <w:t>For the years ended December 31, 2021, 2020 and 2019, $12.0 million, $10.1 million and $3.3 million, respectively, was reclassified from AOCI into the consolidated statements of operations within interest expense related to the interest rate swaps discussed in Note 13. For the years ended December 31, 2021, 2020 and 2019, the Company recorded tax benefits of $3.0 million, $2.4 million and $0.8 million, respectively, associated with this reclassification.</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1D2758"/>
        </w:rPr>
        <w:t>NOTE 11 - Warrants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Warrants</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2015 Public Warrants</w:t>
      </w:r>
    </w:p>
    <w:p>
      <w:pPr>
        <w:spacing w:after="0" w:line="63"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WillScot was incorporated under the name DEAC on June 26, 2015. On November 29, 2017, DEAC acquired WSII from Algeco Scotsman Global S.à r.l., which was majority owned by an investment fund managed by TDR Capital. DEAC domesticated to Delaware and changed its name to WillScot Corporation.</w:t>
      </w:r>
    </w:p>
    <w:p>
      <w:pPr>
        <w:spacing w:after="0" w:line="31"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As part of its initial public offering, the Company issued warrants (the “2015 Public Warrants”). Each 2015 Public Warrant entitled the holder to purchase one-half of one share of WillScot Class A Common Stock at a price of $5.75 per half share (or $11.50 per whole share), subject to adjustment. The Company was able to redeem the 2015 Public Warrants for $0.01 per warrant if the closing price of WillScot’s Class A shares equaled or exceeded $18.00 per share for any 20 trading days within a 30-trading day period ending on the third trading day prior to the date the Company sent a notice of redemption to the warrant holders, providing for a 30-day notice period.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27" w:right="319" w:bottom="1440" w:gutter="0" w:footer="0" w:header="0"/>
        </w:sectPr>
      </w:pPr>
    </w:p>
    <w:bookmarkStart w:id="100" w:name="page101"/>
    <w:bookmarkEnd w:id="100"/>
    <w:p>
      <w:pPr>
        <w:jc w:val="both"/>
        <w:ind w:firstLine="524"/>
        <w:spacing w:after="0" w:line="247" w:lineRule="auto"/>
        <w:rPr>
          <w:sz w:val="20"/>
          <w:szCs w:val="20"/>
          <w:color w:val="auto"/>
        </w:rPr>
      </w:pPr>
      <w:r>
        <w:rPr>
          <w:rFonts w:ascii="Arial" w:cs="Arial" w:eastAsia="Arial" w:hAnsi="Arial"/>
          <w:sz w:val="13"/>
          <w:szCs w:val="13"/>
          <w:color w:val="auto"/>
        </w:rPr>
        <w:t>The Company's share price performance target was achieved on January 21, 2020 and, on January 24, 2020, the Company delivered a notice (the "Redemption Notice") to redeem all of its 2015 Public Warrants that remained unexercised on February 24, 2020. As further described in the Redemption Notice and permitted under the warrant agreement, holders of these warrants who exercised them following the date of the Redemption Notice were required to do so on a cashless basis. From January 1, 2020 through January 24, 2020, 796,610 warrants were exercised for cash, resulting in the Company receiving cash proceeds of $4.6 million and the Company issuing 398,305 shares of the Company's Class A Common Stock. After January 24, 2020 through February 24, 2020, 5,836,048 warrants were exercised on a cashless basis. An aggregate of 1,097,162 shares of the Company's Class A Common Stock was issued in connection with these cashless exercises. On February 24, 2020, the Company completed the redemption of 38,509 remaining warrants under the Redemption Notice for $0.01 per warrant. At December 31, 2021, no 2015 Public Warrants were outstanding.</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2015 Private Warrants</w:t>
      </w:r>
    </w:p>
    <w:p>
      <w:pPr>
        <w:spacing w:after="0" w:line="63"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DEAC also issued warrants to purchase its Common Stock in a private placement concurrently with its initial public offering (the “2015 Private Warrants,” and together with the 2015 Public Warrants, the "2015 Warrants"). The 2015 Private Warrants were purchased at a price of $0.50 per unit for an aggregate purchase price of $9.75 million. The 2015 Private Warrants were identical to the 2015 Public Warrants, except that, if held by certain original investors (or their permitted assignees), the 2015 Private Warrants could be exercised on a cashless basis and were not subject to redemption.</w:t>
      </w:r>
    </w:p>
    <w:p>
      <w:pPr>
        <w:spacing w:after="0" w:line="35"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During the year ended December 31, 2020, 4,781,700 of the 2015 Private Warrants were repurchased for $21.6 million and cancelled. Additionally, 70,000 of the 2015 Private Warrants were exercised, resulting in the Company receiving cash proceeds of $0.4 million and issuing 35,000 shares of Common Stock. During the year ended December 31, 2021, 3,055,000 of the 2015 Private Warrants were repurchased for $25.5 million and cancelled. In addition, during the year ended December 31, 2021, 9,655,000 warrants were exercised on a cashless basis, resulting in the issuance of 2,939,898 shares of Common Stock. As a result of these transactions, at December 31, 2021 no 2015 Private Warrants were outstanding.</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1D2758"/>
        </w:rPr>
        <w:t>2018 Warrants</w:t>
      </w:r>
    </w:p>
    <w:p>
      <w:pPr>
        <w:spacing w:after="0" w:line="63"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In connection with the ModSpace acquisition in 2018, WillScot issued warrants to purchase approximately 10.0 million shares of WillScot Class A Common Stock (the "2018 Warrants") to former shareholders of ModSpace. Each 2018 Warrant entitles the holder thereof to purchase one share of WillScot Class A Common Stock at an exercise price of $15.50 per share, subject to potential adjustment. The 2018 Warrants expire on November 29, 2022.</w:t>
      </w:r>
    </w:p>
    <w:p>
      <w:pPr>
        <w:spacing w:after="0" w:line="33"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During the year ended December 31, 2020, 195,410 of the 2018 warrants were exercised, on a cashless basis, and 38,802 shares of the Company's Common Stock were issued. Also, during the year ended December 31, 2020, the Company repurchased and subsequently cancelled 51,865 of the 2018 warrants for approximately $0.3 million.</w:t>
      </w:r>
    </w:p>
    <w:p>
      <w:pPr>
        <w:spacing w:after="0" w:line="31"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During the year ended December 31, 2021, 254,373 of the 2018 Warrants were repurchased for $2.9 million and cancelled. In addition, during the year ended December 31, 2021, 5,397,695 of the 2018 Warrants were exercised on a cashless basis, resulting in the issuance of 2,835,968 shares of common stock. At December 31, 2021, 4,078,173 of the 2018 Warrants were outstanding.</w:t>
      </w:r>
    </w:p>
    <w:p>
      <w:pPr>
        <w:spacing w:after="0" w:line="33"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The Company accounted for its warrants in the following ways: (i) the 2015 Public Warrants as liabilities through their final redemption in February 2020, (ii) the 2015 Private Warrants as liabilities through their final repurchase or exercise in May 2021, and (iii) the 2018 Warrants as liabilities until June 30, 2020, the date all issued and outstanding shares of the Company's Class B Common Stock were cancelled. Subsequent to June 30, 2020, the 2018 Warrants were equity classified.</w:t>
      </w:r>
    </w:p>
    <w:p>
      <w:pPr>
        <w:spacing w:after="0" w:line="3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Company determined the following fair values for outstanding warrants recorded as liabilities at December 31:</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120" w:type="dxa"/>
            <w:vAlign w:val="bottom"/>
            <w:tcBorders>
              <w:bottom w:val="single" w:sz="8" w:color="1D2758"/>
            </w:tcBorders>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4160" w:type="dxa"/>
            <w:vAlign w:val="bottom"/>
            <w:tcBorders>
              <w:bottom w:val="single" w:sz="8" w:color="1D2758"/>
            </w:tcBorders>
            <w:shd w:val="clear" w:color="auto" w:fill="1D2758"/>
          </w:tcPr>
          <w:p>
            <w:pPr>
              <w:ind w:left="2780"/>
              <w:spacing w:after="0"/>
              <w:rPr>
                <w:sz w:val="20"/>
                <w:szCs w:val="20"/>
                <w:color w:val="auto"/>
              </w:rPr>
            </w:pPr>
            <w:r>
              <w:rPr>
                <w:rFonts w:ascii="Arial" w:cs="Arial" w:eastAsia="Arial" w:hAnsi="Arial"/>
                <w:sz w:val="13"/>
                <w:szCs w:val="13"/>
                <w:b w:val="1"/>
                <w:bCs w:val="1"/>
                <w:color w:val="FFFFFF"/>
              </w:rPr>
              <w:t>December 31, 2021</w:t>
            </w:r>
          </w:p>
        </w:tc>
        <w:tc>
          <w:tcPr>
            <w:tcW w:w="900" w:type="dxa"/>
            <w:vAlign w:val="bottom"/>
            <w:tcBorders>
              <w:bottom w:val="single" w:sz="8" w:color="1D2758"/>
            </w:tcBorders>
            <w:shd w:val="clear" w:color="auto" w:fill="1D2758"/>
          </w:tcPr>
          <w:p>
            <w:pPr>
              <w:spacing w:after="0"/>
              <w:rPr>
                <w:sz w:val="20"/>
                <w:szCs w:val="20"/>
                <w:color w:val="auto"/>
              </w:rPr>
            </w:pPr>
          </w:p>
        </w:tc>
        <w:tc>
          <w:tcPr>
            <w:tcW w:w="2100" w:type="dxa"/>
            <w:vAlign w:val="bottom"/>
            <w:tcBorders>
              <w:bottom w:val="single" w:sz="8" w:color="1D2758"/>
            </w:tcBorders>
            <w:shd w:val="clear" w:color="auto" w:fill="1D2758"/>
          </w:tcPr>
          <w:p>
            <w:pPr>
              <w:jc w:val="right"/>
              <w:ind w:right="574"/>
              <w:spacing w:after="0"/>
              <w:rPr>
                <w:sz w:val="20"/>
                <w:szCs w:val="20"/>
                <w:color w:val="auto"/>
              </w:rPr>
            </w:pPr>
            <w:r>
              <w:rPr>
                <w:rFonts w:ascii="Arial" w:cs="Arial" w:eastAsia="Arial" w:hAnsi="Arial"/>
                <w:sz w:val="13"/>
                <w:szCs w:val="13"/>
                <w:b w:val="1"/>
                <w:bCs w:val="1"/>
                <w:color w:val="FFFFFF"/>
              </w:rPr>
              <w:t>December 31, 2020</w:t>
            </w:r>
          </w:p>
        </w:tc>
      </w:tr>
      <w:tr>
        <w:trPr>
          <w:trHeight w:val="175"/>
        </w:trPr>
        <w:tc>
          <w:tcPr>
            <w:tcW w:w="4120" w:type="dxa"/>
            <w:vAlign w:val="bottom"/>
            <w:shd w:val="clear" w:color="auto" w:fill="DBDBDB"/>
          </w:tcPr>
          <w:p>
            <w:pPr>
              <w:ind w:left="20"/>
              <w:spacing w:after="0"/>
              <w:rPr>
                <w:sz w:val="20"/>
                <w:szCs w:val="20"/>
                <w:color w:val="auto"/>
              </w:rPr>
            </w:pPr>
            <w:r>
              <w:rPr>
                <w:rFonts w:ascii="Arial" w:cs="Arial" w:eastAsia="Arial" w:hAnsi="Arial"/>
                <w:sz w:val="13"/>
                <w:szCs w:val="13"/>
                <w:color w:val="auto"/>
              </w:rPr>
              <w:t>2015 Private Warrants</w:t>
            </w:r>
          </w:p>
        </w:tc>
        <w:tc>
          <w:tcPr>
            <w:tcW w:w="4160" w:type="dxa"/>
            <w:vAlign w:val="bottom"/>
            <w:shd w:val="clear" w:color="auto" w:fill="DBDBDB"/>
          </w:tcPr>
          <w:p>
            <w:pPr>
              <w:spacing w:after="0"/>
              <w:rPr>
                <w:sz w:val="15"/>
                <w:szCs w:val="15"/>
                <w:color w:val="auto"/>
              </w:rPr>
            </w:pPr>
          </w:p>
        </w:tc>
        <w:tc>
          <w:tcPr>
            <w:tcW w:w="900" w:type="dxa"/>
            <w:vAlign w:val="bottom"/>
            <w:shd w:val="clear" w:color="auto" w:fill="DBDBDB"/>
          </w:tcPr>
          <w:p>
            <w:pPr>
              <w:ind w:left="220"/>
              <w:spacing w:after="0"/>
              <w:rPr>
                <w:sz w:val="20"/>
                <w:szCs w:val="20"/>
                <w:color w:val="auto"/>
              </w:rPr>
            </w:pPr>
            <w:r>
              <w:rPr>
                <w:rFonts w:ascii="Arial" w:cs="Arial" w:eastAsia="Arial" w:hAnsi="Arial"/>
                <w:sz w:val="13"/>
                <w:szCs w:val="13"/>
                <w:color w:val="auto"/>
              </w:rPr>
              <w:t>N/A  $</w:t>
            </w:r>
          </w:p>
        </w:tc>
        <w:tc>
          <w:tcPr>
            <w:tcW w:w="2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77,404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28" w:right="319" w:bottom="1440" w:gutter="0" w:footer="0" w:header="0"/>
        </w:sectPr>
      </w:pPr>
    </w:p>
    <w:bookmarkStart w:id="101" w:name="page102"/>
    <w:bookmarkEnd w:id="101"/>
    <w:p>
      <w:pPr>
        <w:spacing w:after="0"/>
        <w:rPr>
          <w:sz w:val="20"/>
          <w:szCs w:val="20"/>
          <w:color w:val="auto"/>
        </w:rPr>
      </w:pPr>
      <w:r>
        <w:rPr>
          <w:rFonts w:ascii="Arial" w:cs="Arial" w:eastAsia="Arial" w:hAnsi="Arial"/>
          <w:sz w:val="19"/>
          <w:szCs w:val="19"/>
          <w:color w:val="1D2758"/>
        </w:rPr>
        <w:t>NOTE 12 – Income Taxes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500" w:type="dxa"/>
            <w:vAlign w:val="bottom"/>
            <w:gridSpan w:val="5"/>
          </w:tcPr>
          <w:p>
            <w:pPr>
              <w:ind w:left="540"/>
              <w:spacing w:after="0"/>
              <w:rPr>
                <w:sz w:val="20"/>
                <w:szCs w:val="20"/>
                <w:color w:val="auto"/>
              </w:rPr>
            </w:pPr>
            <w:r>
              <w:rPr>
                <w:rFonts w:ascii="Arial" w:cs="Arial" w:eastAsia="Arial" w:hAnsi="Arial"/>
                <w:sz w:val="13"/>
                <w:szCs w:val="13"/>
                <w:color w:val="auto"/>
              </w:rPr>
              <w:t>The components of income tax expense (benefit) for the years ended December 31, 2021, 2020 and 2019 are comprised of the following:</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60"/>
        </w:trPr>
        <w:tc>
          <w:tcPr>
            <w:tcW w:w="60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175"/>
        </w:trPr>
        <w:tc>
          <w:tcPr>
            <w:tcW w:w="602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400" w:type="dxa"/>
            <w:vAlign w:val="bottom"/>
            <w:shd w:val="clear" w:color="auto" w:fill="1D2758"/>
          </w:tcPr>
          <w:p>
            <w:pPr>
              <w:spacing w:after="0"/>
              <w:rPr>
                <w:sz w:val="15"/>
                <w:szCs w:val="15"/>
                <w:color w:val="auto"/>
              </w:rPr>
            </w:pPr>
          </w:p>
        </w:tc>
        <w:tc>
          <w:tcPr>
            <w:tcW w:w="1300" w:type="dxa"/>
            <w:vAlign w:val="bottom"/>
            <w:shd w:val="clear" w:color="auto" w:fill="1D2758"/>
          </w:tcPr>
          <w:p>
            <w:pPr>
              <w:jc w:val="right"/>
              <w:ind w:right="634"/>
              <w:spacing w:after="0"/>
              <w:rPr>
                <w:sz w:val="20"/>
                <w:szCs w:val="20"/>
                <w:color w:val="auto"/>
              </w:rPr>
            </w:pPr>
            <w:r>
              <w:rPr>
                <w:rFonts w:ascii="Arial" w:cs="Arial" w:eastAsia="Arial" w:hAnsi="Arial"/>
                <w:sz w:val="13"/>
                <w:szCs w:val="13"/>
                <w:b w:val="1"/>
                <w:bCs w:val="1"/>
                <w:color w:val="FFFFFF"/>
              </w:rPr>
              <w:t>2021</w:t>
            </w:r>
          </w:p>
        </w:tc>
        <w:tc>
          <w:tcPr>
            <w:tcW w:w="80" w:type="dxa"/>
            <w:vAlign w:val="bottom"/>
            <w:shd w:val="clear" w:color="auto" w:fill="1D2758"/>
          </w:tcPr>
          <w:p>
            <w:pPr>
              <w:spacing w:after="0"/>
              <w:rPr>
                <w:sz w:val="15"/>
                <w:szCs w:val="15"/>
                <w:color w:val="auto"/>
              </w:rPr>
            </w:pPr>
          </w:p>
        </w:tc>
        <w:tc>
          <w:tcPr>
            <w:tcW w:w="700" w:type="dxa"/>
            <w:vAlign w:val="bottom"/>
            <w:shd w:val="clear" w:color="auto" w:fill="1D2758"/>
          </w:tcPr>
          <w:p>
            <w:pPr>
              <w:spacing w:after="0"/>
              <w:rPr>
                <w:sz w:val="15"/>
                <w:szCs w:val="15"/>
                <w:color w:val="auto"/>
              </w:rPr>
            </w:pPr>
          </w:p>
        </w:tc>
        <w:tc>
          <w:tcPr>
            <w:tcW w:w="1000" w:type="dxa"/>
            <w:vAlign w:val="bottom"/>
            <w:shd w:val="clear" w:color="auto" w:fill="1D2758"/>
          </w:tcPr>
          <w:p>
            <w:pPr>
              <w:jc w:val="right"/>
              <w:ind w:right="634"/>
              <w:spacing w:after="0"/>
              <w:rPr>
                <w:sz w:val="20"/>
                <w:szCs w:val="20"/>
                <w:color w:val="auto"/>
              </w:rPr>
            </w:pPr>
            <w:r>
              <w:rPr>
                <w:rFonts w:ascii="Arial" w:cs="Arial" w:eastAsia="Arial" w:hAnsi="Arial"/>
                <w:sz w:val="13"/>
                <w:szCs w:val="13"/>
                <w:b w:val="1"/>
                <w:bCs w:val="1"/>
                <w:color w:val="FFFFFF"/>
                <w:w w:val="96"/>
              </w:rPr>
              <w:t>2020</w:t>
            </w:r>
          </w:p>
        </w:tc>
        <w:tc>
          <w:tcPr>
            <w:tcW w:w="80" w:type="dxa"/>
            <w:vAlign w:val="bottom"/>
            <w:shd w:val="clear" w:color="auto" w:fill="1D2758"/>
          </w:tcPr>
          <w:p>
            <w:pPr>
              <w:spacing w:after="0"/>
              <w:rPr>
                <w:sz w:val="15"/>
                <w:szCs w:val="15"/>
                <w:color w:val="auto"/>
              </w:rPr>
            </w:pPr>
          </w:p>
        </w:tc>
        <w:tc>
          <w:tcPr>
            <w:tcW w:w="400" w:type="dxa"/>
            <w:vAlign w:val="bottom"/>
            <w:shd w:val="clear" w:color="auto" w:fill="1D2758"/>
          </w:tcPr>
          <w:p>
            <w:pPr>
              <w:spacing w:after="0"/>
              <w:rPr>
                <w:sz w:val="15"/>
                <w:szCs w:val="15"/>
                <w:color w:val="auto"/>
              </w:rPr>
            </w:pPr>
          </w:p>
        </w:tc>
        <w:tc>
          <w:tcPr>
            <w:tcW w:w="1300" w:type="dxa"/>
            <w:vAlign w:val="bottom"/>
            <w:shd w:val="clear" w:color="auto" w:fill="1D2758"/>
          </w:tcPr>
          <w:p>
            <w:pPr>
              <w:jc w:val="right"/>
              <w:ind w:right="634"/>
              <w:spacing w:after="0"/>
              <w:rPr>
                <w:sz w:val="20"/>
                <w:szCs w:val="20"/>
                <w:color w:val="auto"/>
              </w:rPr>
            </w:pPr>
            <w:r>
              <w:rPr>
                <w:rFonts w:ascii="Arial" w:cs="Arial" w:eastAsia="Arial" w:hAnsi="Arial"/>
                <w:sz w:val="13"/>
                <w:szCs w:val="13"/>
                <w:b w:val="1"/>
                <w:bCs w:val="1"/>
                <w:color w:val="FFFFFF"/>
              </w:rPr>
              <w:t>2019</w:t>
            </w:r>
          </w:p>
        </w:tc>
      </w:tr>
      <w:tr>
        <w:trPr>
          <w:trHeight w:val="175"/>
        </w:trPr>
        <w:tc>
          <w:tcPr>
            <w:tcW w:w="6020" w:type="dxa"/>
            <w:vAlign w:val="bottom"/>
            <w:shd w:val="clear" w:color="auto" w:fill="DBDBDB"/>
          </w:tcPr>
          <w:p>
            <w:pPr>
              <w:ind w:left="20"/>
              <w:spacing w:after="0"/>
              <w:rPr>
                <w:sz w:val="20"/>
                <w:szCs w:val="20"/>
                <w:color w:val="auto"/>
              </w:rPr>
            </w:pPr>
            <w:r>
              <w:rPr>
                <w:rFonts w:ascii="Arial" w:cs="Arial" w:eastAsia="Arial" w:hAnsi="Arial"/>
                <w:sz w:val="13"/>
                <w:szCs w:val="13"/>
                <w:color w:val="auto"/>
              </w:rPr>
              <w:t>Current</w:t>
            </w: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r>
      <w:tr>
        <w:trPr>
          <w:trHeight w:val="172"/>
        </w:trPr>
        <w:tc>
          <w:tcPr>
            <w:tcW w:w="6020" w:type="dxa"/>
            <w:vAlign w:val="bottom"/>
          </w:tcPr>
          <w:p>
            <w:pPr>
              <w:ind w:left="200"/>
              <w:spacing w:after="0"/>
              <w:rPr>
                <w:sz w:val="20"/>
                <w:szCs w:val="20"/>
                <w:color w:val="auto"/>
              </w:rPr>
            </w:pPr>
            <w:r>
              <w:rPr>
                <w:rFonts w:ascii="Arial" w:cs="Arial" w:eastAsia="Arial" w:hAnsi="Arial"/>
                <w:sz w:val="13"/>
                <w:szCs w:val="13"/>
                <w:color w:val="auto"/>
              </w:rPr>
              <w:t>Federal</w:t>
            </w:r>
          </w:p>
        </w:tc>
        <w:tc>
          <w:tcPr>
            <w:tcW w:w="400" w:type="dxa"/>
            <w:vAlign w:val="bottom"/>
          </w:tcPr>
          <w:p>
            <w:pPr>
              <w:jc w:val="right"/>
              <w:ind w:right="234"/>
              <w:spacing w:after="0"/>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34"/>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8"/>
        </w:trPr>
        <w:tc>
          <w:tcPr>
            <w:tcW w:w="6020" w:type="dxa"/>
            <w:vAlign w:val="bottom"/>
            <w:shd w:val="clear" w:color="auto" w:fill="DBDBDB"/>
          </w:tcPr>
          <w:p>
            <w:pPr>
              <w:ind w:left="200"/>
              <w:spacing w:after="0"/>
              <w:rPr>
                <w:sz w:val="20"/>
                <w:szCs w:val="20"/>
                <w:color w:val="auto"/>
              </w:rPr>
            </w:pPr>
            <w:r>
              <w:rPr>
                <w:rFonts w:ascii="Arial" w:cs="Arial" w:eastAsia="Arial" w:hAnsi="Arial"/>
                <w:sz w:val="13"/>
                <w:szCs w:val="13"/>
                <w:color w:val="auto"/>
              </w:rPr>
              <w:t>State</w:t>
            </w: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4,645</w:t>
            </w:r>
          </w:p>
        </w:tc>
        <w:tc>
          <w:tcPr>
            <w:tcW w:w="8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1,601</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827</w:t>
            </w:r>
          </w:p>
        </w:tc>
      </w:tr>
      <w:tr>
        <w:trPr>
          <w:trHeight w:val="172"/>
        </w:trPr>
        <w:tc>
          <w:tcPr>
            <w:tcW w:w="6020" w:type="dxa"/>
            <w:vAlign w:val="bottom"/>
          </w:tcPr>
          <w:p>
            <w:pPr>
              <w:ind w:left="200"/>
              <w:spacing w:after="0"/>
              <w:rPr>
                <w:sz w:val="20"/>
                <w:szCs w:val="20"/>
                <w:color w:val="auto"/>
              </w:rPr>
            </w:pPr>
            <w:r>
              <w:rPr>
                <w:rFonts w:ascii="Arial" w:cs="Arial" w:eastAsia="Arial" w:hAnsi="Arial"/>
                <w:sz w:val="13"/>
                <w:szCs w:val="13"/>
                <w:color w:val="auto"/>
              </w:rPr>
              <w:t>Foreign</w:t>
            </w: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8,338</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2,104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(395)</w:t>
            </w:r>
          </w:p>
        </w:tc>
      </w:tr>
      <w:tr>
        <w:trPr>
          <w:trHeight w:val="178"/>
        </w:trPr>
        <w:tc>
          <w:tcPr>
            <w:tcW w:w="6020" w:type="dxa"/>
            <w:vAlign w:val="bottom"/>
            <w:shd w:val="clear" w:color="auto" w:fill="DBDBDB"/>
          </w:tcPr>
          <w:p>
            <w:pPr>
              <w:ind w:left="20"/>
              <w:spacing w:after="0"/>
              <w:rPr>
                <w:sz w:val="20"/>
                <w:szCs w:val="20"/>
                <w:color w:val="auto"/>
              </w:rPr>
            </w:pPr>
            <w:r>
              <w:rPr>
                <w:rFonts w:ascii="Arial" w:cs="Arial" w:eastAsia="Arial" w:hAnsi="Arial"/>
                <w:sz w:val="13"/>
                <w:szCs w:val="13"/>
                <w:color w:val="auto"/>
              </w:rPr>
              <w:t>Deferred</w:t>
            </w: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r>
      <w:tr>
        <w:trPr>
          <w:trHeight w:val="172"/>
        </w:trPr>
        <w:tc>
          <w:tcPr>
            <w:tcW w:w="6020" w:type="dxa"/>
            <w:vAlign w:val="bottom"/>
          </w:tcPr>
          <w:p>
            <w:pPr>
              <w:ind w:left="200"/>
              <w:spacing w:after="0"/>
              <w:rPr>
                <w:sz w:val="20"/>
                <w:szCs w:val="20"/>
                <w:color w:val="auto"/>
              </w:rPr>
            </w:pPr>
            <w:r>
              <w:rPr>
                <w:rFonts w:ascii="Arial" w:cs="Arial" w:eastAsia="Arial" w:hAnsi="Arial"/>
                <w:sz w:val="13"/>
                <w:szCs w:val="13"/>
                <w:color w:val="auto"/>
              </w:rPr>
              <w:t>Federal</w:t>
            </w: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31,255</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(52,822)</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242</w:t>
            </w:r>
          </w:p>
        </w:tc>
      </w:tr>
      <w:tr>
        <w:trPr>
          <w:trHeight w:val="178"/>
        </w:trPr>
        <w:tc>
          <w:tcPr>
            <w:tcW w:w="6020" w:type="dxa"/>
            <w:vAlign w:val="bottom"/>
            <w:shd w:val="clear" w:color="auto" w:fill="DBDBDB"/>
          </w:tcPr>
          <w:p>
            <w:pPr>
              <w:ind w:left="200"/>
              <w:spacing w:after="0"/>
              <w:rPr>
                <w:sz w:val="20"/>
                <w:szCs w:val="20"/>
                <w:color w:val="auto"/>
              </w:rPr>
            </w:pPr>
            <w:r>
              <w:rPr>
                <w:rFonts w:ascii="Arial" w:cs="Arial" w:eastAsia="Arial" w:hAnsi="Arial"/>
                <w:sz w:val="13"/>
                <w:szCs w:val="13"/>
                <w:color w:val="auto"/>
              </w:rPr>
              <w:t>State</w:t>
            </w: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(4,144)</w:t>
            </w:r>
          </w:p>
        </w:tc>
        <w:tc>
          <w:tcPr>
            <w:tcW w:w="8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(5,204)</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1,662</w:t>
            </w:r>
          </w:p>
        </w:tc>
      </w:tr>
      <w:tr>
        <w:trPr>
          <w:trHeight w:val="172"/>
        </w:trPr>
        <w:tc>
          <w:tcPr>
            <w:tcW w:w="6020" w:type="dxa"/>
            <w:vAlign w:val="bottom"/>
            <w:tcBorders>
              <w:bottom w:val="single" w:sz="8" w:color="DBDBDB"/>
            </w:tcBorders>
          </w:tcPr>
          <w:p>
            <w:pPr>
              <w:ind w:left="200"/>
              <w:spacing w:after="0"/>
              <w:rPr>
                <w:sz w:val="20"/>
                <w:szCs w:val="20"/>
                <w:color w:val="auto"/>
              </w:rPr>
            </w:pPr>
            <w:r>
              <w:rPr>
                <w:rFonts w:ascii="Arial" w:cs="Arial" w:eastAsia="Arial" w:hAnsi="Arial"/>
                <w:sz w:val="13"/>
                <w:szCs w:val="13"/>
                <w:color w:val="auto"/>
              </w:rPr>
              <w:t>Foreign</w:t>
            </w: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9,452</w:t>
            </w:r>
          </w:p>
        </w:tc>
        <w:tc>
          <w:tcPr>
            <w:tcW w:w="80" w:type="dxa"/>
            <w:vAlign w:val="bottom"/>
            <w:tcBorders>
              <w:bottom w:val="single" w:sz="8" w:color="DBDBDB"/>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2,870</w:t>
            </w:r>
          </w:p>
        </w:tc>
        <w:tc>
          <w:tcPr>
            <w:tcW w:w="80" w:type="dxa"/>
            <w:vAlign w:val="bottom"/>
            <w:tcBorders>
              <w:bottom w:val="single" w:sz="8" w:color="DBDBDB"/>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(4,527)</w:t>
            </w:r>
          </w:p>
        </w:tc>
      </w:tr>
      <w:tr>
        <w:trPr>
          <w:trHeight w:val="194"/>
        </w:trPr>
        <w:tc>
          <w:tcPr>
            <w:tcW w:w="60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Total income tax expense (benefit)</w:t>
            </w:r>
          </w:p>
        </w:tc>
        <w:tc>
          <w:tcPr>
            <w:tcW w:w="400" w:type="dxa"/>
            <w:vAlign w:val="bottom"/>
            <w:tcBorders>
              <w:bottom w:val="single" w:sz="8" w:color="auto"/>
            </w:tcBorders>
            <w:shd w:val="clear" w:color="auto" w:fill="DBDBDB"/>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49,546</w:t>
            </w:r>
          </w:p>
        </w:tc>
        <w:tc>
          <w:tcPr>
            <w:tcW w:w="80" w:type="dxa"/>
            <w:vAlign w:val="bottom"/>
            <w:tcBorders>
              <w:bottom w:val="single" w:sz="8" w:color="DBDBDB"/>
            </w:tcBorders>
            <w:shd w:val="clear" w:color="auto" w:fill="DBDBDB"/>
          </w:tcPr>
          <w:p>
            <w:pPr>
              <w:spacing w:after="0"/>
              <w:rPr>
                <w:sz w:val="16"/>
                <w:szCs w:val="16"/>
                <w:color w:val="auto"/>
              </w:rPr>
            </w:pPr>
          </w:p>
        </w:tc>
        <w:tc>
          <w:tcPr>
            <w:tcW w:w="700" w:type="dxa"/>
            <w:vAlign w:val="bottom"/>
            <w:tcBorders>
              <w:bottom w:val="single" w:sz="8" w:color="auto"/>
            </w:tcBorders>
            <w:shd w:val="clear" w:color="auto" w:fill="DBDBDB"/>
          </w:tcPr>
          <w:p>
            <w:pPr>
              <w:jc w:val="right"/>
              <w:ind w:right="534"/>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(51,451)</w:t>
            </w:r>
          </w:p>
        </w:tc>
        <w:tc>
          <w:tcPr>
            <w:tcW w:w="80" w:type="dxa"/>
            <w:vAlign w:val="bottom"/>
            <w:tcBorders>
              <w:bottom w:val="single" w:sz="8" w:color="DBDBDB"/>
            </w:tcBorders>
            <w:shd w:val="clear" w:color="auto" w:fill="DBDBDB"/>
          </w:tcPr>
          <w:p>
            <w:pPr>
              <w:spacing w:after="0"/>
              <w:rPr>
                <w:sz w:val="16"/>
                <w:szCs w:val="16"/>
                <w:color w:val="auto"/>
              </w:rPr>
            </w:pPr>
          </w:p>
        </w:tc>
        <w:tc>
          <w:tcPr>
            <w:tcW w:w="400" w:type="dxa"/>
            <w:vAlign w:val="bottom"/>
            <w:tcBorders>
              <w:bottom w:val="single" w:sz="8" w:color="auto"/>
            </w:tcBorders>
            <w:shd w:val="clear" w:color="auto" w:fill="DBDBDB"/>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(2,191)</w:t>
            </w:r>
          </w:p>
        </w:tc>
      </w:tr>
      <w:tr>
        <w:trPr>
          <w:trHeight w:val="20"/>
        </w:trPr>
        <w:tc>
          <w:tcPr>
            <w:tcW w:w="60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70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Income tax results differed from the amount computed by applying the US statutory income tax rate of 21% to the income (loss) before income taxes for the following reasons for the years ended December 31, 2021, 2020 and 2019:</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2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420" w:type="dxa"/>
            <w:vAlign w:val="bottom"/>
            <w:shd w:val="clear" w:color="auto" w:fill="1D2758"/>
          </w:tcPr>
          <w:p>
            <w:pPr>
              <w:spacing w:after="0"/>
              <w:rPr>
                <w:sz w:val="15"/>
                <w:szCs w:val="15"/>
                <w:color w:val="auto"/>
              </w:rPr>
            </w:pPr>
          </w:p>
        </w:tc>
        <w:tc>
          <w:tcPr>
            <w:tcW w:w="1340" w:type="dxa"/>
            <w:vAlign w:val="bottom"/>
            <w:shd w:val="clear" w:color="auto" w:fill="1D2758"/>
          </w:tcPr>
          <w:p>
            <w:pPr>
              <w:jc w:val="right"/>
              <w:ind w:right="654"/>
              <w:spacing w:after="0"/>
              <w:rPr>
                <w:sz w:val="20"/>
                <w:szCs w:val="20"/>
                <w:color w:val="auto"/>
              </w:rPr>
            </w:pPr>
            <w:r>
              <w:rPr>
                <w:rFonts w:ascii="Arial" w:cs="Arial" w:eastAsia="Arial" w:hAnsi="Arial"/>
                <w:sz w:val="13"/>
                <w:szCs w:val="13"/>
                <w:b w:val="1"/>
                <w:bCs w:val="1"/>
                <w:color w:val="FFFFFF"/>
              </w:rPr>
              <w:t>2021</w:t>
            </w:r>
          </w:p>
        </w:tc>
        <w:tc>
          <w:tcPr>
            <w:tcW w:w="100" w:type="dxa"/>
            <w:vAlign w:val="bottom"/>
            <w:shd w:val="clear" w:color="auto" w:fill="1D2758"/>
          </w:tcPr>
          <w:p>
            <w:pPr>
              <w:spacing w:after="0"/>
              <w:rPr>
                <w:sz w:val="15"/>
                <w:szCs w:val="15"/>
                <w:color w:val="auto"/>
              </w:rPr>
            </w:pPr>
          </w:p>
        </w:tc>
        <w:tc>
          <w:tcPr>
            <w:tcW w:w="400" w:type="dxa"/>
            <w:vAlign w:val="bottom"/>
            <w:shd w:val="clear" w:color="auto" w:fill="1D2758"/>
          </w:tcPr>
          <w:p>
            <w:pPr>
              <w:spacing w:after="0"/>
              <w:rPr>
                <w:sz w:val="15"/>
                <w:szCs w:val="15"/>
                <w:color w:val="auto"/>
              </w:rPr>
            </w:pPr>
          </w:p>
        </w:tc>
        <w:tc>
          <w:tcPr>
            <w:tcW w:w="1360" w:type="dxa"/>
            <w:vAlign w:val="bottom"/>
            <w:shd w:val="clear" w:color="auto" w:fill="1D2758"/>
          </w:tcPr>
          <w:p>
            <w:pPr>
              <w:jc w:val="right"/>
              <w:ind w:right="674"/>
              <w:spacing w:after="0"/>
              <w:rPr>
                <w:sz w:val="20"/>
                <w:szCs w:val="20"/>
                <w:color w:val="auto"/>
              </w:rPr>
            </w:pPr>
            <w:r>
              <w:rPr>
                <w:rFonts w:ascii="Arial" w:cs="Arial" w:eastAsia="Arial" w:hAnsi="Arial"/>
                <w:sz w:val="13"/>
                <w:szCs w:val="13"/>
                <w:b w:val="1"/>
                <w:bCs w:val="1"/>
                <w:color w:val="FFFFFF"/>
              </w:rPr>
              <w:t>2020</w:t>
            </w:r>
          </w:p>
        </w:tc>
        <w:tc>
          <w:tcPr>
            <w:tcW w:w="80" w:type="dxa"/>
            <w:vAlign w:val="bottom"/>
            <w:shd w:val="clear" w:color="auto" w:fill="1D2758"/>
          </w:tcPr>
          <w:p>
            <w:pPr>
              <w:spacing w:after="0"/>
              <w:rPr>
                <w:sz w:val="15"/>
                <w:szCs w:val="15"/>
                <w:color w:val="auto"/>
              </w:rPr>
            </w:pPr>
          </w:p>
        </w:tc>
        <w:tc>
          <w:tcPr>
            <w:tcW w:w="420" w:type="dxa"/>
            <w:vAlign w:val="bottom"/>
            <w:shd w:val="clear" w:color="auto" w:fill="1D2758"/>
          </w:tcPr>
          <w:p>
            <w:pPr>
              <w:spacing w:after="0"/>
              <w:rPr>
                <w:sz w:val="15"/>
                <w:szCs w:val="15"/>
                <w:color w:val="auto"/>
              </w:rPr>
            </w:pPr>
          </w:p>
        </w:tc>
        <w:tc>
          <w:tcPr>
            <w:tcW w:w="1340" w:type="dxa"/>
            <w:vAlign w:val="bottom"/>
            <w:shd w:val="clear" w:color="auto" w:fill="1D2758"/>
          </w:tcPr>
          <w:p>
            <w:pPr>
              <w:jc w:val="right"/>
              <w:ind w:right="674"/>
              <w:spacing w:after="0"/>
              <w:rPr>
                <w:sz w:val="20"/>
                <w:szCs w:val="20"/>
                <w:color w:val="auto"/>
              </w:rPr>
            </w:pPr>
            <w:r>
              <w:rPr>
                <w:rFonts w:ascii="Arial" w:cs="Arial" w:eastAsia="Arial" w:hAnsi="Arial"/>
                <w:sz w:val="13"/>
                <w:szCs w:val="13"/>
                <w:b w:val="1"/>
                <w:bCs w:val="1"/>
                <w:color w:val="FFFFFF"/>
              </w:rPr>
              <w:t>2019</w:t>
            </w:r>
          </w:p>
        </w:tc>
      </w:tr>
      <w:tr>
        <w:trPr>
          <w:trHeight w:val="175"/>
        </w:trPr>
        <w:tc>
          <w:tcPr>
            <w:tcW w:w="5820" w:type="dxa"/>
            <w:vAlign w:val="bottom"/>
            <w:shd w:val="clear" w:color="auto" w:fill="DBDBDB"/>
          </w:tcPr>
          <w:p>
            <w:pPr>
              <w:ind w:left="20"/>
              <w:spacing w:after="0"/>
              <w:rPr>
                <w:sz w:val="20"/>
                <w:szCs w:val="20"/>
                <w:color w:val="auto"/>
              </w:rPr>
            </w:pPr>
            <w:r>
              <w:rPr>
                <w:rFonts w:ascii="Arial" w:cs="Arial" w:eastAsia="Arial" w:hAnsi="Arial"/>
                <w:sz w:val="13"/>
                <w:szCs w:val="13"/>
                <w:color w:val="auto"/>
              </w:rPr>
              <w:t>Income (loss) before income tax</w:t>
            </w:r>
          </w:p>
        </w:tc>
        <w:tc>
          <w:tcPr>
            <w:tcW w:w="420" w:type="dxa"/>
            <w:vAlign w:val="bottom"/>
            <w:shd w:val="clear" w:color="auto" w:fill="DBDBDB"/>
          </w:tcPr>
          <w:p>
            <w:pPr>
              <w:spacing w:after="0"/>
              <w:rPr>
                <w:sz w:val="15"/>
                <w:szCs w:val="15"/>
                <w:color w:val="auto"/>
              </w:rPr>
            </w:pPr>
          </w:p>
        </w:tc>
        <w:tc>
          <w:tcPr>
            <w:tcW w:w="13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1340" w:type="dxa"/>
            <w:vAlign w:val="bottom"/>
            <w:shd w:val="clear" w:color="auto" w:fill="DBDBDB"/>
          </w:tcPr>
          <w:p>
            <w:pPr>
              <w:spacing w:after="0"/>
              <w:rPr>
                <w:sz w:val="15"/>
                <w:szCs w:val="15"/>
                <w:color w:val="auto"/>
              </w:rPr>
            </w:pPr>
          </w:p>
        </w:tc>
      </w:tr>
      <w:tr>
        <w:trPr>
          <w:trHeight w:val="172"/>
        </w:trPr>
        <w:tc>
          <w:tcPr>
            <w:tcW w:w="5820" w:type="dxa"/>
            <w:vAlign w:val="bottom"/>
          </w:tcPr>
          <w:p>
            <w:pPr>
              <w:ind w:left="200"/>
              <w:spacing w:after="0"/>
              <w:rPr>
                <w:sz w:val="20"/>
                <w:szCs w:val="20"/>
                <w:color w:val="auto"/>
              </w:rPr>
            </w:pPr>
            <w:r>
              <w:rPr>
                <w:rFonts w:ascii="Arial" w:cs="Arial" w:eastAsia="Arial" w:hAnsi="Arial"/>
                <w:sz w:val="13"/>
                <w:szCs w:val="13"/>
                <w:color w:val="auto"/>
              </w:rPr>
              <w:t>US</w:t>
            </w:r>
          </w:p>
        </w:tc>
        <w:tc>
          <w:tcPr>
            <w:tcW w:w="420" w:type="dxa"/>
            <w:vAlign w:val="bottom"/>
          </w:tcPr>
          <w:p>
            <w:pPr>
              <w:jc w:val="right"/>
              <w:ind w:right="254"/>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94"/>
              <w:spacing w:after="0"/>
              <w:rPr>
                <w:sz w:val="20"/>
                <w:szCs w:val="20"/>
                <w:color w:val="auto"/>
              </w:rPr>
            </w:pPr>
            <w:r>
              <w:rPr>
                <w:rFonts w:ascii="Arial" w:cs="Arial" w:eastAsia="Arial" w:hAnsi="Arial"/>
                <w:sz w:val="13"/>
                <w:szCs w:val="13"/>
                <w:color w:val="auto"/>
              </w:rPr>
              <w:t>161,040</w:t>
            </w:r>
          </w:p>
        </w:tc>
        <w:tc>
          <w:tcPr>
            <w:tcW w:w="100" w:type="dxa"/>
            <w:vAlign w:val="bottom"/>
          </w:tcPr>
          <w:p>
            <w:pPr>
              <w:spacing w:after="0"/>
              <w:rPr>
                <w:sz w:val="14"/>
                <w:szCs w:val="14"/>
                <w:color w:val="auto"/>
              </w:rPr>
            </w:pPr>
          </w:p>
        </w:tc>
        <w:tc>
          <w:tcPr>
            <w:tcW w:w="400" w:type="dxa"/>
            <w:vAlign w:val="bottom"/>
          </w:tcPr>
          <w:p>
            <w:pPr>
              <w:jc w:val="right"/>
              <w:ind w:right="254"/>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ind w:right="114"/>
              <w:spacing w:after="0"/>
              <w:rPr>
                <w:sz w:val="20"/>
                <w:szCs w:val="20"/>
                <w:color w:val="auto"/>
              </w:rPr>
            </w:pPr>
            <w:r>
              <w:rPr>
                <w:rFonts w:ascii="Arial" w:cs="Arial" w:eastAsia="Arial" w:hAnsi="Arial"/>
                <w:sz w:val="13"/>
                <w:szCs w:val="13"/>
                <w:color w:val="auto"/>
              </w:rPr>
              <w:t>6,597</w:t>
            </w:r>
          </w:p>
        </w:tc>
        <w:tc>
          <w:tcPr>
            <w:tcW w:w="80" w:type="dxa"/>
            <w:vAlign w:val="bottom"/>
          </w:tcPr>
          <w:p>
            <w:pPr>
              <w:spacing w:after="0"/>
              <w:rPr>
                <w:sz w:val="14"/>
                <w:szCs w:val="14"/>
                <w:color w:val="auto"/>
              </w:rPr>
            </w:pPr>
          </w:p>
        </w:tc>
        <w:tc>
          <w:tcPr>
            <w:tcW w:w="420" w:type="dxa"/>
            <w:vAlign w:val="bottom"/>
          </w:tcPr>
          <w:p>
            <w:pPr>
              <w:jc w:val="right"/>
              <w:ind w:right="274"/>
              <w:spacing w:after="0"/>
              <w:rPr>
                <w:sz w:val="20"/>
                <w:szCs w:val="20"/>
                <w:color w:val="auto"/>
              </w:rPr>
            </w:pPr>
            <w:r>
              <w:rPr>
                <w:rFonts w:ascii="Arial" w:cs="Arial" w:eastAsia="Arial" w:hAnsi="Arial"/>
                <w:sz w:val="13"/>
                <w:szCs w:val="13"/>
                <w:color w:val="auto"/>
                <w:w w:val="82"/>
              </w:rPr>
              <w:t>$</w:t>
            </w:r>
          </w:p>
        </w:tc>
        <w:tc>
          <w:tcPr>
            <w:tcW w:w="1340" w:type="dxa"/>
            <w:vAlign w:val="bottom"/>
          </w:tcPr>
          <w:p>
            <w:pPr>
              <w:jc w:val="right"/>
              <w:ind w:right="74"/>
              <w:spacing w:after="0"/>
              <w:rPr>
                <w:sz w:val="20"/>
                <w:szCs w:val="20"/>
                <w:color w:val="auto"/>
              </w:rPr>
            </w:pPr>
            <w:r>
              <w:rPr>
                <w:rFonts w:ascii="Arial" w:cs="Arial" w:eastAsia="Arial" w:hAnsi="Arial"/>
                <w:sz w:val="13"/>
                <w:szCs w:val="13"/>
                <w:color w:val="auto"/>
              </w:rPr>
              <w:t>(119,099)</w:t>
            </w:r>
          </w:p>
        </w:tc>
      </w:tr>
      <w:tr>
        <w:trPr>
          <w:trHeight w:val="175"/>
        </w:trPr>
        <w:tc>
          <w:tcPr>
            <w:tcW w:w="5820" w:type="dxa"/>
            <w:vAlign w:val="bottom"/>
            <w:shd w:val="clear" w:color="auto" w:fill="DBDBDB"/>
          </w:tcPr>
          <w:p>
            <w:pPr>
              <w:ind w:left="200"/>
              <w:spacing w:after="0"/>
              <w:rPr>
                <w:sz w:val="20"/>
                <w:szCs w:val="20"/>
                <w:color w:val="auto"/>
              </w:rPr>
            </w:pPr>
            <w:r>
              <w:rPr>
                <w:rFonts w:ascii="Arial" w:cs="Arial" w:eastAsia="Arial" w:hAnsi="Arial"/>
                <w:sz w:val="13"/>
                <w:szCs w:val="13"/>
                <w:color w:val="auto"/>
              </w:rPr>
              <w:t>Foreign</w:t>
            </w:r>
          </w:p>
        </w:tc>
        <w:tc>
          <w:tcPr>
            <w:tcW w:w="420" w:type="dxa"/>
            <w:vAlign w:val="bottom"/>
            <w:tcBorders>
              <w:bottom w:val="single" w:sz="8" w:color="auto"/>
            </w:tcBorders>
            <w:shd w:val="clear" w:color="auto" w:fill="DBDBDB"/>
          </w:tcPr>
          <w:p>
            <w:pPr>
              <w:spacing w:after="0"/>
              <w:rPr>
                <w:sz w:val="15"/>
                <w:szCs w:val="15"/>
                <w:color w:val="auto"/>
              </w:rPr>
            </w:pPr>
          </w:p>
        </w:tc>
        <w:tc>
          <w:tcPr>
            <w:tcW w:w="1340" w:type="dxa"/>
            <w:vAlign w:val="bottom"/>
            <w:tcBorders>
              <w:bottom w:val="single" w:sz="8" w:color="auto"/>
            </w:tcBorders>
            <w:shd w:val="clear" w:color="auto" w:fill="DBDBDB"/>
          </w:tcPr>
          <w:p>
            <w:pPr>
              <w:jc w:val="right"/>
              <w:ind w:right="94"/>
              <w:spacing w:after="0"/>
              <w:rPr>
                <w:sz w:val="20"/>
                <w:szCs w:val="20"/>
                <w:color w:val="auto"/>
              </w:rPr>
            </w:pPr>
            <w:r>
              <w:rPr>
                <w:rFonts w:ascii="Arial" w:cs="Arial" w:eastAsia="Arial" w:hAnsi="Arial"/>
                <w:sz w:val="13"/>
                <w:szCs w:val="13"/>
                <w:color w:val="auto"/>
              </w:rPr>
              <w:t>48,650</w:t>
            </w:r>
          </w:p>
        </w:tc>
        <w:tc>
          <w:tcPr>
            <w:tcW w:w="100" w:type="dxa"/>
            <w:vAlign w:val="bottom"/>
            <w:shd w:val="clear" w:color="auto" w:fill="DBDBDB"/>
          </w:tcPr>
          <w:p>
            <w:pPr>
              <w:spacing w:after="0"/>
              <w:rPr>
                <w:sz w:val="15"/>
                <w:szCs w:val="15"/>
                <w:color w:val="auto"/>
              </w:rPr>
            </w:pPr>
          </w:p>
        </w:tc>
        <w:tc>
          <w:tcPr>
            <w:tcW w:w="400" w:type="dxa"/>
            <w:vAlign w:val="bottom"/>
            <w:tcBorders>
              <w:bottom w:val="single" w:sz="8" w:color="auto"/>
            </w:tcBorders>
            <w:shd w:val="clear" w:color="auto" w:fill="DBDBDB"/>
          </w:tcPr>
          <w:p>
            <w:pPr>
              <w:spacing w:after="0"/>
              <w:rPr>
                <w:sz w:val="15"/>
                <w:szCs w:val="15"/>
                <w:color w:val="auto"/>
              </w:rPr>
            </w:pPr>
          </w:p>
        </w:tc>
        <w:tc>
          <w:tcPr>
            <w:tcW w:w="1360" w:type="dxa"/>
            <w:vAlign w:val="bottom"/>
            <w:tcBorders>
              <w:bottom w:val="single" w:sz="8" w:color="auto"/>
            </w:tcBorders>
            <w:shd w:val="clear" w:color="auto" w:fill="DBDBDB"/>
          </w:tcPr>
          <w:p>
            <w:pPr>
              <w:jc w:val="right"/>
              <w:ind w:right="114"/>
              <w:spacing w:after="0"/>
              <w:rPr>
                <w:sz w:val="20"/>
                <w:szCs w:val="20"/>
                <w:color w:val="auto"/>
              </w:rPr>
            </w:pPr>
            <w:r>
              <w:rPr>
                <w:rFonts w:ascii="Arial" w:cs="Arial" w:eastAsia="Arial" w:hAnsi="Arial"/>
                <w:sz w:val="13"/>
                <w:szCs w:val="13"/>
                <w:color w:val="auto"/>
              </w:rPr>
              <w:t>17,292</w:t>
            </w:r>
          </w:p>
        </w:tc>
        <w:tc>
          <w:tcPr>
            <w:tcW w:w="80" w:type="dxa"/>
            <w:vAlign w:val="bottom"/>
            <w:shd w:val="clear" w:color="auto" w:fill="DBDBDB"/>
          </w:tcPr>
          <w:p>
            <w:pPr>
              <w:spacing w:after="0"/>
              <w:rPr>
                <w:sz w:val="15"/>
                <w:szCs w:val="15"/>
                <w:color w:val="auto"/>
              </w:rPr>
            </w:pPr>
          </w:p>
        </w:tc>
        <w:tc>
          <w:tcPr>
            <w:tcW w:w="420" w:type="dxa"/>
            <w:vAlign w:val="bottom"/>
            <w:tcBorders>
              <w:bottom w:val="single" w:sz="8" w:color="auto"/>
            </w:tcBorders>
            <w:shd w:val="clear" w:color="auto" w:fill="DBDBDB"/>
          </w:tcPr>
          <w:p>
            <w:pPr>
              <w:spacing w:after="0"/>
              <w:rPr>
                <w:sz w:val="15"/>
                <w:szCs w:val="15"/>
                <w:color w:val="auto"/>
              </w:rPr>
            </w:pPr>
          </w:p>
        </w:tc>
        <w:tc>
          <w:tcPr>
            <w:tcW w:w="1340" w:type="dxa"/>
            <w:vAlign w:val="bottom"/>
            <w:tcBorders>
              <w:bottom w:val="single" w:sz="8" w:color="auto"/>
            </w:tcBorders>
            <w:shd w:val="clear" w:color="auto" w:fill="DBDBDB"/>
          </w:tcPr>
          <w:p>
            <w:pPr>
              <w:jc w:val="right"/>
              <w:ind w:right="74"/>
              <w:spacing w:after="0"/>
              <w:rPr>
                <w:sz w:val="20"/>
                <w:szCs w:val="20"/>
                <w:color w:val="auto"/>
              </w:rPr>
            </w:pPr>
            <w:r>
              <w:rPr>
                <w:rFonts w:ascii="Arial" w:cs="Arial" w:eastAsia="Arial" w:hAnsi="Arial"/>
                <w:sz w:val="13"/>
                <w:szCs w:val="13"/>
                <w:color w:val="auto"/>
              </w:rPr>
              <w:t>(4,257)</w:t>
            </w:r>
          </w:p>
        </w:tc>
      </w:tr>
      <w:tr>
        <w:trPr>
          <w:trHeight w:val="169"/>
        </w:trPr>
        <w:tc>
          <w:tcPr>
            <w:tcW w:w="5820" w:type="dxa"/>
            <w:vAlign w:val="bottom"/>
          </w:tcPr>
          <w:p>
            <w:pPr>
              <w:ind w:left="20"/>
              <w:spacing w:after="0"/>
              <w:rPr>
                <w:sz w:val="20"/>
                <w:szCs w:val="20"/>
                <w:color w:val="auto"/>
              </w:rPr>
            </w:pPr>
            <w:r>
              <w:rPr>
                <w:rFonts w:ascii="Arial" w:cs="Arial" w:eastAsia="Arial" w:hAnsi="Arial"/>
                <w:sz w:val="13"/>
                <w:szCs w:val="13"/>
                <w:color w:val="auto"/>
              </w:rPr>
              <w:t>Total income (loss) before income tax</w:t>
            </w:r>
          </w:p>
        </w:tc>
        <w:tc>
          <w:tcPr>
            <w:tcW w:w="42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rPr>
              <w:t>209,690</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color w:val="auto"/>
              </w:rPr>
              <w:t>23,889</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(123,356)</w:t>
            </w:r>
          </w:p>
        </w:tc>
      </w:tr>
      <w:tr>
        <w:trPr>
          <w:trHeight w:val="20"/>
        </w:trPr>
        <w:tc>
          <w:tcPr>
            <w:tcW w:w="5820" w:type="dxa"/>
            <w:vAlign w:val="bottom"/>
            <w:tcBorders>
              <w:bottom w:val="single" w:sz="8" w:color="DBDBDB"/>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48"/>
        </w:trPr>
        <w:tc>
          <w:tcPr>
            <w:tcW w:w="5820" w:type="dxa"/>
            <w:vAlign w:val="bottom"/>
            <w:shd w:val="clear" w:color="auto" w:fill="DBDBDB"/>
          </w:tcPr>
          <w:p>
            <w:pPr>
              <w:spacing w:after="0"/>
              <w:rPr>
                <w:sz w:val="12"/>
                <w:szCs w:val="12"/>
                <w:color w:val="auto"/>
              </w:rPr>
            </w:pPr>
          </w:p>
        </w:tc>
        <w:tc>
          <w:tcPr>
            <w:tcW w:w="420" w:type="dxa"/>
            <w:vAlign w:val="bottom"/>
            <w:shd w:val="clear" w:color="auto" w:fill="DBDBDB"/>
          </w:tcPr>
          <w:p>
            <w:pPr>
              <w:spacing w:after="0"/>
              <w:rPr>
                <w:sz w:val="12"/>
                <w:szCs w:val="12"/>
                <w:color w:val="auto"/>
              </w:rPr>
            </w:pPr>
          </w:p>
        </w:tc>
        <w:tc>
          <w:tcPr>
            <w:tcW w:w="134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400" w:type="dxa"/>
            <w:vAlign w:val="bottom"/>
            <w:shd w:val="clear" w:color="auto" w:fill="DBDBDB"/>
          </w:tcPr>
          <w:p>
            <w:pPr>
              <w:spacing w:after="0"/>
              <w:rPr>
                <w:sz w:val="12"/>
                <w:szCs w:val="12"/>
                <w:color w:val="auto"/>
              </w:rPr>
            </w:pPr>
          </w:p>
        </w:tc>
        <w:tc>
          <w:tcPr>
            <w:tcW w:w="136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420" w:type="dxa"/>
            <w:vAlign w:val="bottom"/>
            <w:shd w:val="clear" w:color="auto" w:fill="DBDBDB"/>
          </w:tcPr>
          <w:p>
            <w:pPr>
              <w:spacing w:after="0"/>
              <w:rPr>
                <w:sz w:val="12"/>
                <w:szCs w:val="12"/>
                <w:color w:val="auto"/>
              </w:rPr>
            </w:pPr>
          </w:p>
        </w:tc>
        <w:tc>
          <w:tcPr>
            <w:tcW w:w="1340" w:type="dxa"/>
            <w:vAlign w:val="bottom"/>
            <w:shd w:val="clear" w:color="auto" w:fill="DBDBDB"/>
          </w:tcPr>
          <w:p>
            <w:pPr>
              <w:spacing w:after="0"/>
              <w:rPr>
                <w:sz w:val="12"/>
                <w:szCs w:val="12"/>
                <w:color w:val="auto"/>
              </w:rPr>
            </w:pPr>
          </w:p>
        </w:tc>
      </w:tr>
      <w:tr>
        <w:trPr>
          <w:trHeight w:val="172"/>
        </w:trPr>
        <w:tc>
          <w:tcPr>
            <w:tcW w:w="5820" w:type="dxa"/>
            <w:vAlign w:val="bottom"/>
          </w:tcPr>
          <w:p>
            <w:pPr>
              <w:ind w:left="20"/>
              <w:spacing w:after="0"/>
              <w:rPr>
                <w:sz w:val="20"/>
                <w:szCs w:val="20"/>
                <w:color w:val="auto"/>
              </w:rPr>
            </w:pPr>
            <w:r>
              <w:rPr>
                <w:rFonts w:ascii="Arial" w:cs="Arial" w:eastAsia="Arial" w:hAnsi="Arial"/>
                <w:sz w:val="13"/>
                <w:szCs w:val="13"/>
                <w:color w:val="auto"/>
              </w:rPr>
              <w:t>US Federal statutory income tax expense (benefit)</w:t>
            </w:r>
          </w:p>
        </w:tc>
        <w:tc>
          <w:tcPr>
            <w:tcW w:w="420" w:type="dxa"/>
            <w:vAlign w:val="bottom"/>
          </w:tcPr>
          <w:p>
            <w:pPr>
              <w:jc w:val="right"/>
              <w:ind w:right="254"/>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94"/>
              <w:spacing w:after="0"/>
              <w:rPr>
                <w:sz w:val="20"/>
                <w:szCs w:val="20"/>
                <w:color w:val="auto"/>
              </w:rPr>
            </w:pPr>
            <w:r>
              <w:rPr>
                <w:rFonts w:ascii="Arial" w:cs="Arial" w:eastAsia="Arial" w:hAnsi="Arial"/>
                <w:sz w:val="13"/>
                <w:szCs w:val="13"/>
                <w:color w:val="auto"/>
              </w:rPr>
              <w:t>44,035</w:t>
            </w:r>
          </w:p>
        </w:tc>
        <w:tc>
          <w:tcPr>
            <w:tcW w:w="100" w:type="dxa"/>
            <w:vAlign w:val="bottom"/>
          </w:tcPr>
          <w:p>
            <w:pPr>
              <w:spacing w:after="0"/>
              <w:rPr>
                <w:sz w:val="14"/>
                <w:szCs w:val="14"/>
                <w:color w:val="auto"/>
              </w:rPr>
            </w:pPr>
          </w:p>
        </w:tc>
        <w:tc>
          <w:tcPr>
            <w:tcW w:w="400" w:type="dxa"/>
            <w:vAlign w:val="bottom"/>
          </w:tcPr>
          <w:p>
            <w:pPr>
              <w:jc w:val="right"/>
              <w:ind w:right="254"/>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ind w:right="114"/>
              <w:spacing w:after="0"/>
              <w:rPr>
                <w:sz w:val="20"/>
                <w:szCs w:val="20"/>
                <w:color w:val="auto"/>
              </w:rPr>
            </w:pPr>
            <w:r>
              <w:rPr>
                <w:rFonts w:ascii="Arial" w:cs="Arial" w:eastAsia="Arial" w:hAnsi="Arial"/>
                <w:sz w:val="13"/>
                <w:szCs w:val="13"/>
                <w:color w:val="auto"/>
              </w:rPr>
              <w:t>5,017</w:t>
            </w:r>
          </w:p>
        </w:tc>
        <w:tc>
          <w:tcPr>
            <w:tcW w:w="80" w:type="dxa"/>
            <w:vAlign w:val="bottom"/>
          </w:tcPr>
          <w:p>
            <w:pPr>
              <w:spacing w:after="0"/>
              <w:rPr>
                <w:sz w:val="14"/>
                <w:szCs w:val="14"/>
                <w:color w:val="auto"/>
              </w:rPr>
            </w:pPr>
          </w:p>
        </w:tc>
        <w:tc>
          <w:tcPr>
            <w:tcW w:w="420" w:type="dxa"/>
            <w:vAlign w:val="bottom"/>
          </w:tcPr>
          <w:p>
            <w:pPr>
              <w:jc w:val="right"/>
              <w:ind w:right="274"/>
              <w:spacing w:after="0"/>
              <w:rPr>
                <w:sz w:val="20"/>
                <w:szCs w:val="20"/>
                <w:color w:val="auto"/>
              </w:rPr>
            </w:pPr>
            <w:r>
              <w:rPr>
                <w:rFonts w:ascii="Arial" w:cs="Arial" w:eastAsia="Arial" w:hAnsi="Arial"/>
                <w:sz w:val="13"/>
                <w:szCs w:val="13"/>
                <w:color w:val="auto"/>
                <w:w w:val="82"/>
              </w:rPr>
              <w:t>$</w:t>
            </w:r>
          </w:p>
        </w:tc>
        <w:tc>
          <w:tcPr>
            <w:tcW w:w="1340" w:type="dxa"/>
            <w:vAlign w:val="bottom"/>
          </w:tcPr>
          <w:p>
            <w:pPr>
              <w:jc w:val="right"/>
              <w:ind w:right="74"/>
              <w:spacing w:after="0"/>
              <w:rPr>
                <w:sz w:val="20"/>
                <w:szCs w:val="20"/>
                <w:color w:val="auto"/>
              </w:rPr>
            </w:pPr>
            <w:r>
              <w:rPr>
                <w:rFonts w:ascii="Arial" w:cs="Arial" w:eastAsia="Arial" w:hAnsi="Arial"/>
                <w:sz w:val="13"/>
                <w:szCs w:val="13"/>
                <w:color w:val="auto"/>
              </w:rPr>
              <w:t>(25,905)</w:t>
            </w:r>
          </w:p>
        </w:tc>
      </w:tr>
      <w:tr>
        <w:trPr>
          <w:trHeight w:val="178"/>
        </w:trPr>
        <w:tc>
          <w:tcPr>
            <w:tcW w:w="5820" w:type="dxa"/>
            <w:vAlign w:val="bottom"/>
            <w:shd w:val="clear" w:color="auto" w:fill="DBDBDB"/>
          </w:tcPr>
          <w:p>
            <w:pPr>
              <w:ind w:left="20"/>
              <w:spacing w:after="0"/>
              <w:rPr>
                <w:sz w:val="20"/>
                <w:szCs w:val="20"/>
                <w:color w:val="auto"/>
              </w:rPr>
            </w:pPr>
            <w:r>
              <w:rPr>
                <w:rFonts w:ascii="Arial" w:cs="Arial" w:eastAsia="Arial" w:hAnsi="Arial"/>
                <w:sz w:val="13"/>
                <w:szCs w:val="13"/>
                <w:color w:val="auto"/>
              </w:rPr>
              <w:t>Effect of tax rates in foreign jurisdictions</w:t>
            </w:r>
          </w:p>
        </w:tc>
        <w:tc>
          <w:tcPr>
            <w:tcW w:w="420" w:type="dxa"/>
            <w:vAlign w:val="bottom"/>
            <w:shd w:val="clear" w:color="auto" w:fill="DBDBDB"/>
          </w:tcPr>
          <w:p>
            <w:pPr>
              <w:spacing w:after="0"/>
              <w:rPr>
                <w:sz w:val="15"/>
                <w:szCs w:val="15"/>
                <w:color w:val="auto"/>
              </w:rPr>
            </w:pPr>
          </w:p>
        </w:tc>
        <w:tc>
          <w:tcPr>
            <w:tcW w:w="13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40</w:t>
            </w:r>
          </w:p>
        </w:tc>
        <w:tc>
          <w:tcPr>
            <w:tcW w:w="10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60" w:type="dxa"/>
            <w:vAlign w:val="bottom"/>
            <w:shd w:val="clear" w:color="auto" w:fill="DBDBDB"/>
          </w:tcPr>
          <w:p>
            <w:pPr>
              <w:jc w:val="right"/>
              <w:ind w:right="114"/>
              <w:spacing w:after="0"/>
              <w:rPr>
                <w:sz w:val="20"/>
                <w:szCs w:val="20"/>
                <w:color w:val="auto"/>
              </w:rPr>
            </w:pPr>
            <w:r>
              <w:rPr>
                <w:rFonts w:ascii="Arial" w:cs="Arial" w:eastAsia="Arial" w:hAnsi="Arial"/>
                <w:sz w:val="13"/>
                <w:szCs w:val="13"/>
                <w:color w:val="auto"/>
              </w:rPr>
              <w:t>128</w:t>
            </w:r>
          </w:p>
        </w:tc>
        <w:tc>
          <w:tcPr>
            <w:tcW w:w="8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134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(207)</w:t>
            </w:r>
          </w:p>
        </w:tc>
      </w:tr>
      <w:tr>
        <w:trPr>
          <w:trHeight w:val="172"/>
        </w:trPr>
        <w:tc>
          <w:tcPr>
            <w:tcW w:w="5820" w:type="dxa"/>
            <w:vAlign w:val="bottom"/>
          </w:tcPr>
          <w:p>
            <w:pPr>
              <w:ind w:left="20"/>
              <w:spacing w:after="0"/>
              <w:rPr>
                <w:sz w:val="20"/>
                <w:szCs w:val="20"/>
                <w:color w:val="auto"/>
              </w:rPr>
            </w:pPr>
            <w:r>
              <w:rPr>
                <w:rFonts w:ascii="Arial" w:cs="Arial" w:eastAsia="Arial" w:hAnsi="Arial"/>
                <w:sz w:val="13"/>
                <w:szCs w:val="13"/>
                <w:color w:val="auto"/>
              </w:rPr>
              <w:t>State income tax expense, net of federal benefit</w:t>
            </w:r>
          </w:p>
        </w:tc>
        <w:tc>
          <w:tcPr>
            <w:tcW w:w="420" w:type="dxa"/>
            <w:vAlign w:val="bottom"/>
          </w:tcPr>
          <w:p>
            <w:pPr>
              <w:spacing w:after="0"/>
              <w:rPr>
                <w:sz w:val="14"/>
                <w:szCs w:val="14"/>
                <w:color w:val="auto"/>
              </w:rPr>
            </w:pPr>
          </w:p>
        </w:tc>
        <w:tc>
          <w:tcPr>
            <w:tcW w:w="1340" w:type="dxa"/>
            <w:vAlign w:val="bottom"/>
          </w:tcPr>
          <w:p>
            <w:pPr>
              <w:jc w:val="right"/>
              <w:ind w:right="94"/>
              <w:spacing w:after="0"/>
              <w:rPr>
                <w:sz w:val="20"/>
                <w:szCs w:val="20"/>
                <w:color w:val="auto"/>
              </w:rPr>
            </w:pPr>
            <w:r>
              <w:rPr>
                <w:rFonts w:ascii="Arial" w:cs="Arial" w:eastAsia="Arial" w:hAnsi="Arial"/>
                <w:sz w:val="13"/>
                <w:szCs w:val="13"/>
                <w:color w:val="auto"/>
              </w:rPr>
              <w:t>2,602</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jc w:val="right"/>
              <w:ind w:right="114"/>
              <w:spacing w:after="0"/>
              <w:rPr>
                <w:sz w:val="20"/>
                <w:szCs w:val="20"/>
                <w:color w:val="auto"/>
              </w:rPr>
            </w:pPr>
            <w:r>
              <w:rPr>
                <w:rFonts w:ascii="Arial" w:cs="Arial" w:eastAsia="Arial" w:hAnsi="Arial"/>
                <w:sz w:val="13"/>
                <w:szCs w:val="13"/>
                <w:color w:val="auto"/>
              </w:rPr>
              <w:t>3,962</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ind w:right="94"/>
              <w:spacing w:after="0"/>
              <w:rPr>
                <w:sz w:val="20"/>
                <w:szCs w:val="20"/>
                <w:color w:val="auto"/>
              </w:rPr>
            </w:pPr>
            <w:r>
              <w:rPr>
                <w:rFonts w:ascii="Arial" w:cs="Arial" w:eastAsia="Arial" w:hAnsi="Arial"/>
                <w:sz w:val="13"/>
                <w:szCs w:val="13"/>
                <w:color w:val="auto"/>
              </w:rPr>
              <w:t>1,829</w:t>
            </w:r>
          </w:p>
        </w:tc>
      </w:tr>
      <w:tr>
        <w:trPr>
          <w:trHeight w:val="178"/>
        </w:trPr>
        <w:tc>
          <w:tcPr>
            <w:tcW w:w="5820" w:type="dxa"/>
            <w:vAlign w:val="bottom"/>
            <w:shd w:val="clear" w:color="auto" w:fill="DBDBDB"/>
          </w:tcPr>
          <w:p>
            <w:pPr>
              <w:ind w:left="20"/>
              <w:spacing w:after="0"/>
              <w:rPr>
                <w:sz w:val="20"/>
                <w:szCs w:val="20"/>
                <w:color w:val="auto"/>
              </w:rPr>
            </w:pPr>
            <w:r>
              <w:rPr>
                <w:rFonts w:ascii="Arial" w:cs="Arial" w:eastAsia="Arial" w:hAnsi="Arial"/>
                <w:sz w:val="13"/>
                <w:szCs w:val="13"/>
                <w:color w:val="auto"/>
              </w:rPr>
              <w:t>Valuation allowances</w:t>
            </w:r>
          </w:p>
        </w:tc>
        <w:tc>
          <w:tcPr>
            <w:tcW w:w="420" w:type="dxa"/>
            <w:vAlign w:val="bottom"/>
            <w:shd w:val="clear" w:color="auto" w:fill="DBDBDB"/>
          </w:tcPr>
          <w:p>
            <w:pPr>
              <w:spacing w:after="0"/>
              <w:rPr>
                <w:sz w:val="15"/>
                <w:szCs w:val="15"/>
                <w:color w:val="auto"/>
              </w:rPr>
            </w:pPr>
          </w:p>
        </w:tc>
        <w:tc>
          <w:tcPr>
            <w:tcW w:w="1340" w:type="dxa"/>
            <w:vAlign w:val="bottom"/>
            <w:shd w:val="clear" w:color="auto" w:fill="DBDBDB"/>
          </w:tcPr>
          <w:p>
            <w:pPr>
              <w:jc w:val="right"/>
              <w:ind w:right="54"/>
              <w:spacing w:after="0"/>
              <w:rPr>
                <w:sz w:val="20"/>
                <w:szCs w:val="20"/>
                <w:color w:val="auto"/>
              </w:rPr>
            </w:pPr>
            <w:r>
              <w:rPr>
                <w:rFonts w:ascii="Arial" w:cs="Arial" w:eastAsia="Arial" w:hAnsi="Arial"/>
                <w:sz w:val="13"/>
                <w:szCs w:val="13"/>
                <w:color w:val="auto"/>
              </w:rPr>
              <w:t>(3,089)</w:t>
            </w:r>
          </w:p>
        </w:tc>
        <w:tc>
          <w:tcPr>
            <w:tcW w:w="10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6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(56,479)</w:t>
            </w:r>
          </w:p>
        </w:tc>
        <w:tc>
          <w:tcPr>
            <w:tcW w:w="8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13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961</w:t>
            </w:r>
          </w:p>
        </w:tc>
      </w:tr>
      <w:tr>
        <w:trPr>
          <w:trHeight w:val="172"/>
        </w:trPr>
        <w:tc>
          <w:tcPr>
            <w:tcW w:w="5820" w:type="dxa"/>
            <w:vAlign w:val="bottom"/>
          </w:tcPr>
          <w:p>
            <w:pPr>
              <w:ind w:left="20"/>
              <w:spacing w:after="0"/>
              <w:rPr>
                <w:sz w:val="20"/>
                <w:szCs w:val="20"/>
                <w:color w:val="auto"/>
              </w:rPr>
            </w:pPr>
            <w:r>
              <w:rPr>
                <w:rFonts w:ascii="Arial" w:cs="Arial" w:eastAsia="Arial" w:hAnsi="Arial"/>
                <w:sz w:val="13"/>
                <w:szCs w:val="13"/>
                <w:color w:val="auto"/>
              </w:rPr>
              <w:t>(Non-taxable) non-deductible items</w:t>
            </w:r>
          </w:p>
        </w:tc>
        <w:tc>
          <w:tcPr>
            <w:tcW w:w="420" w:type="dxa"/>
            <w:vAlign w:val="bottom"/>
          </w:tcPr>
          <w:p>
            <w:pPr>
              <w:spacing w:after="0"/>
              <w:rPr>
                <w:sz w:val="14"/>
                <w:szCs w:val="14"/>
                <w:color w:val="auto"/>
              </w:rPr>
            </w:pPr>
          </w:p>
        </w:tc>
        <w:tc>
          <w:tcPr>
            <w:tcW w:w="1340" w:type="dxa"/>
            <w:vAlign w:val="bottom"/>
          </w:tcPr>
          <w:p>
            <w:pPr>
              <w:jc w:val="right"/>
              <w:ind w:right="54"/>
              <w:spacing w:after="0"/>
              <w:rPr>
                <w:sz w:val="20"/>
                <w:szCs w:val="20"/>
                <w:color w:val="auto"/>
              </w:rPr>
            </w:pPr>
            <w:r>
              <w:rPr>
                <w:rFonts w:ascii="Arial" w:cs="Arial" w:eastAsia="Arial" w:hAnsi="Arial"/>
                <w:sz w:val="13"/>
                <w:szCs w:val="13"/>
                <w:color w:val="auto"/>
              </w:rPr>
              <w:t>(269)</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jc w:val="right"/>
              <w:ind w:right="114"/>
              <w:spacing w:after="0"/>
              <w:rPr>
                <w:sz w:val="20"/>
                <w:szCs w:val="20"/>
                <w:color w:val="auto"/>
              </w:rPr>
            </w:pPr>
            <w:r>
              <w:rPr>
                <w:rFonts w:ascii="Arial" w:cs="Arial" w:eastAsia="Arial" w:hAnsi="Arial"/>
                <w:sz w:val="13"/>
                <w:szCs w:val="13"/>
                <w:color w:val="auto"/>
              </w:rPr>
              <w:t>187</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ind w:right="74"/>
              <w:spacing w:after="0"/>
              <w:rPr>
                <w:sz w:val="20"/>
                <w:szCs w:val="20"/>
                <w:color w:val="auto"/>
              </w:rPr>
            </w:pPr>
            <w:r>
              <w:rPr>
                <w:rFonts w:ascii="Arial" w:cs="Arial" w:eastAsia="Arial" w:hAnsi="Arial"/>
                <w:sz w:val="13"/>
                <w:szCs w:val="13"/>
                <w:color w:val="auto"/>
              </w:rPr>
              <w:t>(233)</w:t>
            </w:r>
          </w:p>
        </w:tc>
      </w:tr>
      <w:tr>
        <w:trPr>
          <w:trHeight w:val="178"/>
        </w:trPr>
        <w:tc>
          <w:tcPr>
            <w:tcW w:w="5820" w:type="dxa"/>
            <w:vAlign w:val="bottom"/>
            <w:shd w:val="clear" w:color="auto" w:fill="DBDBDB"/>
          </w:tcPr>
          <w:p>
            <w:pPr>
              <w:ind w:left="20"/>
              <w:spacing w:after="0"/>
              <w:rPr>
                <w:sz w:val="20"/>
                <w:szCs w:val="20"/>
                <w:color w:val="auto"/>
              </w:rPr>
            </w:pPr>
            <w:r>
              <w:rPr>
                <w:rFonts w:ascii="Arial" w:cs="Arial" w:eastAsia="Arial" w:hAnsi="Arial"/>
                <w:sz w:val="13"/>
                <w:szCs w:val="13"/>
                <w:color w:val="auto"/>
              </w:rPr>
              <w:t>Non-deductible executive compensation</w:t>
            </w:r>
          </w:p>
        </w:tc>
        <w:tc>
          <w:tcPr>
            <w:tcW w:w="420" w:type="dxa"/>
            <w:vAlign w:val="bottom"/>
            <w:shd w:val="clear" w:color="auto" w:fill="DBDBDB"/>
          </w:tcPr>
          <w:p>
            <w:pPr>
              <w:spacing w:after="0"/>
              <w:rPr>
                <w:sz w:val="15"/>
                <w:szCs w:val="15"/>
                <w:color w:val="auto"/>
              </w:rPr>
            </w:pPr>
          </w:p>
        </w:tc>
        <w:tc>
          <w:tcPr>
            <w:tcW w:w="13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2,309</w:t>
            </w:r>
          </w:p>
        </w:tc>
        <w:tc>
          <w:tcPr>
            <w:tcW w:w="10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60" w:type="dxa"/>
            <w:vAlign w:val="bottom"/>
            <w:shd w:val="clear" w:color="auto" w:fill="DBDBDB"/>
          </w:tcPr>
          <w:p>
            <w:pPr>
              <w:jc w:val="right"/>
              <w:ind w:right="114"/>
              <w:spacing w:after="0"/>
              <w:rPr>
                <w:sz w:val="20"/>
                <w:szCs w:val="20"/>
                <w:color w:val="auto"/>
              </w:rPr>
            </w:pPr>
            <w:r>
              <w:rPr>
                <w:rFonts w:ascii="Arial" w:cs="Arial" w:eastAsia="Arial" w:hAnsi="Arial"/>
                <w:sz w:val="13"/>
                <w:szCs w:val="13"/>
                <w:color w:val="auto"/>
              </w:rPr>
              <w:t>1,449</w:t>
            </w:r>
          </w:p>
        </w:tc>
        <w:tc>
          <w:tcPr>
            <w:tcW w:w="8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13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490</w:t>
            </w:r>
          </w:p>
        </w:tc>
      </w:tr>
      <w:tr>
        <w:trPr>
          <w:trHeight w:val="172"/>
        </w:trPr>
        <w:tc>
          <w:tcPr>
            <w:tcW w:w="5820" w:type="dxa"/>
            <w:vAlign w:val="bottom"/>
          </w:tcPr>
          <w:p>
            <w:pPr>
              <w:ind w:left="20"/>
              <w:spacing w:after="0"/>
              <w:rPr>
                <w:sz w:val="20"/>
                <w:szCs w:val="20"/>
                <w:color w:val="auto"/>
              </w:rPr>
            </w:pPr>
            <w:r>
              <w:rPr>
                <w:rFonts w:ascii="Arial" w:cs="Arial" w:eastAsia="Arial" w:hAnsi="Arial"/>
                <w:sz w:val="13"/>
                <w:szCs w:val="13"/>
                <w:color w:val="auto"/>
              </w:rPr>
              <w:t>Non-deductible transaction costs</w:t>
            </w:r>
          </w:p>
        </w:tc>
        <w:tc>
          <w:tcPr>
            <w:tcW w:w="420" w:type="dxa"/>
            <w:vAlign w:val="bottom"/>
          </w:tcPr>
          <w:p>
            <w:pPr>
              <w:spacing w:after="0"/>
              <w:rPr>
                <w:sz w:val="14"/>
                <w:szCs w:val="14"/>
                <w:color w:val="auto"/>
              </w:rPr>
            </w:pPr>
          </w:p>
        </w:tc>
        <w:tc>
          <w:tcPr>
            <w:tcW w:w="1340" w:type="dxa"/>
            <w:vAlign w:val="bottom"/>
          </w:tcPr>
          <w:p>
            <w:pPr>
              <w:jc w:val="right"/>
              <w:ind w:right="94"/>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jc w:val="right"/>
              <w:ind w:right="114"/>
              <w:spacing w:after="0"/>
              <w:rPr>
                <w:sz w:val="20"/>
                <w:szCs w:val="20"/>
                <w:color w:val="auto"/>
              </w:rPr>
            </w:pPr>
            <w:r>
              <w:rPr>
                <w:rFonts w:ascii="Arial" w:cs="Arial" w:eastAsia="Arial" w:hAnsi="Arial"/>
                <w:sz w:val="13"/>
                <w:szCs w:val="13"/>
                <w:color w:val="auto"/>
              </w:rPr>
              <w:t>4,425</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ind w:right="74"/>
              <w:spacing w:after="0"/>
              <w:rPr>
                <w:sz w:val="20"/>
                <w:szCs w:val="20"/>
                <w:color w:val="auto"/>
              </w:rPr>
            </w:pPr>
            <w:r>
              <w:rPr>
                <w:rFonts w:ascii="Arial" w:cs="Arial" w:eastAsia="Arial" w:hAnsi="Arial"/>
                <w:sz w:val="13"/>
                <w:szCs w:val="13"/>
                <w:color w:val="auto"/>
              </w:rPr>
              <w:t>(12)</w:t>
            </w:r>
          </w:p>
        </w:tc>
      </w:tr>
      <w:tr>
        <w:trPr>
          <w:trHeight w:val="178"/>
        </w:trPr>
        <w:tc>
          <w:tcPr>
            <w:tcW w:w="5820" w:type="dxa"/>
            <w:vAlign w:val="bottom"/>
            <w:shd w:val="clear" w:color="auto" w:fill="DBDBDB"/>
          </w:tcPr>
          <w:p>
            <w:pPr>
              <w:ind w:left="20"/>
              <w:spacing w:after="0"/>
              <w:rPr>
                <w:sz w:val="20"/>
                <w:szCs w:val="20"/>
                <w:color w:val="auto"/>
              </w:rPr>
            </w:pPr>
            <w:r>
              <w:rPr>
                <w:rFonts w:ascii="Arial" w:cs="Arial" w:eastAsia="Arial" w:hAnsi="Arial"/>
                <w:sz w:val="13"/>
                <w:szCs w:val="13"/>
                <w:color w:val="auto"/>
              </w:rPr>
              <w:t>Non-deductible (non-taxable) remeasurement of common stock warrant liabilities</w:t>
            </w:r>
          </w:p>
        </w:tc>
        <w:tc>
          <w:tcPr>
            <w:tcW w:w="420" w:type="dxa"/>
            <w:vAlign w:val="bottom"/>
            <w:shd w:val="clear" w:color="auto" w:fill="DBDBDB"/>
          </w:tcPr>
          <w:p>
            <w:pPr>
              <w:spacing w:after="0"/>
              <w:rPr>
                <w:sz w:val="15"/>
                <w:szCs w:val="15"/>
                <w:color w:val="auto"/>
              </w:rPr>
            </w:pPr>
          </w:p>
        </w:tc>
        <w:tc>
          <w:tcPr>
            <w:tcW w:w="13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5,585</w:t>
            </w:r>
          </w:p>
        </w:tc>
        <w:tc>
          <w:tcPr>
            <w:tcW w:w="10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6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(727)</w:t>
            </w:r>
          </w:p>
        </w:tc>
        <w:tc>
          <w:tcPr>
            <w:tcW w:w="8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13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23,021</w:t>
            </w:r>
          </w:p>
        </w:tc>
      </w:tr>
      <w:tr>
        <w:trPr>
          <w:trHeight w:val="172"/>
        </w:trPr>
        <w:tc>
          <w:tcPr>
            <w:tcW w:w="5820" w:type="dxa"/>
            <w:vAlign w:val="bottom"/>
          </w:tcPr>
          <w:p>
            <w:pPr>
              <w:ind w:left="20"/>
              <w:spacing w:after="0"/>
              <w:rPr>
                <w:sz w:val="20"/>
                <w:szCs w:val="20"/>
                <w:color w:val="auto"/>
              </w:rPr>
            </w:pPr>
            <w:r>
              <w:rPr>
                <w:rFonts w:ascii="Arial" w:cs="Arial" w:eastAsia="Arial" w:hAnsi="Arial"/>
                <w:sz w:val="13"/>
                <w:szCs w:val="13"/>
                <w:color w:val="auto"/>
              </w:rPr>
              <w:t>Uncertain tax positions</w:t>
            </w:r>
          </w:p>
        </w:tc>
        <w:tc>
          <w:tcPr>
            <w:tcW w:w="420" w:type="dxa"/>
            <w:vAlign w:val="bottom"/>
          </w:tcPr>
          <w:p>
            <w:pPr>
              <w:spacing w:after="0"/>
              <w:rPr>
                <w:sz w:val="14"/>
                <w:szCs w:val="14"/>
                <w:color w:val="auto"/>
              </w:rPr>
            </w:pPr>
          </w:p>
        </w:tc>
        <w:tc>
          <w:tcPr>
            <w:tcW w:w="1340" w:type="dxa"/>
            <w:vAlign w:val="bottom"/>
          </w:tcPr>
          <w:p>
            <w:pPr>
              <w:jc w:val="right"/>
              <w:ind w:right="54"/>
              <w:spacing w:after="0"/>
              <w:rPr>
                <w:sz w:val="20"/>
                <w:szCs w:val="20"/>
                <w:color w:val="auto"/>
              </w:rPr>
            </w:pPr>
            <w:r>
              <w:rPr>
                <w:rFonts w:ascii="Arial" w:cs="Arial" w:eastAsia="Arial" w:hAnsi="Arial"/>
                <w:sz w:val="13"/>
                <w:szCs w:val="13"/>
                <w:color w:val="auto"/>
              </w:rPr>
              <w:t>(11,748)</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jc w:val="right"/>
              <w:ind w:right="74"/>
              <w:spacing w:after="0"/>
              <w:rPr>
                <w:sz w:val="20"/>
                <w:szCs w:val="20"/>
                <w:color w:val="auto"/>
              </w:rPr>
            </w:pPr>
            <w:r>
              <w:rPr>
                <w:rFonts w:ascii="Arial" w:cs="Arial" w:eastAsia="Arial" w:hAnsi="Arial"/>
                <w:sz w:val="13"/>
                <w:szCs w:val="13"/>
                <w:color w:val="auto"/>
              </w:rPr>
              <w:t>(11,166)</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ind w:right="94"/>
              <w:spacing w:after="0"/>
              <w:rPr>
                <w:sz w:val="20"/>
                <w:szCs w:val="20"/>
                <w:color w:val="auto"/>
              </w:rPr>
            </w:pPr>
            <w:r>
              <w:rPr>
                <w:rFonts w:ascii="Arial" w:cs="Arial" w:eastAsia="Arial" w:hAnsi="Arial"/>
                <w:sz w:val="13"/>
                <w:szCs w:val="13"/>
                <w:color w:val="auto"/>
              </w:rPr>
              <w:t>—</w:t>
            </w:r>
          </w:p>
        </w:tc>
      </w:tr>
      <w:tr>
        <w:trPr>
          <w:trHeight w:val="178"/>
        </w:trPr>
        <w:tc>
          <w:tcPr>
            <w:tcW w:w="5820" w:type="dxa"/>
            <w:vAlign w:val="bottom"/>
            <w:shd w:val="clear" w:color="auto" w:fill="DBDBDB"/>
          </w:tcPr>
          <w:p>
            <w:pPr>
              <w:ind w:left="20"/>
              <w:spacing w:after="0"/>
              <w:rPr>
                <w:sz w:val="20"/>
                <w:szCs w:val="20"/>
                <w:color w:val="auto"/>
              </w:rPr>
            </w:pPr>
            <w:r>
              <w:rPr>
                <w:rFonts w:ascii="Arial" w:cs="Arial" w:eastAsia="Arial" w:hAnsi="Arial"/>
                <w:sz w:val="13"/>
                <w:szCs w:val="13"/>
                <w:color w:val="auto"/>
              </w:rPr>
              <w:t>Tax law changes (excluding valuation allowance) (a)</w:t>
            </w:r>
          </w:p>
        </w:tc>
        <w:tc>
          <w:tcPr>
            <w:tcW w:w="420" w:type="dxa"/>
            <w:vAlign w:val="bottom"/>
            <w:shd w:val="clear" w:color="auto" w:fill="DBDBDB"/>
          </w:tcPr>
          <w:p>
            <w:pPr>
              <w:spacing w:after="0"/>
              <w:rPr>
                <w:sz w:val="15"/>
                <w:szCs w:val="15"/>
                <w:color w:val="auto"/>
              </w:rPr>
            </w:pPr>
          </w:p>
        </w:tc>
        <w:tc>
          <w:tcPr>
            <w:tcW w:w="13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8,410</w:t>
            </w:r>
          </w:p>
        </w:tc>
        <w:tc>
          <w:tcPr>
            <w:tcW w:w="10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60" w:type="dxa"/>
            <w:vAlign w:val="bottom"/>
            <w:shd w:val="clear" w:color="auto" w:fill="DBDBDB"/>
          </w:tcPr>
          <w:p>
            <w:pPr>
              <w:jc w:val="right"/>
              <w:ind w:right="114"/>
              <w:spacing w:after="0"/>
              <w:rPr>
                <w:sz w:val="20"/>
                <w:szCs w:val="20"/>
                <w:color w:val="auto"/>
              </w:rPr>
            </w:pPr>
            <w:r>
              <w:rPr>
                <w:rFonts w:ascii="Arial" w:cs="Arial" w:eastAsia="Arial" w:hAnsi="Arial"/>
                <w:sz w:val="13"/>
                <w:szCs w:val="13"/>
                <w:color w:val="auto"/>
              </w:rPr>
              <w:t>2,523</w:t>
            </w:r>
          </w:p>
        </w:tc>
        <w:tc>
          <w:tcPr>
            <w:tcW w:w="8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134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(2,785)</w:t>
            </w:r>
          </w:p>
        </w:tc>
      </w:tr>
      <w:tr>
        <w:trPr>
          <w:trHeight w:val="172"/>
        </w:trPr>
        <w:tc>
          <w:tcPr>
            <w:tcW w:w="582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Other</w:t>
            </w: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rPr>
              <w:t>1,638</w:t>
            </w:r>
          </w:p>
        </w:tc>
        <w:tc>
          <w:tcPr>
            <w:tcW w:w="100" w:type="dxa"/>
            <w:vAlign w:val="bottom"/>
            <w:tcBorders>
              <w:bottom w:val="single" w:sz="8" w:color="DBDBDB"/>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(770)</w:t>
            </w:r>
          </w:p>
        </w:tc>
        <w:tc>
          <w:tcPr>
            <w:tcW w:w="80" w:type="dxa"/>
            <w:vAlign w:val="bottom"/>
            <w:tcBorders>
              <w:bottom w:val="single" w:sz="8" w:color="DBDBDB"/>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rPr>
              <w:t>650</w:t>
            </w:r>
          </w:p>
        </w:tc>
      </w:tr>
      <w:tr>
        <w:trPr>
          <w:trHeight w:val="194"/>
        </w:trPr>
        <w:tc>
          <w:tcPr>
            <w:tcW w:w="5820" w:type="dxa"/>
            <w:vAlign w:val="bottom"/>
            <w:tcBorders>
              <w:bottom w:val="single" w:sz="8" w:color="DBDBDB"/>
            </w:tcBorders>
            <w:shd w:val="clear" w:color="auto" w:fill="DBDBDB"/>
          </w:tcPr>
          <w:p>
            <w:pPr>
              <w:ind w:left="200"/>
              <w:spacing w:after="0"/>
              <w:rPr>
                <w:sz w:val="20"/>
                <w:szCs w:val="20"/>
                <w:color w:val="auto"/>
              </w:rPr>
            </w:pPr>
            <w:r>
              <w:rPr>
                <w:rFonts w:ascii="Arial" w:cs="Arial" w:eastAsia="Arial" w:hAnsi="Arial"/>
                <w:sz w:val="13"/>
                <w:szCs w:val="13"/>
                <w:color w:val="auto"/>
              </w:rPr>
              <w:t>Reported income tax expense (benefit)</w:t>
            </w:r>
          </w:p>
        </w:tc>
        <w:tc>
          <w:tcPr>
            <w:tcW w:w="420" w:type="dxa"/>
            <w:vAlign w:val="bottom"/>
            <w:tcBorders>
              <w:bottom w:val="single" w:sz="8" w:color="auto"/>
            </w:tcBorders>
            <w:shd w:val="clear" w:color="auto" w:fill="DBDBDB"/>
          </w:tcPr>
          <w:p>
            <w:pPr>
              <w:jc w:val="right"/>
              <w:ind w:right="254"/>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auto"/>
            </w:tcBorders>
            <w:shd w:val="clear" w:color="auto" w:fill="DBDBDB"/>
          </w:tcPr>
          <w:p>
            <w:pPr>
              <w:jc w:val="right"/>
              <w:ind w:right="94"/>
              <w:spacing w:after="0"/>
              <w:rPr>
                <w:sz w:val="20"/>
                <w:szCs w:val="20"/>
                <w:color w:val="auto"/>
              </w:rPr>
            </w:pPr>
            <w:r>
              <w:rPr>
                <w:rFonts w:ascii="Arial" w:cs="Arial" w:eastAsia="Arial" w:hAnsi="Arial"/>
                <w:sz w:val="13"/>
                <w:szCs w:val="13"/>
                <w:color w:val="auto"/>
              </w:rPr>
              <w:t>49,546</w:t>
            </w:r>
          </w:p>
        </w:tc>
        <w:tc>
          <w:tcPr>
            <w:tcW w:w="100" w:type="dxa"/>
            <w:vAlign w:val="bottom"/>
            <w:tcBorders>
              <w:bottom w:val="single" w:sz="8" w:color="DBDBDB"/>
            </w:tcBorders>
            <w:shd w:val="clear" w:color="auto" w:fill="DBDBDB"/>
          </w:tcPr>
          <w:p>
            <w:pPr>
              <w:spacing w:after="0"/>
              <w:rPr>
                <w:sz w:val="16"/>
                <w:szCs w:val="16"/>
                <w:color w:val="auto"/>
              </w:rPr>
            </w:pPr>
          </w:p>
        </w:tc>
        <w:tc>
          <w:tcPr>
            <w:tcW w:w="400" w:type="dxa"/>
            <w:vAlign w:val="bottom"/>
            <w:tcBorders>
              <w:bottom w:val="single" w:sz="8" w:color="auto"/>
            </w:tcBorders>
            <w:shd w:val="clear" w:color="auto" w:fill="DBDBDB"/>
          </w:tcPr>
          <w:p>
            <w:pPr>
              <w:jc w:val="right"/>
              <w:ind w:right="254"/>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shd w:val="clear" w:color="auto" w:fill="DBDBDB"/>
          </w:tcPr>
          <w:p>
            <w:pPr>
              <w:jc w:val="right"/>
              <w:ind w:right="74"/>
              <w:spacing w:after="0"/>
              <w:rPr>
                <w:sz w:val="20"/>
                <w:szCs w:val="20"/>
                <w:color w:val="auto"/>
              </w:rPr>
            </w:pPr>
            <w:r>
              <w:rPr>
                <w:rFonts w:ascii="Arial" w:cs="Arial" w:eastAsia="Arial" w:hAnsi="Arial"/>
                <w:sz w:val="13"/>
                <w:szCs w:val="13"/>
                <w:color w:val="auto"/>
              </w:rPr>
              <w:t>(51,451)</w:t>
            </w:r>
          </w:p>
        </w:tc>
        <w:tc>
          <w:tcPr>
            <w:tcW w:w="80" w:type="dxa"/>
            <w:vAlign w:val="bottom"/>
            <w:tcBorders>
              <w:bottom w:val="single" w:sz="8" w:color="DBDBDB"/>
            </w:tcBorders>
            <w:shd w:val="clear" w:color="auto" w:fill="DBDBDB"/>
          </w:tcPr>
          <w:p>
            <w:pPr>
              <w:spacing w:after="0"/>
              <w:rPr>
                <w:sz w:val="16"/>
                <w:szCs w:val="16"/>
                <w:color w:val="auto"/>
              </w:rPr>
            </w:pPr>
          </w:p>
        </w:tc>
        <w:tc>
          <w:tcPr>
            <w:tcW w:w="420" w:type="dxa"/>
            <w:vAlign w:val="bottom"/>
            <w:tcBorders>
              <w:bottom w:val="single" w:sz="8" w:color="auto"/>
            </w:tcBorders>
            <w:shd w:val="clear" w:color="auto" w:fill="DBDBDB"/>
          </w:tcPr>
          <w:p>
            <w:pPr>
              <w:jc w:val="right"/>
              <w:ind w:right="274"/>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shd w:val="clear" w:color="auto" w:fill="DBDBDB"/>
          </w:tcPr>
          <w:p>
            <w:pPr>
              <w:jc w:val="right"/>
              <w:ind w:right="74"/>
              <w:spacing w:after="0"/>
              <w:rPr>
                <w:sz w:val="20"/>
                <w:szCs w:val="20"/>
                <w:color w:val="auto"/>
              </w:rPr>
            </w:pPr>
            <w:r>
              <w:rPr>
                <w:rFonts w:ascii="Arial" w:cs="Arial" w:eastAsia="Arial" w:hAnsi="Arial"/>
                <w:sz w:val="13"/>
                <w:szCs w:val="13"/>
                <w:color w:val="auto"/>
              </w:rPr>
              <w:t>(2,191)</w:t>
            </w:r>
          </w:p>
        </w:tc>
      </w:tr>
      <w:tr>
        <w:trPr>
          <w:trHeight w:val="20"/>
        </w:trPr>
        <w:tc>
          <w:tcPr>
            <w:tcW w:w="582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r>
      <w:tr>
        <w:trPr>
          <w:trHeight w:val="133"/>
        </w:trPr>
        <w:tc>
          <w:tcPr>
            <w:tcW w:w="5820" w:type="dxa"/>
            <w:vAlign w:val="bottom"/>
          </w:tcPr>
          <w:p>
            <w:pPr>
              <w:ind w:left="20"/>
              <w:spacing w:after="0" w:line="133" w:lineRule="exact"/>
              <w:rPr>
                <w:sz w:val="20"/>
                <w:szCs w:val="20"/>
                <w:color w:val="auto"/>
              </w:rPr>
            </w:pPr>
            <w:r>
              <w:rPr>
                <w:rFonts w:ascii="Arial" w:cs="Arial" w:eastAsia="Arial" w:hAnsi="Arial"/>
                <w:sz w:val="13"/>
                <w:szCs w:val="13"/>
                <w:color w:val="auto"/>
              </w:rPr>
              <w:t>Effective income tax rate</w:t>
            </w:r>
          </w:p>
        </w:tc>
        <w:tc>
          <w:tcPr>
            <w:tcW w:w="420" w:type="dxa"/>
            <w:vAlign w:val="bottom"/>
          </w:tcPr>
          <w:p>
            <w:pPr>
              <w:spacing w:after="0"/>
              <w:rPr>
                <w:sz w:val="11"/>
                <w:szCs w:val="11"/>
                <w:color w:val="auto"/>
              </w:rPr>
            </w:pPr>
          </w:p>
        </w:tc>
        <w:tc>
          <w:tcPr>
            <w:tcW w:w="1340" w:type="dxa"/>
            <w:vAlign w:val="bottom"/>
          </w:tcPr>
          <w:p>
            <w:pPr>
              <w:jc w:val="right"/>
              <w:spacing w:after="0" w:line="133" w:lineRule="exact"/>
              <w:rPr>
                <w:sz w:val="20"/>
                <w:szCs w:val="20"/>
                <w:color w:val="auto"/>
              </w:rPr>
            </w:pPr>
            <w:r>
              <w:rPr>
                <w:rFonts w:ascii="Arial" w:cs="Arial" w:eastAsia="Arial" w:hAnsi="Arial"/>
                <w:sz w:val="13"/>
                <w:szCs w:val="13"/>
                <w:color w:val="auto"/>
              </w:rPr>
              <w:t>23.63 %</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60" w:type="dxa"/>
            <w:vAlign w:val="bottom"/>
          </w:tcPr>
          <w:p>
            <w:pPr>
              <w:jc w:val="right"/>
              <w:spacing w:after="0" w:line="133" w:lineRule="exact"/>
              <w:rPr>
                <w:sz w:val="20"/>
                <w:szCs w:val="20"/>
                <w:color w:val="auto"/>
              </w:rPr>
            </w:pPr>
            <w:r>
              <w:rPr>
                <w:rFonts w:ascii="Arial" w:cs="Arial" w:eastAsia="Arial" w:hAnsi="Arial"/>
                <w:sz w:val="13"/>
                <w:szCs w:val="13"/>
                <w:color w:val="auto"/>
              </w:rPr>
              <w:t>(215.38)%</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jc w:val="right"/>
              <w:spacing w:after="0" w:line="133" w:lineRule="exact"/>
              <w:rPr>
                <w:sz w:val="20"/>
                <w:szCs w:val="20"/>
                <w:color w:val="auto"/>
              </w:rPr>
            </w:pPr>
            <w:r>
              <w:rPr>
                <w:rFonts w:ascii="Arial" w:cs="Arial" w:eastAsia="Arial" w:hAnsi="Arial"/>
                <w:sz w:val="13"/>
                <w:szCs w:val="13"/>
                <w:color w:val="auto"/>
              </w:rPr>
              <w:t>1.78 %</w:t>
            </w:r>
          </w:p>
        </w:tc>
      </w:tr>
    </w:tbl>
    <w:p>
      <w:pPr>
        <w:spacing w:after="0" w:line="162" w:lineRule="exact"/>
        <w:rPr>
          <w:sz w:val="20"/>
          <w:szCs w:val="20"/>
          <w:color w:val="auto"/>
        </w:rPr>
      </w:pPr>
    </w:p>
    <w:p>
      <w:pPr>
        <w:ind w:left="420" w:hanging="398"/>
        <w:spacing w:after="0"/>
        <w:tabs>
          <w:tab w:leader="none" w:pos="4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Tax law changes primarily represents changes in tax law in foreign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02" w:name="page103"/>
    <w:bookmarkEnd w:id="102"/>
    <w:p>
      <w:pPr>
        <w:spacing w:after="0"/>
        <w:rPr>
          <w:sz w:val="20"/>
          <w:szCs w:val="20"/>
          <w:color w:val="auto"/>
        </w:rPr>
      </w:pPr>
      <w:r>
        <w:rPr>
          <w:rFonts w:ascii="Arial" w:cs="Arial" w:eastAsia="Arial" w:hAnsi="Arial"/>
          <w:sz w:val="15"/>
          <w:szCs w:val="15"/>
          <w:b w:val="1"/>
          <w:bCs w:val="1"/>
          <w:color w:val="auto"/>
        </w:rPr>
        <w:t>Deferred Income Taxes</w:t>
      </w:r>
    </w:p>
    <w:p>
      <w:pPr>
        <w:spacing w:after="0" w:line="66"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Deferred income taxes reflect the net tax effects of temporary differences between the carrying amounts of assets and liabilities and their tax bases, as well as from net operating loss and carryforwards. Significant components of the Company’s deferred tax assets and liabilities are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80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400" w:type="dxa"/>
            <w:vAlign w:val="bottom"/>
            <w:shd w:val="clear" w:color="auto" w:fill="1D2758"/>
          </w:tcPr>
          <w:p>
            <w:pPr>
              <w:spacing w:after="0"/>
              <w:rPr>
                <w:sz w:val="15"/>
                <w:szCs w:val="15"/>
                <w:color w:val="auto"/>
              </w:rPr>
            </w:pPr>
          </w:p>
        </w:tc>
        <w:tc>
          <w:tcPr>
            <w:tcW w:w="1300" w:type="dxa"/>
            <w:vAlign w:val="bottom"/>
            <w:shd w:val="clear" w:color="auto" w:fill="1D2758"/>
          </w:tcPr>
          <w:p>
            <w:pPr>
              <w:jc w:val="right"/>
              <w:ind w:right="634"/>
              <w:spacing w:after="0"/>
              <w:rPr>
                <w:sz w:val="20"/>
                <w:szCs w:val="20"/>
                <w:color w:val="auto"/>
              </w:rPr>
            </w:pPr>
            <w:r>
              <w:rPr>
                <w:rFonts w:ascii="Arial" w:cs="Arial" w:eastAsia="Arial" w:hAnsi="Arial"/>
                <w:sz w:val="13"/>
                <w:szCs w:val="13"/>
                <w:b w:val="1"/>
                <w:bCs w:val="1"/>
                <w:color w:val="FFFFFF"/>
              </w:rPr>
              <w:t>2021</w:t>
            </w:r>
          </w:p>
        </w:tc>
        <w:tc>
          <w:tcPr>
            <w:tcW w:w="80" w:type="dxa"/>
            <w:vAlign w:val="bottom"/>
            <w:shd w:val="clear" w:color="auto" w:fill="1D2758"/>
          </w:tcPr>
          <w:p>
            <w:pPr>
              <w:spacing w:after="0"/>
              <w:rPr>
                <w:sz w:val="15"/>
                <w:szCs w:val="15"/>
                <w:color w:val="auto"/>
              </w:rPr>
            </w:pPr>
          </w:p>
        </w:tc>
        <w:tc>
          <w:tcPr>
            <w:tcW w:w="400" w:type="dxa"/>
            <w:vAlign w:val="bottom"/>
            <w:shd w:val="clear" w:color="auto" w:fill="1D2758"/>
          </w:tcPr>
          <w:p>
            <w:pPr>
              <w:spacing w:after="0"/>
              <w:rPr>
                <w:sz w:val="15"/>
                <w:szCs w:val="15"/>
                <w:color w:val="auto"/>
              </w:rPr>
            </w:pPr>
          </w:p>
        </w:tc>
        <w:tc>
          <w:tcPr>
            <w:tcW w:w="1300" w:type="dxa"/>
            <w:vAlign w:val="bottom"/>
            <w:shd w:val="clear" w:color="auto" w:fill="1D2758"/>
          </w:tcPr>
          <w:p>
            <w:pPr>
              <w:jc w:val="right"/>
              <w:ind w:right="634"/>
              <w:spacing w:after="0"/>
              <w:rPr>
                <w:sz w:val="20"/>
                <w:szCs w:val="20"/>
                <w:color w:val="auto"/>
              </w:rPr>
            </w:pPr>
            <w:r>
              <w:rPr>
                <w:rFonts w:ascii="Arial" w:cs="Arial" w:eastAsia="Arial" w:hAnsi="Arial"/>
                <w:sz w:val="13"/>
                <w:szCs w:val="13"/>
                <w:b w:val="1"/>
                <w:bCs w:val="1"/>
                <w:color w:val="FFFFFF"/>
              </w:rPr>
              <w:t>2020</w:t>
            </w:r>
          </w:p>
        </w:tc>
      </w:tr>
      <w:tr>
        <w:trPr>
          <w:trHeight w:val="175"/>
        </w:trPr>
        <w:tc>
          <w:tcPr>
            <w:tcW w:w="7800" w:type="dxa"/>
            <w:vAlign w:val="bottom"/>
            <w:shd w:val="clear" w:color="auto" w:fill="DBDBDB"/>
          </w:tcPr>
          <w:p>
            <w:pPr>
              <w:ind w:left="20"/>
              <w:spacing w:after="0"/>
              <w:rPr>
                <w:sz w:val="20"/>
                <w:szCs w:val="20"/>
                <w:color w:val="auto"/>
              </w:rPr>
            </w:pPr>
            <w:r>
              <w:rPr>
                <w:rFonts w:ascii="Arial" w:cs="Arial" w:eastAsia="Arial" w:hAnsi="Arial"/>
                <w:sz w:val="13"/>
                <w:szCs w:val="13"/>
                <w:color w:val="auto"/>
              </w:rPr>
              <w:t>Deferred tax assets</w:t>
            </w: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r>
      <w:tr>
        <w:trPr>
          <w:trHeight w:val="172"/>
        </w:trPr>
        <w:tc>
          <w:tcPr>
            <w:tcW w:w="7800" w:type="dxa"/>
            <w:vAlign w:val="bottom"/>
          </w:tcPr>
          <w:p>
            <w:pPr>
              <w:ind w:left="20"/>
              <w:spacing w:after="0"/>
              <w:rPr>
                <w:sz w:val="20"/>
                <w:szCs w:val="20"/>
                <w:color w:val="auto"/>
              </w:rPr>
            </w:pPr>
            <w:r>
              <w:rPr>
                <w:rFonts w:ascii="Arial" w:cs="Arial" w:eastAsia="Arial" w:hAnsi="Arial"/>
                <w:sz w:val="13"/>
                <w:szCs w:val="13"/>
                <w:color w:val="auto"/>
              </w:rPr>
              <w:t>Deferred interest expense</w:t>
            </w:r>
          </w:p>
        </w:tc>
        <w:tc>
          <w:tcPr>
            <w:tcW w:w="400" w:type="dxa"/>
            <w:vAlign w:val="bottom"/>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116,339</w:t>
            </w:r>
          </w:p>
        </w:tc>
        <w:tc>
          <w:tcPr>
            <w:tcW w:w="80" w:type="dxa"/>
            <w:vAlign w:val="bottom"/>
          </w:tcPr>
          <w:p>
            <w:pPr>
              <w:spacing w:after="0"/>
              <w:rPr>
                <w:sz w:val="14"/>
                <w:szCs w:val="14"/>
                <w:color w:val="auto"/>
              </w:rPr>
            </w:pPr>
          </w:p>
        </w:tc>
        <w:tc>
          <w:tcPr>
            <w:tcW w:w="400" w:type="dxa"/>
            <w:vAlign w:val="bottom"/>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128,346</w:t>
            </w:r>
          </w:p>
        </w:tc>
      </w:tr>
      <w:tr>
        <w:trPr>
          <w:trHeight w:val="178"/>
        </w:trPr>
        <w:tc>
          <w:tcPr>
            <w:tcW w:w="7800" w:type="dxa"/>
            <w:vAlign w:val="bottom"/>
            <w:shd w:val="clear" w:color="auto" w:fill="DBDBDB"/>
          </w:tcPr>
          <w:p>
            <w:pPr>
              <w:ind w:left="20"/>
              <w:spacing w:after="0"/>
              <w:rPr>
                <w:sz w:val="20"/>
                <w:szCs w:val="20"/>
                <w:color w:val="auto"/>
              </w:rPr>
            </w:pPr>
            <w:r>
              <w:rPr>
                <w:rFonts w:ascii="Arial" w:cs="Arial" w:eastAsia="Arial" w:hAnsi="Arial"/>
                <w:sz w:val="13"/>
                <w:szCs w:val="13"/>
                <w:color w:val="auto"/>
              </w:rPr>
              <w:t>Employee benefit plans</w:t>
            </w: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4,167</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3,532</w:t>
            </w:r>
          </w:p>
        </w:tc>
      </w:tr>
      <w:tr>
        <w:trPr>
          <w:trHeight w:val="172"/>
        </w:trPr>
        <w:tc>
          <w:tcPr>
            <w:tcW w:w="7800" w:type="dxa"/>
            <w:vAlign w:val="bottom"/>
          </w:tcPr>
          <w:p>
            <w:pPr>
              <w:ind w:left="20"/>
              <w:spacing w:after="0"/>
              <w:rPr>
                <w:sz w:val="20"/>
                <w:szCs w:val="20"/>
                <w:color w:val="auto"/>
              </w:rPr>
            </w:pPr>
            <w:r>
              <w:rPr>
                <w:rFonts w:ascii="Arial" w:cs="Arial" w:eastAsia="Arial" w:hAnsi="Arial"/>
                <w:sz w:val="13"/>
                <w:szCs w:val="13"/>
                <w:color w:val="auto"/>
              </w:rPr>
              <w:t>Accrued liabilities</w:t>
            </w: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9,362</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10,692</w:t>
            </w:r>
          </w:p>
        </w:tc>
      </w:tr>
      <w:tr>
        <w:trPr>
          <w:trHeight w:val="178"/>
        </w:trPr>
        <w:tc>
          <w:tcPr>
            <w:tcW w:w="7800" w:type="dxa"/>
            <w:vAlign w:val="bottom"/>
            <w:shd w:val="clear" w:color="auto" w:fill="DBDBDB"/>
          </w:tcPr>
          <w:p>
            <w:pPr>
              <w:ind w:left="20"/>
              <w:spacing w:after="0"/>
              <w:rPr>
                <w:sz w:val="20"/>
                <w:szCs w:val="20"/>
                <w:color w:val="auto"/>
              </w:rPr>
            </w:pPr>
            <w:r>
              <w:rPr>
                <w:rFonts w:ascii="Arial" w:cs="Arial" w:eastAsia="Arial" w:hAnsi="Arial"/>
                <w:sz w:val="13"/>
                <w:szCs w:val="13"/>
                <w:color w:val="auto"/>
              </w:rPr>
              <w:t>Deferred revenue</w:t>
            </w: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37,852</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32,412</w:t>
            </w:r>
          </w:p>
        </w:tc>
      </w:tr>
      <w:tr>
        <w:trPr>
          <w:trHeight w:val="172"/>
        </w:trPr>
        <w:tc>
          <w:tcPr>
            <w:tcW w:w="7800" w:type="dxa"/>
            <w:vAlign w:val="bottom"/>
          </w:tcPr>
          <w:p>
            <w:pPr>
              <w:ind w:left="20"/>
              <w:spacing w:after="0"/>
              <w:rPr>
                <w:sz w:val="20"/>
                <w:szCs w:val="20"/>
                <w:color w:val="auto"/>
              </w:rPr>
            </w:pPr>
            <w:r>
              <w:rPr>
                <w:rFonts w:ascii="Arial" w:cs="Arial" w:eastAsia="Arial" w:hAnsi="Arial"/>
                <w:sz w:val="13"/>
                <w:szCs w:val="13"/>
                <w:color w:val="auto"/>
              </w:rPr>
              <w:t>Operating lease liability</w:t>
            </w: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62,502</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58,044</w:t>
            </w:r>
          </w:p>
        </w:tc>
      </w:tr>
      <w:tr>
        <w:trPr>
          <w:trHeight w:val="178"/>
        </w:trPr>
        <w:tc>
          <w:tcPr>
            <w:tcW w:w="7800" w:type="dxa"/>
            <w:vAlign w:val="bottom"/>
            <w:shd w:val="clear" w:color="auto" w:fill="DBDBDB"/>
          </w:tcPr>
          <w:p>
            <w:pPr>
              <w:ind w:left="20"/>
              <w:spacing w:after="0"/>
              <w:rPr>
                <w:sz w:val="20"/>
                <w:szCs w:val="20"/>
                <w:color w:val="auto"/>
              </w:rPr>
            </w:pPr>
            <w:r>
              <w:rPr>
                <w:rFonts w:ascii="Arial" w:cs="Arial" w:eastAsia="Arial" w:hAnsi="Arial"/>
                <w:sz w:val="13"/>
                <w:szCs w:val="13"/>
                <w:color w:val="auto"/>
              </w:rPr>
              <w:t>Other</w:t>
            </w: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18,315</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13,628</w:t>
            </w:r>
          </w:p>
        </w:tc>
      </w:tr>
      <w:tr>
        <w:trPr>
          <w:trHeight w:val="172"/>
        </w:trPr>
        <w:tc>
          <w:tcPr>
            <w:tcW w:w="780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Tax loss carryforwards</w:t>
            </w: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286,470</w:t>
            </w:r>
          </w:p>
        </w:tc>
        <w:tc>
          <w:tcPr>
            <w:tcW w:w="80" w:type="dxa"/>
            <w:vAlign w:val="bottom"/>
            <w:tcBorders>
              <w:bottom w:val="single" w:sz="8" w:color="DBDBDB"/>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295,326</w:t>
            </w:r>
          </w:p>
        </w:tc>
      </w:tr>
      <w:tr>
        <w:trPr>
          <w:trHeight w:val="169"/>
        </w:trPr>
        <w:tc>
          <w:tcPr>
            <w:tcW w:w="7800" w:type="dxa"/>
            <w:vAlign w:val="bottom"/>
            <w:shd w:val="clear" w:color="auto" w:fill="DBDBDB"/>
          </w:tcPr>
          <w:p>
            <w:pPr>
              <w:ind w:left="200"/>
              <w:spacing w:after="0"/>
              <w:rPr>
                <w:sz w:val="20"/>
                <w:szCs w:val="20"/>
                <w:color w:val="auto"/>
              </w:rPr>
            </w:pPr>
            <w:r>
              <w:rPr>
                <w:rFonts w:ascii="Arial" w:cs="Arial" w:eastAsia="Arial" w:hAnsi="Arial"/>
                <w:sz w:val="13"/>
                <w:szCs w:val="13"/>
                <w:color w:val="auto"/>
              </w:rPr>
              <w:t>Deferred tax assets, gross</w:t>
            </w:r>
          </w:p>
        </w:tc>
        <w:tc>
          <w:tcPr>
            <w:tcW w:w="40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535,007</w:t>
            </w:r>
          </w:p>
        </w:tc>
        <w:tc>
          <w:tcPr>
            <w:tcW w:w="8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541,980</w:t>
            </w:r>
          </w:p>
        </w:tc>
      </w:tr>
      <w:tr>
        <w:trPr>
          <w:trHeight w:val="172"/>
        </w:trPr>
        <w:tc>
          <w:tcPr>
            <w:tcW w:w="780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Valuation allowance</w:t>
            </w: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(10,323)</w:t>
            </w:r>
          </w:p>
        </w:tc>
        <w:tc>
          <w:tcPr>
            <w:tcW w:w="80" w:type="dxa"/>
            <w:vAlign w:val="bottom"/>
            <w:tcBorders>
              <w:bottom w:val="single" w:sz="8" w:color="DBDBDB"/>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(25,158)</w:t>
            </w:r>
          </w:p>
        </w:tc>
      </w:tr>
      <w:tr>
        <w:trPr>
          <w:trHeight w:val="166"/>
        </w:trPr>
        <w:tc>
          <w:tcPr>
            <w:tcW w:w="7800" w:type="dxa"/>
            <w:vAlign w:val="bottom"/>
            <w:shd w:val="clear" w:color="auto" w:fill="DBDBDB"/>
          </w:tcPr>
          <w:p>
            <w:pPr>
              <w:ind w:left="380"/>
              <w:spacing w:after="0"/>
              <w:rPr>
                <w:sz w:val="20"/>
                <w:szCs w:val="20"/>
                <w:color w:val="auto"/>
              </w:rPr>
            </w:pPr>
            <w:r>
              <w:rPr>
                <w:rFonts w:ascii="Arial" w:cs="Arial" w:eastAsia="Arial" w:hAnsi="Arial"/>
                <w:sz w:val="13"/>
                <w:szCs w:val="13"/>
                <w:color w:val="auto"/>
              </w:rPr>
              <w:t>Net deferred income tax asset</w:t>
            </w:r>
          </w:p>
        </w:tc>
        <w:tc>
          <w:tcPr>
            <w:tcW w:w="400" w:type="dxa"/>
            <w:vAlign w:val="bottom"/>
            <w:tcBorders>
              <w:bottom w:val="single" w:sz="8" w:color="auto"/>
            </w:tcBorders>
            <w:shd w:val="clear" w:color="auto" w:fill="DBDBDB"/>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524,684</w:t>
            </w:r>
          </w:p>
        </w:tc>
        <w:tc>
          <w:tcPr>
            <w:tcW w:w="80" w:type="dxa"/>
            <w:vAlign w:val="bottom"/>
            <w:shd w:val="clear" w:color="auto" w:fill="DBDBDB"/>
          </w:tcPr>
          <w:p>
            <w:pPr>
              <w:spacing w:after="0"/>
              <w:rPr>
                <w:sz w:val="14"/>
                <w:szCs w:val="14"/>
                <w:color w:val="auto"/>
              </w:rPr>
            </w:pPr>
          </w:p>
        </w:tc>
        <w:tc>
          <w:tcPr>
            <w:tcW w:w="400" w:type="dxa"/>
            <w:vAlign w:val="bottom"/>
            <w:tcBorders>
              <w:bottom w:val="single" w:sz="8" w:color="auto"/>
            </w:tcBorders>
            <w:shd w:val="clear" w:color="auto" w:fill="DBDBDB"/>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516,822</w:t>
            </w:r>
          </w:p>
        </w:tc>
      </w:tr>
      <w:tr>
        <w:trPr>
          <w:trHeight w:val="169"/>
        </w:trPr>
        <w:tc>
          <w:tcPr>
            <w:tcW w:w="7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5"/>
        </w:trPr>
        <w:tc>
          <w:tcPr>
            <w:tcW w:w="7800" w:type="dxa"/>
            <w:vAlign w:val="bottom"/>
            <w:shd w:val="clear" w:color="auto" w:fill="DBDBDB"/>
          </w:tcPr>
          <w:p>
            <w:pPr>
              <w:ind w:left="20"/>
              <w:spacing w:after="0"/>
              <w:rPr>
                <w:sz w:val="20"/>
                <w:szCs w:val="20"/>
                <w:color w:val="auto"/>
              </w:rPr>
            </w:pPr>
            <w:r>
              <w:rPr>
                <w:rFonts w:ascii="Arial" w:cs="Arial" w:eastAsia="Arial" w:hAnsi="Arial"/>
                <w:sz w:val="13"/>
                <w:szCs w:val="13"/>
                <w:color w:val="auto"/>
              </w:rPr>
              <w:t>Deferred tax liabilities</w:t>
            </w: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r>
      <w:tr>
        <w:trPr>
          <w:trHeight w:val="172"/>
        </w:trPr>
        <w:tc>
          <w:tcPr>
            <w:tcW w:w="7800" w:type="dxa"/>
            <w:vAlign w:val="bottom"/>
          </w:tcPr>
          <w:p>
            <w:pPr>
              <w:ind w:left="20"/>
              <w:spacing w:after="0"/>
              <w:rPr>
                <w:sz w:val="20"/>
                <w:szCs w:val="20"/>
                <w:color w:val="auto"/>
              </w:rPr>
            </w:pPr>
            <w:r>
              <w:rPr>
                <w:rFonts w:ascii="Arial" w:cs="Arial" w:eastAsia="Arial" w:hAnsi="Arial"/>
                <w:sz w:val="13"/>
                <w:szCs w:val="13"/>
                <w:color w:val="auto"/>
              </w:rPr>
              <w:t>Rental equipment and other property, plant and equipment</w:t>
            </w:r>
          </w:p>
        </w:tc>
        <w:tc>
          <w:tcPr>
            <w:tcW w:w="400" w:type="dxa"/>
            <w:vAlign w:val="bottom"/>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(710,372)</w:t>
            </w:r>
          </w:p>
        </w:tc>
        <w:tc>
          <w:tcPr>
            <w:tcW w:w="80" w:type="dxa"/>
            <w:vAlign w:val="bottom"/>
          </w:tcPr>
          <w:p>
            <w:pPr>
              <w:spacing w:after="0"/>
              <w:rPr>
                <w:sz w:val="14"/>
                <w:szCs w:val="14"/>
                <w:color w:val="auto"/>
              </w:rPr>
            </w:pPr>
          </w:p>
        </w:tc>
        <w:tc>
          <w:tcPr>
            <w:tcW w:w="400" w:type="dxa"/>
            <w:vAlign w:val="bottom"/>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(648,966)</w:t>
            </w:r>
          </w:p>
        </w:tc>
      </w:tr>
      <w:tr>
        <w:trPr>
          <w:trHeight w:val="178"/>
        </w:trPr>
        <w:tc>
          <w:tcPr>
            <w:tcW w:w="7800" w:type="dxa"/>
            <w:vAlign w:val="bottom"/>
            <w:shd w:val="clear" w:color="auto" w:fill="DBDBDB"/>
          </w:tcPr>
          <w:p>
            <w:pPr>
              <w:ind w:left="20"/>
              <w:spacing w:after="0"/>
              <w:rPr>
                <w:sz w:val="20"/>
                <w:szCs w:val="20"/>
                <w:color w:val="auto"/>
              </w:rPr>
            </w:pPr>
            <w:r>
              <w:rPr>
                <w:rFonts w:ascii="Arial" w:cs="Arial" w:eastAsia="Arial" w:hAnsi="Arial"/>
                <w:sz w:val="13"/>
                <w:szCs w:val="13"/>
                <w:color w:val="auto"/>
              </w:rPr>
              <w:t>Intangible assets</w:t>
            </w: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(107,033)</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(117,403)</w:t>
            </w:r>
          </w:p>
        </w:tc>
      </w:tr>
      <w:tr>
        <w:trPr>
          <w:trHeight w:val="172"/>
        </w:trPr>
        <w:tc>
          <w:tcPr>
            <w:tcW w:w="780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ROU asset</w:t>
            </w: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(62,158)</w:t>
            </w:r>
          </w:p>
        </w:tc>
        <w:tc>
          <w:tcPr>
            <w:tcW w:w="80" w:type="dxa"/>
            <w:vAlign w:val="bottom"/>
            <w:tcBorders>
              <w:bottom w:val="single" w:sz="8" w:color="DBDBDB"/>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(57,820)</w:t>
            </w:r>
          </w:p>
        </w:tc>
      </w:tr>
      <w:tr>
        <w:trPr>
          <w:trHeight w:val="166"/>
        </w:trPr>
        <w:tc>
          <w:tcPr>
            <w:tcW w:w="7800" w:type="dxa"/>
            <w:vAlign w:val="bottom"/>
            <w:shd w:val="clear" w:color="auto" w:fill="DBDBDB"/>
          </w:tcPr>
          <w:p>
            <w:pPr>
              <w:ind w:left="20"/>
              <w:spacing w:after="0"/>
              <w:rPr>
                <w:sz w:val="20"/>
                <w:szCs w:val="20"/>
                <w:color w:val="auto"/>
              </w:rPr>
            </w:pPr>
            <w:r>
              <w:rPr>
                <w:rFonts w:ascii="Arial" w:cs="Arial" w:eastAsia="Arial" w:hAnsi="Arial"/>
                <w:sz w:val="13"/>
                <w:szCs w:val="13"/>
                <w:color w:val="auto"/>
              </w:rPr>
              <w:t>Deferred tax liability</w:t>
            </w:r>
          </w:p>
        </w:tc>
        <w:tc>
          <w:tcPr>
            <w:tcW w:w="400" w:type="dxa"/>
            <w:vAlign w:val="bottom"/>
            <w:tcBorders>
              <w:bottom w:val="single" w:sz="8" w:color="auto"/>
            </w:tcBorders>
            <w:shd w:val="clear" w:color="auto" w:fill="DBDBDB"/>
          </w:tcPr>
          <w:p>
            <w:pPr>
              <w:spacing w:after="0"/>
              <w:rPr>
                <w:sz w:val="14"/>
                <w:szCs w:val="14"/>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(879,563)</w:t>
            </w:r>
          </w:p>
        </w:tc>
        <w:tc>
          <w:tcPr>
            <w:tcW w:w="80" w:type="dxa"/>
            <w:vAlign w:val="bottom"/>
            <w:shd w:val="clear" w:color="auto" w:fill="DBDBDB"/>
          </w:tcPr>
          <w:p>
            <w:pPr>
              <w:spacing w:after="0"/>
              <w:rPr>
                <w:sz w:val="14"/>
                <w:szCs w:val="14"/>
                <w:color w:val="auto"/>
              </w:rPr>
            </w:pPr>
          </w:p>
        </w:tc>
        <w:tc>
          <w:tcPr>
            <w:tcW w:w="400" w:type="dxa"/>
            <w:vAlign w:val="bottom"/>
            <w:tcBorders>
              <w:bottom w:val="single" w:sz="8" w:color="auto"/>
            </w:tcBorders>
            <w:shd w:val="clear" w:color="auto" w:fill="DBDBDB"/>
          </w:tcPr>
          <w:p>
            <w:pPr>
              <w:spacing w:after="0"/>
              <w:rPr>
                <w:sz w:val="14"/>
                <w:szCs w:val="14"/>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(824,189)</w:t>
            </w:r>
          </w:p>
        </w:tc>
      </w:tr>
      <w:tr>
        <w:trPr>
          <w:trHeight w:val="169"/>
        </w:trPr>
        <w:tc>
          <w:tcPr>
            <w:tcW w:w="7800" w:type="dxa"/>
            <w:vAlign w:val="bottom"/>
          </w:tcPr>
          <w:p>
            <w:pPr>
              <w:ind w:left="460"/>
              <w:spacing w:after="0"/>
              <w:rPr>
                <w:sz w:val="20"/>
                <w:szCs w:val="20"/>
                <w:color w:val="auto"/>
              </w:rPr>
            </w:pPr>
            <w:r>
              <w:rPr>
                <w:rFonts w:ascii="Arial" w:cs="Arial" w:eastAsia="Arial" w:hAnsi="Arial"/>
                <w:sz w:val="13"/>
                <w:szCs w:val="13"/>
                <w:color w:val="auto"/>
              </w:rPr>
              <w:t>Net deferred income tax liability</w:t>
            </w:r>
          </w:p>
        </w:tc>
        <w:tc>
          <w:tcPr>
            <w:tcW w:w="40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(354,879)</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(307,367)</w:t>
            </w:r>
          </w:p>
        </w:tc>
      </w:tr>
      <w:tr>
        <w:trPr>
          <w:trHeight w:val="20"/>
        </w:trPr>
        <w:tc>
          <w:tcPr>
            <w:tcW w:w="7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In general, FASB ASC Topic 740, “Income Taxes” (“ASC 740”) requires us to evaluate the realizability of our deferred tax assets and reduce the deferred tax assets by valuation allowances to the extent we determine some or all of our deferred tax assets are not more likely than not realizable. To determine the realizability, ASC 740 requires consideration of sources of available taxable income of the proper character and within the time period before which our deferred tax assets, if any, expire due to the passage of time.</w:t>
      </w:r>
    </w:p>
    <w:p>
      <w:pPr>
        <w:spacing w:after="0" w:line="33"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The Company's valuation allowance decreased by $14.8 million from 2020. An increase of $0.1 million was recorded in purchase accounting for the Merger in relation to state net operating losses deemed not more likely than not to be realized and a decrease of $14.7 million is primarily related to unused capital losses with a corresponding reduction of the related deferred tax asset of $12.3 million. The net tax benefit of $2.2 million is reflected in the rate reconciliation table above under valuation allowances.</w:t>
      </w:r>
    </w:p>
    <w:p>
      <w:pPr>
        <w:spacing w:after="0" w:line="33"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Tax loss carryforwards as of December 31, 2021 are outlined in the table below and include US Federal, US State and foreign (Canada and Mexico). The availability of these tax losses to offset future income varies by jurisdiction. Furthermore, the ability to utilize the tax losses may be subject to additional limitations upon the occurrence of certain events, such as a change in the ownership of the Company. Some of the Company’s tax attributes are subject to annual limitations due to historical changes in ownership from acquisitions, mergers or other related ownership shift events; however, the Company anticipates that our remaining available net operating losses will be consumed prior to their expiration.</w:t>
      </w:r>
    </w:p>
    <w:p>
      <w:pPr>
        <w:spacing w:after="0" w:line="35"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Company’s tax loss carryforwards are as follows at December 31, 2021:</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80" w:type="dxa"/>
            <w:vAlign w:val="bottom"/>
            <w:vMerge w:val="restart"/>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260" w:type="dxa"/>
            <w:vAlign w:val="bottom"/>
            <w:shd w:val="clear" w:color="auto" w:fill="1D2758"/>
          </w:tcPr>
          <w:p>
            <w:pPr>
              <w:spacing w:after="0"/>
              <w:rPr>
                <w:sz w:val="12"/>
                <w:szCs w:val="12"/>
                <w:color w:val="auto"/>
              </w:rPr>
            </w:pPr>
          </w:p>
        </w:tc>
        <w:tc>
          <w:tcPr>
            <w:tcW w:w="1520" w:type="dxa"/>
            <w:vAlign w:val="bottom"/>
            <w:gridSpan w:val="2"/>
            <w:shd w:val="clear" w:color="auto" w:fill="1D2758"/>
          </w:tcPr>
          <w:p>
            <w:pPr>
              <w:jc w:val="center"/>
              <w:ind w:right="360"/>
              <w:spacing w:after="0"/>
              <w:rPr>
                <w:sz w:val="20"/>
                <w:szCs w:val="20"/>
                <w:color w:val="auto"/>
              </w:rPr>
            </w:pPr>
            <w:r>
              <w:rPr>
                <w:rFonts w:ascii="Arial" w:cs="Arial" w:eastAsia="Arial" w:hAnsi="Arial"/>
                <w:sz w:val="13"/>
                <w:szCs w:val="13"/>
                <w:b w:val="1"/>
                <w:bCs w:val="1"/>
                <w:color w:val="FFFFFF"/>
              </w:rPr>
              <w:t>Loss</w:t>
            </w:r>
          </w:p>
        </w:tc>
        <w:tc>
          <w:tcPr>
            <w:tcW w:w="200" w:type="dxa"/>
            <w:vAlign w:val="bottom"/>
            <w:shd w:val="clear" w:color="auto" w:fill="1D2758"/>
          </w:tcPr>
          <w:p>
            <w:pPr>
              <w:spacing w:after="0"/>
              <w:rPr>
                <w:sz w:val="12"/>
                <w:szCs w:val="12"/>
                <w:color w:val="auto"/>
              </w:rPr>
            </w:pPr>
          </w:p>
        </w:tc>
        <w:tc>
          <w:tcPr>
            <w:tcW w:w="1260" w:type="dxa"/>
            <w:vAlign w:val="bottom"/>
            <w:vMerge w:val="restart"/>
            <w:shd w:val="clear" w:color="auto" w:fill="1D2758"/>
          </w:tcPr>
          <w:p>
            <w:pPr>
              <w:jc w:val="right"/>
              <w:ind w:right="274"/>
              <w:spacing w:after="0"/>
              <w:rPr>
                <w:sz w:val="20"/>
                <w:szCs w:val="20"/>
                <w:color w:val="auto"/>
              </w:rPr>
            </w:pPr>
            <w:r>
              <w:rPr>
                <w:rFonts w:ascii="Arial" w:cs="Arial" w:eastAsia="Arial" w:hAnsi="Arial"/>
                <w:sz w:val="13"/>
                <w:szCs w:val="13"/>
                <w:b w:val="1"/>
                <w:bCs w:val="1"/>
                <w:color w:val="FFFFFF"/>
              </w:rPr>
              <w:t>Deferred Tax</w:t>
            </w:r>
          </w:p>
        </w:tc>
        <w:tc>
          <w:tcPr>
            <w:tcW w:w="2760" w:type="dxa"/>
            <w:vAlign w:val="bottom"/>
            <w:vMerge w:val="restart"/>
            <w:shd w:val="clear" w:color="auto" w:fill="1D2758"/>
          </w:tcPr>
          <w:p>
            <w:pPr>
              <w:jc w:val="center"/>
              <w:ind w:left="14"/>
              <w:spacing w:after="0"/>
              <w:rPr>
                <w:sz w:val="20"/>
                <w:szCs w:val="20"/>
                <w:color w:val="auto"/>
              </w:rPr>
            </w:pPr>
            <w:r>
              <w:rPr>
                <w:rFonts w:ascii="Arial" w:cs="Arial" w:eastAsia="Arial" w:hAnsi="Arial"/>
                <w:sz w:val="13"/>
                <w:szCs w:val="13"/>
                <w:b w:val="1"/>
                <w:bCs w:val="1"/>
                <w:color w:val="FFFFFF"/>
              </w:rPr>
              <w:t>Expiration</w:t>
            </w:r>
          </w:p>
        </w:tc>
        <w:tc>
          <w:tcPr>
            <w:tcW w:w="0" w:type="dxa"/>
            <w:vAlign w:val="bottom"/>
          </w:tcPr>
          <w:p>
            <w:pPr>
              <w:spacing w:after="0"/>
              <w:rPr>
                <w:sz w:val="1"/>
                <w:szCs w:val="1"/>
                <w:color w:val="auto"/>
              </w:rPr>
            </w:pPr>
          </w:p>
        </w:tc>
      </w:tr>
      <w:tr>
        <w:trPr>
          <w:trHeight w:val="175"/>
        </w:trPr>
        <w:tc>
          <w:tcPr>
            <w:tcW w:w="5280" w:type="dxa"/>
            <w:vAlign w:val="bottom"/>
            <w:vMerge w:val="continue"/>
            <w:shd w:val="clear" w:color="auto" w:fill="1D2758"/>
          </w:tcPr>
          <w:p>
            <w:pPr>
              <w:spacing w:after="0"/>
              <w:rPr>
                <w:sz w:val="15"/>
                <w:szCs w:val="15"/>
                <w:color w:val="auto"/>
              </w:rPr>
            </w:pPr>
          </w:p>
        </w:tc>
        <w:tc>
          <w:tcPr>
            <w:tcW w:w="260" w:type="dxa"/>
            <w:vAlign w:val="bottom"/>
            <w:shd w:val="clear" w:color="auto" w:fill="1D2758"/>
          </w:tcPr>
          <w:p>
            <w:pPr>
              <w:spacing w:after="0"/>
              <w:rPr>
                <w:sz w:val="15"/>
                <w:szCs w:val="15"/>
                <w:color w:val="auto"/>
              </w:rPr>
            </w:pPr>
          </w:p>
        </w:tc>
        <w:tc>
          <w:tcPr>
            <w:tcW w:w="1520" w:type="dxa"/>
            <w:vAlign w:val="bottom"/>
            <w:gridSpan w:val="2"/>
            <w:shd w:val="clear" w:color="auto" w:fill="1D2758"/>
          </w:tcPr>
          <w:p>
            <w:pPr>
              <w:jc w:val="center"/>
              <w:ind w:right="360"/>
              <w:spacing w:after="0"/>
              <w:rPr>
                <w:sz w:val="20"/>
                <w:szCs w:val="20"/>
                <w:color w:val="auto"/>
              </w:rPr>
            </w:pPr>
            <w:r>
              <w:rPr>
                <w:rFonts w:ascii="Arial" w:cs="Arial" w:eastAsia="Arial" w:hAnsi="Arial"/>
                <w:sz w:val="13"/>
                <w:szCs w:val="13"/>
                <w:b w:val="1"/>
                <w:bCs w:val="1"/>
                <w:color w:val="FFFFFF"/>
              </w:rPr>
              <w:t>Carryforward</w:t>
            </w:r>
          </w:p>
        </w:tc>
        <w:tc>
          <w:tcPr>
            <w:tcW w:w="200" w:type="dxa"/>
            <w:vAlign w:val="bottom"/>
            <w:shd w:val="clear" w:color="auto" w:fill="1D2758"/>
          </w:tcPr>
          <w:p>
            <w:pPr>
              <w:spacing w:after="0"/>
              <w:rPr>
                <w:sz w:val="15"/>
                <w:szCs w:val="15"/>
                <w:color w:val="auto"/>
              </w:rPr>
            </w:pPr>
          </w:p>
        </w:tc>
        <w:tc>
          <w:tcPr>
            <w:tcW w:w="1260" w:type="dxa"/>
            <w:vAlign w:val="bottom"/>
            <w:vMerge w:val="continue"/>
            <w:shd w:val="clear" w:color="auto" w:fill="1D2758"/>
          </w:tcPr>
          <w:p>
            <w:pPr>
              <w:spacing w:after="0"/>
              <w:rPr>
                <w:sz w:val="15"/>
                <w:szCs w:val="15"/>
                <w:color w:val="auto"/>
              </w:rPr>
            </w:pPr>
          </w:p>
        </w:tc>
        <w:tc>
          <w:tcPr>
            <w:tcW w:w="2760" w:type="dxa"/>
            <w:vAlign w:val="bottom"/>
            <w:vMerge w:val="continue"/>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80" w:type="dxa"/>
            <w:vAlign w:val="bottom"/>
            <w:shd w:val="clear" w:color="auto" w:fill="DBDBDB"/>
          </w:tcPr>
          <w:p>
            <w:pPr>
              <w:ind w:left="20"/>
              <w:spacing w:after="0"/>
              <w:rPr>
                <w:sz w:val="20"/>
                <w:szCs w:val="20"/>
                <w:color w:val="auto"/>
              </w:rPr>
            </w:pPr>
            <w:r>
              <w:rPr>
                <w:rFonts w:ascii="Arial" w:cs="Arial" w:eastAsia="Arial" w:hAnsi="Arial"/>
                <w:sz w:val="13"/>
                <w:szCs w:val="13"/>
                <w:color w:val="auto"/>
              </w:rPr>
              <w:t>Jurisdiction:</w:t>
            </w:r>
          </w:p>
        </w:tc>
        <w:tc>
          <w:tcPr>
            <w:tcW w:w="260" w:type="dxa"/>
            <w:vAlign w:val="bottom"/>
            <w:shd w:val="clear" w:color="auto" w:fill="DBDBDB"/>
          </w:tcPr>
          <w:p>
            <w:pPr>
              <w:spacing w:after="0"/>
              <w:rPr>
                <w:sz w:val="15"/>
                <w:szCs w:val="15"/>
                <w:color w:val="auto"/>
              </w:rPr>
            </w:pPr>
          </w:p>
        </w:tc>
        <w:tc>
          <w:tcPr>
            <w:tcW w:w="14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260" w:type="dxa"/>
            <w:vAlign w:val="bottom"/>
            <w:shd w:val="clear" w:color="auto" w:fill="DBDBDB"/>
          </w:tcPr>
          <w:p>
            <w:pPr>
              <w:spacing w:after="0"/>
              <w:rPr>
                <w:sz w:val="15"/>
                <w:szCs w:val="15"/>
                <w:color w:val="auto"/>
              </w:rPr>
            </w:pPr>
          </w:p>
        </w:tc>
        <w:tc>
          <w:tcPr>
            <w:tcW w:w="27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280" w:type="dxa"/>
            <w:vAlign w:val="bottom"/>
          </w:tcPr>
          <w:p>
            <w:pPr>
              <w:ind w:left="20"/>
              <w:spacing w:after="0"/>
              <w:rPr>
                <w:sz w:val="20"/>
                <w:szCs w:val="20"/>
                <w:color w:val="auto"/>
              </w:rPr>
            </w:pPr>
            <w:r>
              <w:rPr>
                <w:rFonts w:ascii="Arial" w:cs="Arial" w:eastAsia="Arial" w:hAnsi="Arial"/>
                <w:sz w:val="13"/>
                <w:szCs w:val="13"/>
                <w:color w:val="auto"/>
              </w:rPr>
              <w:t>US - Federal</w:t>
            </w:r>
          </w:p>
        </w:tc>
        <w:tc>
          <w:tcPr>
            <w:tcW w:w="260" w:type="dxa"/>
            <w:vAlign w:val="bottom"/>
          </w:tcPr>
          <w:p>
            <w:pPr>
              <w:jc w:val="right"/>
              <w:ind w:right="114"/>
              <w:spacing w:after="0"/>
              <w:rPr>
                <w:sz w:val="20"/>
                <w:szCs w:val="20"/>
                <w:color w:val="auto"/>
              </w:rPr>
            </w:pPr>
            <w:r>
              <w:rPr>
                <w:rFonts w:ascii="Arial" w:cs="Arial" w:eastAsia="Arial" w:hAnsi="Arial"/>
                <w:sz w:val="13"/>
                <w:szCs w:val="13"/>
                <w:color w:val="auto"/>
                <w:w w:val="82"/>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1,232,717</w:t>
            </w:r>
          </w:p>
        </w:tc>
        <w:tc>
          <w:tcPr>
            <w:tcW w:w="100" w:type="dxa"/>
            <w:vAlign w:val="bottom"/>
          </w:tcPr>
          <w:p>
            <w:pPr>
              <w:spacing w:after="0"/>
              <w:rPr>
                <w:sz w:val="14"/>
                <w:szCs w:val="14"/>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250,920</w:t>
            </w:r>
          </w:p>
        </w:tc>
        <w:tc>
          <w:tcPr>
            <w:tcW w:w="2760" w:type="dxa"/>
            <w:vAlign w:val="bottom"/>
          </w:tcPr>
          <w:p>
            <w:pPr>
              <w:jc w:val="center"/>
              <w:ind w:left="34"/>
              <w:spacing w:after="0"/>
              <w:rPr>
                <w:sz w:val="20"/>
                <w:szCs w:val="20"/>
                <w:color w:val="auto"/>
              </w:rPr>
            </w:pPr>
            <w:r>
              <w:rPr>
                <w:rFonts w:ascii="Arial" w:cs="Arial" w:eastAsia="Arial" w:hAnsi="Arial"/>
                <w:sz w:val="13"/>
                <w:szCs w:val="13"/>
                <w:color w:val="auto"/>
              </w:rPr>
              <w:t>2022 – 2037, Indefinite</w:t>
            </w:r>
          </w:p>
        </w:tc>
        <w:tc>
          <w:tcPr>
            <w:tcW w:w="0" w:type="dxa"/>
            <w:vAlign w:val="bottom"/>
          </w:tcPr>
          <w:p>
            <w:pPr>
              <w:spacing w:after="0"/>
              <w:rPr>
                <w:sz w:val="1"/>
                <w:szCs w:val="1"/>
                <w:color w:val="auto"/>
              </w:rPr>
            </w:pPr>
          </w:p>
        </w:tc>
      </w:tr>
      <w:tr>
        <w:trPr>
          <w:trHeight w:val="178"/>
        </w:trPr>
        <w:tc>
          <w:tcPr>
            <w:tcW w:w="5280" w:type="dxa"/>
            <w:vAlign w:val="bottom"/>
            <w:shd w:val="clear" w:color="auto" w:fill="DBDBDB"/>
          </w:tcPr>
          <w:p>
            <w:pPr>
              <w:ind w:left="20"/>
              <w:spacing w:after="0"/>
              <w:rPr>
                <w:sz w:val="20"/>
                <w:szCs w:val="20"/>
                <w:color w:val="auto"/>
              </w:rPr>
            </w:pPr>
            <w:r>
              <w:rPr>
                <w:rFonts w:ascii="Arial" w:cs="Arial" w:eastAsia="Arial" w:hAnsi="Arial"/>
                <w:sz w:val="13"/>
                <w:szCs w:val="13"/>
                <w:color w:val="auto"/>
              </w:rPr>
              <w:t>US - State</w:t>
            </w:r>
          </w:p>
        </w:tc>
        <w:tc>
          <w:tcPr>
            <w:tcW w:w="260" w:type="dxa"/>
            <w:vAlign w:val="bottom"/>
            <w:shd w:val="clear" w:color="auto" w:fill="DBDBDB"/>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632,922</w:t>
            </w:r>
          </w:p>
        </w:tc>
        <w:tc>
          <w:tcPr>
            <w:tcW w:w="10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34,332</w:t>
            </w:r>
          </w:p>
        </w:tc>
        <w:tc>
          <w:tcPr>
            <w:tcW w:w="2760" w:type="dxa"/>
            <w:vAlign w:val="bottom"/>
            <w:shd w:val="clear" w:color="auto" w:fill="DBDBDB"/>
          </w:tcPr>
          <w:p>
            <w:pPr>
              <w:jc w:val="center"/>
              <w:ind w:left="34"/>
              <w:spacing w:after="0"/>
              <w:rPr>
                <w:sz w:val="20"/>
                <w:szCs w:val="20"/>
                <w:color w:val="auto"/>
              </w:rPr>
            </w:pPr>
            <w:r>
              <w:rPr>
                <w:rFonts w:ascii="Arial" w:cs="Arial" w:eastAsia="Arial" w:hAnsi="Arial"/>
                <w:sz w:val="13"/>
                <w:szCs w:val="13"/>
                <w:color w:val="auto"/>
              </w:rPr>
              <w:t>2022 –2041, Indefinite</w:t>
            </w:r>
          </w:p>
        </w:tc>
        <w:tc>
          <w:tcPr>
            <w:tcW w:w="0" w:type="dxa"/>
            <w:vAlign w:val="bottom"/>
          </w:tcPr>
          <w:p>
            <w:pPr>
              <w:spacing w:after="0"/>
              <w:rPr>
                <w:sz w:val="1"/>
                <w:szCs w:val="1"/>
                <w:color w:val="auto"/>
              </w:rPr>
            </w:pPr>
          </w:p>
        </w:tc>
      </w:tr>
      <w:tr>
        <w:trPr>
          <w:trHeight w:val="172"/>
        </w:trPr>
        <w:tc>
          <w:tcPr>
            <w:tcW w:w="528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Foreign - Canada and Mexico</w:t>
            </w: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3,892</w:t>
            </w:r>
          </w:p>
        </w:tc>
        <w:tc>
          <w:tcPr>
            <w:tcW w:w="100" w:type="dxa"/>
            <w:vAlign w:val="bottom"/>
            <w:tcBorders>
              <w:bottom w:val="single" w:sz="8" w:color="DBDBDB"/>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1,218</w:t>
            </w:r>
          </w:p>
        </w:tc>
        <w:tc>
          <w:tcPr>
            <w:tcW w:w="2760" w:type="dxa"/>
            <w:vAlign w:val="bottom"/>
            <w:tcBorders>
              <w:bottom w:val="single" w:sz="8" w:color="DBDBDB"/>
            </w:tcBorders>
          </w:tcPr>
          <w:p>
            <w:pPr>
              <w:jc w:val="center"/>
              <w:ind w:left="34"/>
              <w:spacing w:after="0"/>
              <w:rPr>
                <w:sz w:val="20"/>
                <w:szCs w:val="20"/>
                <w:color w:val="auto"/>
              </w:rPr>
            </w:pPr>
            <w:r>
              <w:rPr>
                <w:rFonts w:ascii="Arial" w:cs="Arial" w:eastAsia="Arial" w:hAnsi="Arial"/>
                <w:sz w:val="13"/>
                <w:szCs w:val="13"/>
                <w:color w:val="auto"/>
              </w:rPr>
              <w:t>2026 – 2037</w:t>
            </w:r>
          </w:p>
        </w:tc>
        <w:tc>
          <w:tcPr>
            <w:tcW w:w="0" w:type="dxa"/>
            <w:vAlign w:val="bottom"/>
          </w:tcPr>
          <w:p>
            <w:pPr>
              <w:spacing w:after="0"/>
              <w:rPr>
                <w:sz w:val="1"/>
                <w:szCs w:val="1"/>
                <w:color w:val="auto"/>
              </w:rPr>
            </w:pPr>
          </w:p>
        </w:tc>
      </w:tr>
      <w:tr>
        <w:trPr>
          <w:trHeight w:val="194"/>
        </w:trPr>
        <w:tc>
          <w:tcPr>
            <w:tcW w:w="5280" w:type="dxa"/>
            <w:vAlign w:val="bottom"/>
            <w:tcBorders>
              <w:bottom w:val="single" w:sz="8" w:color="DBDBDB"/>
            </w:tcBorders>
            <w:shd w:val="clear" w:color="auto" w:fill="DBDBDB"/>
          </w:tcPr>
          <w:p>
            <w:pPr>
              <w:ind w:left="380"/>
              <w:spacing w:after="0"/>
              <w:rPr>
                <w:sz w:val="20"/>
                <w:szCs w:val="20"/>
                <w:color w:val="auto"/>
              </w:rPr>
            </w:pPr>
            <w:r>
              <w:rPr>
                <w:rFonts w:ascii="Arial" w:cs="Arial" w:eastAsia="Arial" w:hAnsi="Arial"/>
                <w:sz w:val="13"/>
                <w:szCs w:val="13"/>
                <w:color w:val="auto"/>
              </w:rPr>
              <w:t>Total</w:t>
            </w:r>
          </w:p>
        </w:tc>
        <w:tc>
          <w:tcPr>
            <w:tcW w:w="260" w:type="dxa"/>
            <w:vAlign w:val="bottom"/>
            <w:tcBorders>
              <w:bottom w:val="single" w:sz="8" w:color="auto"/>
            </w:tcBorders>
            <w:shd w:val="clear" w:color="auto" w:fill="DBDBDB"/>
          </w:tcPr>
          <w:p>
            <w:pPr>
              <w:jc w:val="right"/>
              <w:ind w:right="114"/>
              <w:spacing w:after="0"/>
              <w:rPr>
                <w:sz w:val="20"/>
                <w:szCs w:val="20"/>
                <w:color w:val="auto"/>
              </w:rPr>
            </w:pPr>
            <w:r>
              <w:rPr>
                <w:rFonts w:ascii="Arial" w:cs="Arial" w:eastAsia="Arial" w:hAnsi="Arial"/>
                <w:sz w:val="13"/>
                <w:szCs w:val="13"/>
                <w:color w:val="auto"/>
                <w:w w:val="82"/>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1,869,531</w:t>
            </w:r>
          </w:p>
        </w:tc>
        <w:tc>
          <w:tcPr>
            <w:tcW w:w="10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auto"/>
            </w:tcBorders>
            <w:shd w:val="clear" w:color="auto" w:fill="DBDBDB"/>
          </w:tcPr>
          <w:p>
            <w:pPr>
              <w:jc w:val="right"/>
              <w:ind w:right="54"/>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286,470</w:t>
            </w:r>
          </w:p>
        </w:tc>
        <w:tc>
          <w:tcPr>
            <w:tcW w:w="276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4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276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jc w:val="both"/>
        <w:ind w:right="20" w:firstLine="524"/>
        <w:spacing w:after="0" w:line="256" w:lineRule="auto"/>
        <w:rPr>
          <w:sz w:val="20"/>
          <w:szCs w:val="20"/>
          <w:color w:val="auto"/>
        </w:rPr>
      </w:pPr>
      <w:r>
        <w:rPr>
          <w:rFonts w:ascii="Arial" w:cs="Arial" w:eastAsia="Arial" w:hAnsi="Arial"/>
          <w:sz w:val="13"/>
          <w:szCs w:val="13"/>
          <w:color w:val="auto"/>
        </w:rPr>
        <w:t>As of December 31, 2021, the total amount of the basis difference in investments outside the US, which are indefinitely reinvested and for which deferred taxes have not been provided, is approximately $357.9 million. The tax, if any, associated with the recovery of the basis difference is dependent on the manner in which it is recovered and is not readily determinable.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07" w:right="319" w:bottom="1440" w:gutter="0" w:footer="0" w:header="0"/>
        </w:sectPr>
      </w:pPr>
    </w:p>
    <w:bookmarkStart w:id="103" w:name="page104"/>
    <w:bookmarkEnd w:id="103"/>
    <w:p>
      <w:pPr>
        <w:spacing w:after="0"/>
        <w:rPr>
          <w:sz w:val="20"/>
          <w:szCs w:val="20"/>
          <w:color w:val="auto"/>
        </w:rPr>
      </w:pPr>
      <w:r>
        <w:rPr>
          <w:rFonts w:ascii="Arial" w:cs="Arial" w:eastAsia="Arial" w:hAnsi="Arial"/>
          <w:sz w:val="15"/>
          <w:szCs w:val="15"/>
          <w:b w:val="1"/>
          <w:bCs w:val="1"/>
          <w:color w:val="auto"/>
        </w:rPr>
        <w:t>Unrecognized Tax Positions</w:t>
      </w:r>
    </w:p>
    <w:p>
      <w:pPr>
        <w:spacing w:after="0" w:line="66"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The Company is subject to taxation in US, Canada, Mexico, UK, and state jurisdictions. The Company’s tax returns are subject to examination by the applicable tax authorities prior to the expiration of statute of limitations for assessing additional taxes, which generally ranges from two to five years after the end of the applicable tax year. As of December 31, 2021, generally, tax years for 2014 through 2021 remain subject to examination by the tax authorities. In addition, in certain taxing jurisdictions, in the case of carryover tax attributes to years open for assessment, such attributes may be subject to reduction by taxing authorities.</w:t>
      </w:r>
    </w:p>
    <w:p>
      <w:pPr>
        <w:spacing w:after="0" w:line="35" w:lineRule="exact"/>
        <w:rPr>
          <w:sz w:val="20"/>
          <w:szCs w:val="20"/>
          <w:color w:val="auto"/>
        </w:rPr>
      </w:pPr>
    </w:p>
    <w:p>
      <w:pPr>
        <w:ind w:left="540"/>
        <w:spacing w:after="0"/>
        <w:rPr>
          <w:sz w:val="20"/>
          <w:szCs w:val="20"/>
          <w:color w:val="auto"/>
        </w:rPr>
      </w:pPr>
      <w:r>
        <w:rPr>
          <w:rFonts w:ascii="Arial" w:cs="Arial" w:eastAsia="Arial" w:hAnsi="Arial"/>
          <w:sz w:val="13"/>
          <w:szCs w:val="13"/>
          <w:color w:val="auto"/>
        </w:rPr>
        <w:t>A reconciliation of the beginning and ending amount of unrecognized tax benefits is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2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400" w:type="dxa"/>
            <w:vAlign w:val="bottom"/>
            <w:shd w:val="clear" w:color="auto" w:fill="1D2758"/>
          </w:tcPr>
          <w:p>
            <w:pPr>
              <w:spacing w:after="0"/>
              <w:rPr>
                <w:sz w:val="15"/>
                <w:szCs w:val="15"/>
                <w:color w:val="auto"/>
              </w:rPr>
            </w:pPr>
          </w:p>
        </w:tc>
        <w:tc>
          <w:tcPr>
            <w:tcW w:w="1300" w:type="dxa"/>
            <w:vAlign w:val="bottom"/>
            <w:shd w:val="clear" w:color="auto" w:fill="1D2758"/>
          </w:tcPr>
          <w:p>
            <w:pPr>
              <w:jc w:val="right"/>
              <w:ind w:right="634"/>
              <w:spacing w:after="0"/>
              <w:rPr>
                <w:sz w:val="20"/>
                <w:szCs w:val="20"/>
                <w:color w:val="auto"/>
              </w:rPr>
            </w:pPr>
            <w:r>
              <w:rPr>
                <w:rFonts w:ascii="Arial" w:cs="Arial" w:eastAsia="Arial" w:hAnsi="Arial"/>
                <w:sz w:val="13"/>
                <w:szCs w:val="13"/>
                <w:b w:val="1"/>
                <w:bCs w:val="1"/>
                <w:color w:val="FFFFFF"/>
              </w:rPr>
              <w:t>2021</w:t>
            </w:r>
          </w:p>
        </w:tc>
        <w:tc>
          <w:tcPr>
            <w:tcW w:w="80" w:type="dxa"/>
            <w:vAlign w:val="bottom"/>
            <w:shd w:val="clear" w:color="auto" w:fill="1D2758"/>
          </w:tcPr>
          <w:p>
            <w:pPr>
              <w:spacing w:after="0"/>
              <w:rPr>
                <w:sz w:val="15"/>
                <w:szCs w:val="15"/>
                <w:color w:val="auto"/>
              </w:rPr>
            </w:pPr>
          </w:p>
        </w:tc>
        <w:tc>
          <w:tcPr>
            <w:tcW w:w="400" w:type="dxa"/>
            <w:vAlign w:val="bottom"/>
            <w:shd w:val="clear" w:color="auto" w:fill="1D2758"/>
          </w:tcPr>
          <w:p>
            <w:pPr>
              <w:spacing w:after="0"/>
              <w:rPr>
                <w:sz w:val="15"/>
                <w:szCs w:val="15"/>
                <w:color w:val="auto"/>
              </w:rPr>
            </w:pPr>
          </w:p>
        </w:tc>
        <w:tc>
          <w:tcPr>
            <w:tcW w:w="1300" w:type="dxa"/>
            <w:vAlign w:val="bottom"/>
            <w:shd w:val="clear" w:color="auto" w:fill="1D2758"/>
          </w:tcPr>
          <w:p>
            <w:pPr>
              <w:jc w:val="right"/>
              <w:ind w:right="634"/>
              <w:spacing w:after="0"/>
              <w:rPr>
                <w:sz w:val="20"/>
                <w:szCs w:val="20"/>
                <w:color w:val="auto"/>
              </w:rPr>
            </w:pPr>
            <w:r>
              <w:rPr>
                <w:rFonts w:ascii="Arial" w:cs="Arial" w:eastAsia="Arial" w:hAnsi="Arial"/>
                <w:sz w:val="13"/>
                <w:szCs w:val="13"/>
                <w:b w:val="1"/>
                <w:bCs w:val="1"/>
                <w:color w:val="FFFFFF"/>
              </w:rPr>
              <w:t>2020</w:t>
            </w:r>
          </w:p>
        </w:tc>
        <w:tc>
          <w:tcPr>
            <w:tcW w:w="80" w:type="dxa"/>
            <w:vAlign w:val="bottom"/>
            <w:shd w:val="clear" w:color="auto" w:fill="1D2758"/>
          </w:tcPr>
          <w:p>
            <w:pPr>
              <w:spacing w:after="0"/>
              <w:rPr>
                <w:sz w:val="15"/>
                <w:szCs w:val="15"/>
                <w:color w:val="auto"/>
              </w:rPr>
            </w:pPr>
          </w:p>
        </w:tc>
        <w:tc>
          <w:tcPr>
            <w:tcW w:w="400" w:type="dxa"/>
            <w:vAlign w:val="bottom"/>
            <w:shd w:val="clear" w:color="auto" w:fill="1D2758"/>
          </w:tcPr>
          <w:p>
            <w:pPr>
              <w:spacing w:after="0"/>
              <w:rPr>
                <w:sz w:val="15"/>
                <w:szCs w:val="15"/>
                <w:color w:val="auto"/>
              </w:rPr>
            </w:pPr>
          </w:p>
        </w:tc>
        <w:tc>
          <w:tcPr>
            <w:tcW w:w="1300" w:type="dxa"/>
            <w:vAlign w:val="bottom"/>
            <w:shd w:val="clear" w:color="auto" w:fill="1D2758"/>
          </w:tcPr>
          <w:p>
            <w:pPr>
              <w:jc w:val="right"/>
              <w:ind w:right="634"/>
              <w:spacing w:after="0"/>
              <w:rPr>
                <w:sz w:val="20"/>
                <w:szCs w:val="20"/>
                <w:color w:val="auto"/>
              </w:rPr>
            </w:pPr>
            <w:r>
              <w:rPr>
                <w:rFonts w:ascii="Arial" w:cs="Arial" w:eastAsia="Arial" w:hAnsi="Arial"/>
                <w:sz w:val="13"/>
                <w:szCs w:val="13"/>
                <w:b w:val="1"/>
                <w:bCs w:val="1"/>
                <w:color w:val="FFFFFF"/>
              </w:rPr>
              <w:t>2019</w:t>
            </w:r>
          </w:p>
        </w:tc>
      </w:tr>
      <w:tr>
        <w:trPr>
          <w:trHeight w:val="175"/>
        </w:trPr>
        <w:tc>
          <w:tcPr>
            <w:tcW w:w="6020" w:type="dxa"/>
            <w:vAlign w:val="bottom"/>
            <w:shd w:val="clear" w:color="auto" w:fill="DBDBDB"/>
          </w:tcPr>
          <w:p>
            <w:pPr>
              <w:ind w:left="20"/>
              <w:spacing w:after="0"/>
              <w:rPr>
                <w:sz w:val="20"/>
                <w:szCs w:val="20"/>
                <w:color w:val="auto"/>
              </w:rPr>
            </w:pPr>
            <w:r>
              <w:rPr>
                <w:rFonts w:ascii="Arial" w:cs="Arial" w:eastAsia="Arial" w:hAnsi="Arial"/>
                <w:sz w:val="13"/>
                <w:szCs w:val="13"/>
                <w:color w:val="auto"/>
              </w:rPr>
              <w:t>Unrecognized tax benefits – January 1,</w:t>
            </w:r>
          </w:p>
        </w:tc>
        <w:tc>
          <w:tcPr>
            <w:tcW w:w="400" w:type="dxa"/>
            <w:vAlign w:val="bottom"/>
            <w:shd w:val="clear" w:color="auto" w:fill="DBDBDB"/>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54,494</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63,747</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64,444</w:t>
            </w:r>
          </w:p>
        </w:tc>
      </w:tr>
      <w:tr>
        <w:trPr>
          <w:trHeight w:val="172"/>
        </w:trPr>
        <w:tc>
          <w:tcPr>
            <w:tcW w:w="6020" w:type="dxa"/>
            <w:vAlign w:val="bottom"/>
          </w:tcPr>
          <w:p>
            <w:pPr>
              <w:ind w:left="200"/>
              <w:spacing w:after="0"/>
              <w:rPr>
                <w:sz w:val="20"/>
                <w:szCs w:val="20"/>
                <w:color w:val="auto"/>
              </w:rPr>
            </w:pPr>
            <w:r>
              <w:rPr>
                <w:rFonts w:ascii="Arial" w:cs="Arial" w:eastAsia="Arial" w:hAnsi="Arial"/>
                <w:sz w:val="13"/>
                <w:szCs w:val="13"/>
                <w:color w:val="auto"/>
              </w:rPr>
              <w:t>Increases based on tax positions related to current period</w:t>
            </w:r>
          </w:p>
        </w:tc>
        <w:tc>
          <w:tcPr>
            <w:tcW w:w="400" w:type="dxa"/>
            <w:vAlign w:val="bottom"/>
          </w:tcPr>
          <w:p>
            <w:pPr>
              <w:spacing w:after="0"/>
              <w:rPr>
                <w:sz w:val="14"/>
                <w:szCs w:val="14"/>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1,211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8"/>
        </w:trPr>
        <w:tc>
          <w:tcPr>
            <w:tcW w:w="6020" w:type="dxa"/>
            <w:vAlign w:val="bottom"/>
            <w:shd w:val="clear" w:color="auto" w:fill="DBDBDB"/>
          </w:tcPr>
          <w:p>
            <w:pPr>
              <w:ind w:left="200"/>
              <w:spacing w:after="0"/>
              <w:rPr>
                <w:sz w:val="20"/>
                <w:szCs w:val="20"/>
                <w:color w:val="auto"/>
              </w:rPr>
            </w:pPr>
            <w:r>
              <w:rPr>
                <w:rFonts w:ascii="Arial" w:cs="Arial" w:eastAsia="Arial" w:hAnsi="Arial"/>
                <w:sz w:val="13"/>
                <w:szCs w:val="13"/>
                <w:color w:val="auto"/>
              </w:rPr>
              <w:t>Increases based on tax positions related to prior period</w:t>
            </w: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8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268</w:t>
            </w:r>
          </w:p>
        </w:tc>
      </w:tr>
      <w:tr>
        <w:trPr>
          <w:trHeight w:val="172"/>
        </w:trPr>
        <w:tc>
          <w:tcPr>
            <w:tcW w:w="6020" w:type="dxa"/>
            <w:vAlign w:val="bottom"/>
          </w:tcPr>
          <w:p>
            <w:pPr>
              <w:ind w:left="200"/>
              <w:spacing w:after="0"/>
              <w:rPr>
                <w:sz w:val="20"/>
                <w:szCs w:val="20"/>
                <w:color w:val="auto"/>
              </w:rPr>
            </w:pPr>
            <w:r>
              <w:rPr>
                <w:rFonts w:ascii="Arial" w:cs="Arial" w:eastAsia="Arial" w:hAnsi="Arial"/>
                <w:sz w:val="13"/>
                <w:szCs w:val="13"/>
                <w:color w:val="auto"/>
              </w:rPr>
              <w:t>Decreases based on tax positions related to prior period</w:t>
            </w:r>
          </w:p>
        </w:tc>
        <w:tc>
          <w:tcPr>
            <w:tcW w:w="400" w:type="dxa"/>
            <w:vAlign w:val="bottom"/>
          </w:tcPr>
          <w:p>
            <w:pPr>
              <w:spacing w:after="0"/>
              <w:rPr>
                <w:sz w:val="14"/>
                <w:szCs w:val="14"/>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(287)</w:t>
            </w:r>
          </w:p>
        </w:tc>
      </w:tr>
      <w:tr>
        <w:trPr>
          <w:trHeight w:val="175"/>
        </w:trPr>
        <w:tc>
          <w:tcPr>
            <w:tcW w:w="6020" w:type="dxa"/>
            <w:vAlign w:val="bottom"/>
            <w:shd w:val="clear" w:color="auto" w:fill="DBDBDB"/>
          </w:tcPr>
          <w:p>
            <w:pPr>
              <w:ind w:left="20"/>
              <w:spacing w:after="0"/>
              <w:rPr>
                <w:sz w:val="20"/>
                <w:szCs w:val="20"/>
                <w:color w:val="auto"/>
              </w:rPr>
            </w:pPr>
            <w:r>
              <w:rPr>
                <w:rFonts w:ascii="Arial" w:cs="Arial" w:eastAsia="Arial" w:hAnsi="Arial"/>
                <w:sz w:val="13"/>
                <w:szCs w:val="13"/>
                <w:color w:val="auto"/>
              </w:rPr>
              <w:t>Decrease from expiration of statute of limitations</w:t>
            </w:r>
          </w:p>
        </w:tc>
        <w:tc>
          <w:tcPr>
            <w:tcW w:w="400" w:type="dxa"/>
            <w:vAlign w:val="bottom"/>
            <w:tcBorders>
              <w:bottom w:val="single" w:sz="8" w:color="auto"/>
            </w:tcBorders>
            <w:shd w:val="clear" w:color="auto" w:fill="DBDBDB"/>
          </w:tcPr>
          <w:p>
            <w:pPr>
              <w:spacing w:after="0"/>
              <w:rPr>
                <w:sz w:val="15"/>
                <w:szCs w:val="15"/>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(10,189)</w:t>
            </w:r>
          </w:p>
        </w:tc>
        <w:tc>
          <w:tcPr>
            <w:tcW w:w="80" w:type="dxa"/>
            <w:vAlign w:val="bottom"/>
            <w:shd w:val="clear" w:color="auto" w:fill="DBDBDB"/>
          </w:tcPr>
          <w:p>
            <w:pPr>
              <w:spacing w:after="0"/>
              <w:rPr>
                <w:sz w:val="15"/>
                <w:szCs w:val="15"/>
                <w:color w:val="auto"/>
              </w:rPr>
            </w:pPr>
          </w:p>
        </w:tc>
        <w:tc>
          <w:tcPr>
            <w:tcW w:w="400" w:type="dxa"/>
            <w:vAlign w:val="bottom"/>
            <w:tcBorders>
              <w:bottom w:val="single" w:sz="8" w:color="auto"/>
            </w:tcBorders>
            <w:shd w:val="clear" w:color="auto" w:fill="DBDBDB"/>
          </w:tcPr>
          <w:p>
            <w:pPr>
              <w:spacing w:after="0"/>
              <w:rPr>
                <w:sz w:val="15"/>
                <w:szCs w:val="15"/>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(10,464)</w:t>
            </w:r>
          </w:p>
        </w:tc>
        <w:tc>
          <w:tcPr>
            <w:tcW w:w="80" w:type="dxa"/>
            <w:vAlign w:val="bottom"/>
            <w:shd w:val="clear" w:color="auto" w:fill="DBDBDB"/>
          </w:tcPr>
          <w:p>
            <w:pPr>
              <w:spacing w:after="0"/>
              <w:rPr>
                <w:sz w:val="15"/>
                <w:szCs w:val="15"/>
                <w:color w:val="auto"/>
              </w:rPr>
            </w:pPr>
          </w:p>
        </w:tc>
        <w:tc>
          <w:tcPr>
            <w:tcW w:w="400" w:type="dxa"/>
            <w:vAlign w:val="bottom"/>
            <w:tcBorders>
              <w:bottom w:val="single" w:sz="8" w:color="auto"/>
            </w:tcBorders>
            <w:shd w:val="clear" w:color="auto" w:fill="DBDBDB"/>
          </w:tcPr>
          <w:p>
            <w:pPr>
              <w:spacing w:after="0"/>
              <w:rPr>
                <w:sz w:val="15"/>
                <w:szCs w:val="15"/>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(678)</w:t>
            </w:r>
          </w:p>
        </w:tc>
      </w:tr>
      <w:tr>
        <w:trPr>
          <w:trHeight w:val="169"/>
        </w:trPr>
        <w:tc>
          <w:tcPr>
            <w:tcW w:w="6020" w:type="dxa"/>
            <w:vAlign w:val="bottom"/>
          </w:tcPr>
          <w:p>
            <w:pPr>
              <w:ind w:left="20"/>
              <w:spacing w:after="0"/>
              <w:rPr>
                <w:sz w:val="20"/>
                <w:szCs w:val="20"/>
                <w:color w:val="auto"/>
              </w:rPr>
            </w:pPr>
            <w:r>
              <w:rPr>
                <w:rFonts w:ascii="Arial" w:cs="Arial" w:eastAsia="Arial" w:hAnsi="Arial"/>
                <w:sz w:val="13"/>
                <w:szCs w:val="13"/>
                <w:color w:val="auto"/>
              </w:rPr>
              <w:t>Unrecognized tax benefits – December 31,</w:t>
            </w:r>
          </w:p>
        </w:tc>
        <w:tc>
          <w:tcPr>
            <w:tcW w:w="40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44,314</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54,494</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63,747</w:t>
            </w:r>
          </w:p>
        </w:tc>
      </w:tr>
      <w:tr>
        <w:trPr>
          <w:trHeight w:val="20"/>
        </w:trPr>
        <w:tc>
          <w:tcPr>
            <w:tcW w:w="6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At December 31, 2021, 2020 and 2019, respectively, there were $43.3 million, $53.2 million and $59.3 million of unrecognized tax benefits that, if recognized, would affect the annual effective tax rate.</w:t>
      </w:r>
    </w:p>
    <w:p>
      <w:pPr>
        <w:spacing w:after="0" w:line="31"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The Company classifies interest on tax deficiencies and income tax penalties within income tax expense. During the years ended December 31, 2021, 2020 and 2019, the Company recognized approximately $(1.0) million, $(0.9) million, and $0.8 million in interest and penalties, respectively. The Company accrued approximately $0.6 million and $1.5 million for the payment of interest and penalties at December 31, 2021 and 2020, respectively.</w:t>
      </w:r>
    </w:p>
    <w:p>
      <w:pPr>
        <w:spacing w:after="0" w:line="33"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Future tax settlements or statute of limitation expirations could result in a change to the Company’s uncertain tax positions. The Company believes that it is reasonably possible that approximately $0.9 million of unrecognized tax benefits, as of December 31, 2021, could decrease in the next twelve months as a result of the expiration of statutes of limitation, audit settlements or resolution of tax uncertainties.</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1D2758"/>
        </w:rPr>
        <w:t>NOTE 13 - Derivatives</w:t>
      </w:r>
    </w:p>
    <w:p>
      <w:pPr>
        <w:spacing w:after="0" w:line="42"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On November 6, 2018, the Company entered into an interest rate swap agreement (the “Swap Agreement”) with a financial counterparty that effectively converts $400.0 million in aggregate notional amount of variable-rate debt under the Company’s ABL Facility into fixed-rate debt. The Swap Agreement will terminate on May 29, 2022. Under the terms of the Swap Agreement, the Company receives a floating rate equal to one-month LIBOR and makes payments based on a fixed rate of 3.06% on the notional amount. The receive rate under the terms of the Swap Agreement was 0.11% and 0.15% at December 31, 2021 and 2020, respectively.</w:t>
      </w:r>
    </w:p>
    <w:p>
      <w:pPr>
        <w:spacing w:after="0" w:line="35" w:lineRule="exact"/>
        <w:rPr>
          <w:sz w:val="20"/>
          <w:szCs w:val="20"/>
          <w:color w:val="auto"/>
        </w:rPr>
      </w:pPr>
    </w:p>
    <w:p>
      <w:pPr>
        <w:jc w:val="both"/>
        <w:ind w:right="20" w:firstLine="524"/>
        <w:spacing w:after="0" w:line="256" w:lineRule="auto"/>
        <w:rPr>
          <w:sz w:val="20"/>
          <w:szCs w:val="20"/>
          <w:color w:val="auto"/>
        </w:rPr>
      </w:pPr>
      <w:r>
        <w:rPr>
          <w:rFonts w:ascii="Arial" w:cs="Arial" w:eastAsia="Arial" w:hAnsi="Arial"/>
          <w:sz w:val="13"/>
          <w:szCs w:val="13"/>
          <w:color w:val="auto"/>
        </w:rPr>
        <w:t>The Swap Agreement was designated and qualified as a hedge of the Company’s exposure to changes in interest payment cash flows created by fluctuations in variable interest rates on the ABL Facility.</w:t>
      </w:r>
    </w:p>
    <w:p>
      <w:pPr>
        <w:spacing w:after="0" w:line="31"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location and the fair value of derivative instruments designated as hedges in the consolidated balance sheets as of December 31 was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4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4640" w:type="dxa"/>
            <w:vAlign w:val="bottom"/>
            <w:shd w:val="clear" w:color="auto" w:fill="1D2758"/>
          </w:tcPr>
          <w:p>
            <w:pPr>
              <w:ind w:left="2520"/>
              <w:spacing w:after="0"/>
              <w:rPr>
                <w:sz w:val="20"/>
                <w:szCs w:val="20"/>
                <w:color w:val="auto"/>
              </w:rPr>
            </w:pPr>
            <w:r>
              <w:rPr>
                <w:rFonts w:ascii="Arial" w:cs="Arial" w:eastAsia="Arial" w:hAnsi="Arial"/>
                <w:sz w:val="13"/>
                <w:szCs w:val="13"/>
                <w:b w:val="1"/>
                <w:bCs w:val="1"/>
                <w:color w:val="FFFFFF"/>
              </w:rPr>
              <w:t>Balance Sheet Location</w:t>
            </w:r>
          </w:p>
        </w:tc>
        <w:tc>
          <w:tcPr>
            <w:tcW w:w="1780" w:type="dxa"/>
            <w:vAlign w:val="bottom"/>
            <w:shd w:val="clear" w:color="auto" w:fill="1D2758"/>
          </w:tcPr>
          <w:p>
            <w:pPr>
              <w:jc w:val="right"/>
              <w:ind w:right="94"/>
              <w:spacing w:after="0"/>
              <w:rPr>
                <w:sz w:val="20"/>
                <w:szCs w:val="20"/>
                <w:color w:val="auto"/>
              </w:rPr>
            </w:pPr>
            <w:r>
              <w:rPr>
                <w:rFonts w:ascii="Arial" w:cs="Arial" w:eastAsia="Arial" w:hAnsi="Arial"/>
                <w:sz w:val="13"/>
                <w:szCs w:val="13"/>
                <w:b w:val="1"/>
                <w:bCs w:val="1"/>
                <w:color w:val="FFFFFF"/>
              </w:rPr>
              <w:t>2021</w:t>
            </w:r>
          </w:p>
        </w:tc>
        <w:tc>
          <w:tcPr>
            <w:tcW w:w="560" w:type="dxa"/>
            <w:vAlign w:val="bottom"/>
            <w:shd w:val="clear" w:color="auto" w:fill="1D2758"/>
          </w:tcPr>
          <w:p>
            <w:pPr>
              <w:spacing w:after="0"/>
              <w:rPr>
                <w:sz w:val="15"/>
                <w:szCs w:val="15"/>
                <w:color w:val="auto"/>
              </w:rPr>
            </w:pPr>
          </w:p>
        </w:tc>
        <w:tc>
          <w:tcPr>
            <w:tcW w:w="460" w:type="dxa"/>
            <w:vAlign w:val="bottom"/>
            <w:shd w:val="clear" w:color="auto" w:fill="1D2758"/>
          </w:tcPr>
          <w:p>
            <w:pPr>
              <w:spacing w:after="0"/>
              <w:rPr>
                <w:sz w:val="15"/>
                <w:szCs w:val="15"/>
                <w:color w:val="auto"/>
              </w:rPr>
            </w:pPr>
          </w:p>
        </w:tc>
        <w:tc>
          <w:tcPr>
            <w:tcW w:w="1300" w:type="dxa"/>
            <w:vAlign w:val="bottom"/>
            <w:shd w:val="clear" w:color="auto" w:fill="1D2758"/>
          </w:tcPr>
          <w:p>
            <w:pPr>
              <w:jc w:val="right"/>
              <w:ind w:right="634"/>
              <w:spacing w:after="0"/>
              <w:rPr>
                <w:sz w:val="20"/>
                <w:szCs w:val="20"/>
                <w:color w:val="auto"/>
              </w:rPr>
            </w:pPr>
            <w:r>
              <w:rPr>
                <w:rFonts w:ascii="Arial" w:cs="Arial" w:eastAsia="Arial" w:hAnsi="Arial"/>
                <w:sz w:val="13"/>
                <w:szCs w:val="13"/>
                <w:b w:val="1"/>
                <w:bCs w:val="1"/>
                <w:color w:val="FFFFFF"/>
              </w:rPr>
              <w:t>2020</w:t>
            </w:r>
          </w:p>
        </w:tc>
      </w:tr>
      <w:tr>
        <w:trPr>
          <w:trHeight w:val="175"/>
        </w:trPr>
        <w:tc>
          <w:tcPr>
            <w:tcW w:w="2540" w:type="dxa"/>
            <w:vAlign w:val="bottom"/>
            <w:shd w:val="clear" w:color="auto" w:fill="DBDBDB"/>
          </w:tcPr>
          <w:p>
            <w:pPr>
              <w:ind w:left="20"/>
              <w:spacing w:after="0"/>
              <w:rPr>
                <w:sz w:val="20"/>
                <w:szCs w:val="20"/>
                <w:color w:val="auto"/>
              </w:rPr>
            </w:pPr>
            <w:r>
              <w:rPr>
                <w:rFonts w:ascii="Arial" w:cs="Arial" w:eastAsia="Arial" w:hAnsi="Arial"/>
                <w:sz w:val="13"/>
                <w:szCs w:val="13"/>
                <w:color w:val="auto"/>
              </w:rPr>
              <w:t>Cash Flow Hedges:</w:t>
            </w:r>
          </w:p>
        </w:tc>
        <w:tc>
          <w:tcPr>
            <w:tcW w:w="4640" w:type="dxa"/>
            <w:vAlign w:val="bottom"/>
            <w:shd w:val="clear" w:color="auto" w:fill="DBDBDB"/>
          </w:tcPr>
          <w:p>
            <w:pPr>
              <w:spacing w:after="0"/>
              <w:rPr>
                <w:sz w:val="15"/>
                <w:szCs w:val="15"/>
                <w:color w:val="auto"/>
              </w:rPr>
            </w:pPr>
          </w:p>
        </w:tc>
        <w:tc>
          <w:tcPr>
            <w:tcW w:w="1780" w:type="dxa"/>
            <w:vAlign w:val="bottom"/>
            <w:shd w:val="clear" w:color="auto" w:fill="DBDBDB"/>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46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r>
      <w:tr>
        <w:trPr>
          <w:trHeight w:val="172"/>
        </w:trPr>
        <w:tc>
          <w:tcPr>
            <w:tcW w:w="2540" w:type="dxa"/>
            <w:vAlign w:val="bottom"/>
          </w:tcPr>
          <w:p>
            <w:pPr>
              <w:ind w:left="200"/>
              <w:spacing w:after="0"/>
              <w:rPr>
                <w:sz w:val="20"/>
                <w:szCs w:val="20"/>
                <w:color w:val="auto"/>
              </w:rPr>
            </w:pPr>
            <w:r>
              <w:rPr>
                <w:rFonts w:ascii="Arial" w:cs="Arial" w:eastAsia="Arial" w:hAnsi="Arial"/>
                <w:sz w:val="13"/>
                <w:szCs w:val="13"/>
                <w:color w:val="auto"/>
              </w:rPr>
              <w:t>Interest rate swap</w:t>
            </w:r>
          </w:p>
        </w:tc>
        <w:tc>
          <w:tcPr>
            <w:tcW w:w="4640" w:type="dxa"/>
            <w:vAlign w:val="bottom"/>
          </w:tcPr>
          <w:p>
            <w:pPr>
              <w:ind w:left="1280"/>
              <w:spacing w:after="0"/>
              <w:rPr>
                <w:sz w:val="20"/>
                <w:szCs w:val="20"/>
                <w:color w:val="auto"/>
              </w:rPr>
            </w:pPr>
            <w:r>
              <w:rPr>
                <w:rFonts w:ascii="Arial" w:cs="Arial" w:eastAsia="Arial" w:hAnsi="Arial"/>
                <w:sz w:val="13"/>
                <w:szCs w:val="13"/>
                <w:color w:val="auto"/>
              </w:rPr>
              <w:t>Accrued liabilities</w:t>
            </w:r>
          </w:p>
        </w:tc>
        <w:tc>
          <w:tcPr>
            <w:tcW w:w="1780" w:type="dxa"/>
            <w:vAlign w:val="bottom"/>
          </w:tcPr>
          <w:p>
            <w:pPr>
              <w:jc w:val="right"/>
              <w:ind w:right="994"/>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4"/>
              <w:spacing w:after="0"/>
              <w:rPr>
                <w:sz w:val="20"/>
                <w:szCs w:val="20"/>
                <w:color w:val="auto"/>
              </w:rPr>
            </w:pPr>
            <w:r>
              <w:rPr>
                <w:rFonts w:ascii="Arial" w:cs="Arial" w:eastAsia="Arial" w:hAnsi="Arial"/>
                <w:sz w:val="13"/>
                <w:szCs w:val="13"/>
                <w:color w:val="auto"/>
              </w:rPr>
              <w:t>5,259</w:t>
            </w:r>
          </w:p>
        </w:tc>
        <w:tc>
          <w:tcPr>
            <w:tcW w:w="460" w:type="dxa"/>
            <w:vAlign w:val="bottom"/>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11,619</w:t>
            </w:r>
          </w:p>
        </w:tc>
      </w:tr>
      <w:tr>
        <w:trPr>
          <w:trHeight w:val="178"/>
        </w:trPr>
        <w:tc>
          <w:tcPr>
            <w:tcW w:w="25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Interest rate swap</w:t>
            </w:r>
          </w:p>
        </w:tc>
        <w:tc>
          <w:tcPr>
            <w:tcW w:w="4640" w:type="dxa"/>
            <w:vAlign w:val="bottom"/>
            <w:shd w:val="clear" w:color="auto" w:fill="DBDBDB"/>
          </w:tcPr>
          <w:p>
            <w:pPr>
              <w:ind w:left="1280"/>
              <w:spacing w:after="0"/>
              <w:rPr>
                <w:sz w:val="20"/>
                <w:szCs w:val="20"/>
                <w:color w:val="auto"/>
              </w:rPr>
            </w:pPr>
            <w:r>
              <w:rPr>
                <w:rFonts w:ascii="Arial" w:cs="Arial" w:eastAsia="Arial" w:hAnsi="Arial"/>
                <w:sz w:val="13"/>
                <w:szCs w:val="13"/>
                <w:color w:val="auto"/>
              </w:rPr>
              <w:t>Other non-current liabilities</w:t>
            </w:r>
          </w:p>
        </w:tc>
        <w:tc>
          <w:tcPr>
            <w:tcW w:w="1780" w:type="dxa"/>
            <w:vAlign w:val="bottom"/>
            <w:shd w:val="clear" w:color="auto" w:fill="DBDBDB"/>
          </w:tcPr>
          <w:p>
            <w:pPr>
              <w:jc w:val="right"/>
              <w:ind w:right="994"/>
              <w:spacing w:after="0"/>
              <w:rPr>
                <w:sz w:val="20"/>
                <w:szCs w:val="20"/>
                <w:color w:val="auto"/>
              </w:rPr>
            </w:pPr>
            <w:r>
              <w:rPr>
                <w:rFonts w:ascii="Arial" w:cs="Arial" w:eastAsia="Arial" w:hAnsi="Arial"/>
                <w:sz w:val="13"/>
                <w:szCs w:val="13"/>
                <w:color w:val="auto"/>
              </w:rPr>
              <w:t>$</w:t>
            </w:r>
          </w:p>
        </w:tc>
        <w:tc>
          <w:tcPr>
            <w:tcW w:w="560" w:type="dxa"/>
            <w:vAlign w:val="bottom"/>
            <w:shd w:val="clear" w:color="auto" w:fill="DBDBDB"/>
          </w:tcPr>
          <w:p>
            <w:pPr>
              <w:jc w:val="right"/>
              <w:ind w:right="14"/>
              <w:spacing w:after="0"/>
              <w:rPr>
                <w:sz w:val="20"/>
                <w:szCs w:val="20"/>
                <w:color w:val="auto"/>
              </w:rPr>
            </w:pPr>
            <w:r>
              <w:rPr>
                <w:rFonts w:ascii="Arial" w:cs="Arial" w:eastAsia="Arial" w:hAnsi="Arial"/>
                <w:sz w:val="13"/>
                <w:szCs w:val="13"/>
                <w:color w:val="auto"/>
              </w:rPr>
              <w:t>—</w:t>
            </w:r>
          </w:p>
        </w:tc>
        <w:tc>
          <w:tcPr>
            <w:tcW w:w="460" w:type="dxa"/>
            <w:vAlign w:val="bottom"/>
            <w:shd w:val="clear" w:color="auto" w:fill="DBDBDB"/>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5,308</w:t>
            </w:r>
          </w:p>
        </w:tc>
      </w:tr>
    </w:tbl>
    <w:p>
      <w:pPr>
        <w:spacing w:after="0" w:line="307"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The fair value of the interest rate swap is based on dealer quotes of market forward rates, a Level 2 input on the fair value hierarchy, and reflects the amount that the Company would receive or pay as of December 31, 2021 for contracts involving the same attributes and maturity dates.</w:t>
      </w:r>
    </w:p>
    <w:p>
      <w:pPr>
        <w:spacing w:after="0" w:line="31"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The following table discloses the impact of the interest rate swap, excluding the impact of income taxes, on other comprehensive income (“OCI”), AOCI and the Company’s statement of operations for the years ended December 31:</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960" w:type="dxa"/>
            <w:vAlign w:val="bottom"/>
            <w:shd w:val="clear" w:color="auto" w:fill="1D2758"/>
          </w:tcPr>
          <w:p>
            <w:pPr>
              <w:spacing w:after="0"/>
              <w:rPr>
                <w:sz w:val="16"/>
                <w:szCs w:val="16"/>
                <w:color w:val="auto"/>
              </w:rPr>
            </w:pPr>
          </w:p>
        </w:tc>
        <w:tc>
          <w:tcPr>
            <w:tcW w:w="1880" w:type="dxa"/>
            <w:vAlign w:val="bottom"/>
            <w:shd w:val="clear" w:color="auto" w:fill="1D2758"/>
          </w:tcPr>
          <w:p>
            <w:pPr>
              <w:jc w:val="right"/>
              <w:ind w:right="874"/>
              <w:spacing w:after="0"/>
              <w:rPr>
                <w:sz w:val="20"/>
                <w:szCs w:val="20"/>
                <w:color w:val="auto"/>
              </w:rPr>
            </w:pPr>
            <w:r>
              <w:rPr>
                <w:rFonts w:ascii="Arial" w:cs="Arial" w:eastAsia="Arial" w:hAnsi="Arial"/>
                <w:sz w:val="13"/>
                <w:szCs w:val="13"/>
                <w:b w:val="1"/>
                <w:bCs w:val="1"/>
                <w:color w:val="FFFFFF"/>
              </w:rPr>
              <w:t>2021</w:t>
            </w:r>
          </w:p>
        </w:tc>
        <w:tc>
          <w:tcPr>
            <w:tcW w:w="300" w:type="dxa"/>
            <w:vAlign w:val="bottom"/>
            <w:shd w:val="clear" w:color="auto" w:fill="1D2758"/>
          </w:tcPr>
          <w:p>
            <w:pPr>
              <w:spacing w:after="0"/>
              <w:rPr>
                <w:sz w:val="16"/>
                <w:szCs w:val="16"/>
                <w:color w:val="auto"/>
              </w:rPr>
            </w:pPr>
          </w:p>
        </w:tc>
        <w:tc>
          <w:tcPr>
            <w:tcW w:w="1880" w:type="dxa"/>
            <w:vAlign w:val="bottom"/>
            <w:shd w:val="clear" w:color="auto" w:fill="1D2758"/>
          </w:tcPr>
          <w:p>
            <w:pPr>
              <w:jc w:val="right"/>
              <w:ind w:right="874"/>
              <w:spacing w:after="0"/>
              <w:rPr>
                <w:sz w:val="20"/>
                <w:szCs w:val="20"/>
                <w:color w:val="auto"/>
              </w:rPr>
            </w:pPr>
            <w:r>
              <w:rPr>
                <w:rFonts w:ascii="Arial" w:cs="Arial" w:eastAsia="Arial" w:hAnsi="Arial"/>
                <w:sz w:val="13"/>
                <w:szCs w:val="13"/>
                <w:b w:val="1"/>
                <w:bCs w:val="1"/>
                <w:color w:val="FFFFFF"/>
              </w:rPr>
              <w:t>2020</w:t>
            </w:r>
          </w:p>
        </w:tc>
        <w:tc>
          <w:tcPr>
            <w:tcW w:w="300" w:type="dxa"/>
            <w:vAlign w:val="bottom"/>
            <w:shd w:val="clear" w:color="auto" w:fill="1D2758"/>
          </w:tcPr>
          <w:p>
            <w:pPr>
              <w:spacing w:after="0"/>
              <w:rPr>
                <w:sz w:val="16"/>
                <w:szCs w:val="16"/>
                <w:color w:val="auto"/>
              </w:rPr>
            </w:pPr>
          </w:p>
        </w:tc>
        <w:tc>
          <w:tcPr>
            <w:tcW w:w="1840" w:type="dxa"/>
            <w:vAlign w:val="bottom"/>
            <w:shd w:val="clear" w:color="auto" w:fill="1D2758"/>
          </w:tcPr>
          <w:p>
            <w:pPr>
              <w:jc w:val="right"/>
              <w:ind w:right="834"/>
              <w:spacing w:after="0"/>
              <w:rPr>
                <w:sz w:val="20"/>
                <w:szCs w:val="20"/>
                <w:color w:val="auto"/>
              </w:rPr>
            </w:pPr>
            <w:r>
              <w:rPr>
                <w:rFonts w:ascii="Arial" w:cs="Arial" w:eastAsia="Arial" w:hAnsi="Arial"/>
                <w:sz w:val="13"/>
                <w:szCs w:val="13"/>
                <w:b w:val="1"/>
                <w:bCs w:val="1"/>
                <w:color w:val="FFFFFF"/>
              </w:rPr>
              <w:t>2019</w:t>
            </w:r>
          </w:p>
        </w:tc>
      </w:tr>
      <w:tr>
        <w:trPr>
          <w:trHeight w:val="175"/>
        </w:trPr>
        <w:tc>
          <w:tcPr>
            <w:tcW w:w="4120" w:type="dxa"/>
            <w:vAlign w:val="bottom"/>
            <w:shd w:val="clear" w:color="auto" w:fill="DBDBDB"/>
          </w:tcPr>
          <w:p>
            <w:pPr>
              <w:ind w:left="20"/>
              <w:spacing w:after="0"/>
              <w:rPr>
                <w:sz w:val="20"/>
                <w:szCs w:val="20"/>
                <w:color w:val="auto"/>
              </w:rPr>
            </w:pPr>
            <w:r>
              <w:rPr>
                <w:rFonts w:ascii="Arial" w:cs="Arial" w:eastAsia="Arial" w:hAnsi="Arial"/>
                <w:sz w:val="13"/>
                <w:szCs w:val="13"/>
                <w:color w:val="auto"/>
              </w:rPr>
              <w:t>Gain (loss) recognized in OCI</w:t>
            </w:r>
          </w:p>
        </w:tc>
        <w:tc>
          <w:tcPr>
            <w:tcW w:w="96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w:t>
            </w:r>
          </w:p>
        </w:tc>
        <w:tc>
          <w:tcPr>
            <w:tcW w:w="1880" w:type="dxa"/>
            <w:vAlign w:val="bottom"/>
            <w:shd w:val="clear" w:color="auto" w:fill="DBDBDB"/>
          </w:tcPr>
          <w:p>
            <w:pPr>
              <w:jc w:val="right"/>
              <w:ind w:right="34"/>
              <w:spacing w:after="0"/>
              <w:rPr>
                <w:sz w:val="20"/>
                <w:szCs w:val="20"/>
                <w:color w:val="auto"/>
              </w:rPr>
            </w:pPr>
            <w:r>
              <w:rPr>
                <w:rFonts w:ascii="Arial" w:cs="Arial" w:eastAsia="Arial" w:hAnsi="Arial"/>
                <w:sz w:val="13"/>
                <w:szCs w:val="13"/>
                <w:color w:val="auto"/>
              </w:rPr>
              <w:t>11,677</w:t>
            </w:r>
          </w:p>
        </w:tc>
        <w:tc>
          <w:tcPr>
            <w:tcW w:w="300" w:type="dxa"/>
            <w:vAlign w:val="bottom"/>
            <w:shd w:val="clear" w:color="auto" w:fill="DBDBDB"/>
          </w:tcPr>
          <w:p>
            <w:pPr>
              <w:jc w:val="right"/>
              <w:ind w:right="114"/>
              <w:spacing w:after="0"/>
              <w:rPr>
                <w:sz w:val="20"/>
                <w:szCs w:val="20"/>
                <w:color w:val="auto"/>
              </w:rPr>
            </w:pPr>
            <w:r>
              <w:rPr>
                <w:rFonts w:ascii="Arial" w:cs="Arial" w:eastAsia="Arial" w:hAnsi="Arial"/>
                <w:sz w:val="13"/>
                <w:szCs w:val="13"/>
                <w:color w:val="auto"/>
              </w:rPr>
              <w:t>$</w:t>
            </w:r>
          </w:p>
        </w:tc>
        <w:tc>
          <w:tcPr>
            <w:tcW w:w="1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(2,288)</w:t>
            </w:r>
          </w:p>
        </w:tc>
        <w:tc>
          <w:tcPr>
            <w:tcW w:w="30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w:t>
            </w:r>
          </w:p>
        </w:tc>
        <w:tc>
          <w:tcPr>
            <w:tcW w:w="1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(6,280)</w:t>
            </w:r>
          </w:p>
        </w:tc>
      </w:tr>
      <w:tr>
        <w:trPr>
          <w:trHeight w:val="172"/>
        </w:trPr>
        <w:tc>
          <w:tcPr>
            <w:tcW w:w="4120" w:type="dxa"/>
            <w:vAlign w:val="bottom"/>
          </w:tcPr>
          <w:p>
            <w:pPr>
              <w:ind w:left="20"/>
              <w:spacing w:after="0"/>
              <w:rPr>
                <w:sz w:val="20"/>
                <w:szCs w:val="20"/>
                <w:color w:val="auto"/>
              </w:rPr>
            </w:pPr>
            <w:r>
              <w:rPr>
                <w:rFonts w:ascii="Arial" w:cs="Arial" w:eastAsia="Arial" w:hAnsi="Arial"/>
                <w:sz w:val="13"/>
                <w:szCs w:val="13"/>
                <w:color w:val="auto"/>
              </w:rPr>
              <w:t>Location of loss recognized in income</w:t>
            </w:r>
          </w:p>
        </w:tc>
        <w:tc>
          <w:tcPr>
            <w:tcW w:w="960" w:type="dxa"/>
            <w:vAlign w:val="bottom"/>
          </w:tcPr>
          <w:p>
            <w:pPr>
              <w:spacing w:after="0"/>
              <w:rPr>
                <w:sz w:val="14"/>
                <w:szCs w:val="14"/>
                <w:color w:val="auto"/>
              </w:rPr>
            </w:pPr>
          </w:p>
        </w:tc>
        <w:tc>
          <w:tcPr>
            <w:tcW w:w="1880" w:type="dxa"/>
            <w:vAlign w:val="bottom"/>
          </w:tcPr>
          <w:p>
            <w:pPr>
              <w:jc w:val="center"/>
              <w:ind w:right="234"/>
              <w:spacing w:after="0"/>
              <w:rPr>
                <w:sz w:val="20"/>
                <w:szCs w:val="20"/>
                <w:color w:val="auto"/>
              </w:rPr>
            </w:pPr>
            <w:r>
              <w:rPr>
                <w:rFonts w:ascii="Arial" w:cs="Arial" w:eastAsia="Arial" w:hAnsi="Arial"/>
                <w:sz w:val="13"/>
                <w:szCs w:val="13"/>
                <w:color w:val="auto"/>
              </w:rPr>
              <w:t>Interest expense, net</w:t>
            </w:r>
          </w:p>
        </w:tc>
        <w:tc>
          <w:tcPr>
            <w:tcW w:w="300" w:type="dxa"/>
            <w:vAlign w:val="bottom"/>
          </w:tcPr>
          <w:p>
            <w:pPr>
              <w:spacing w:after="0"/>
              <w:rPr>
                <w:sz w:val="14"/>
                <w:szCs w:val="14"/>
                <w:color w:val="auto"/>
              </w:rPr>
            </w:pPr>
          </w:p>
        </w:tc>
        <w:tc>
          <w:tcPr>
            <w:tcW w:w="1880" w:type="dxa"/>
            <w:vAlign w:val="bottom"/>
          </w:tcPr>
          <w:p>
            <w:pPr>
              <w:jc w:val="right"/>
              <w:ind w:right="414"/>
              <w:spacing w:after="0"/>
              <w:rPr>
                <w:sz w:val="20"/>
                <w:szCs w:val="20"/>
                <w:color w:val="auto"/>
              </w:rPr>
            </w:pPr>
            <w:r>
              <w:rPr>
                <w:rFonts w:ascii="Arial" w:cs="Arial" w:eastAsia="Arial" w:hAnsi="Arial"/>
                <w:sz w:val="13"/>
                <w:szCs w:val="13"/>
                <w:color w:val="auto"/>
              </w:rPr>
              <w:t>Interest expense, net</w:t>
            </w:r>
          </w:p>
        </w:tc>
        <w:tc>
          <w:tcPr>
            <w:tcW w:w="300" w:type="dxa"/>
            <w:vAlign w:val="bottom"/>
          </w:tcPr>
          <w:p>
            <w:pPr>
              <w:spacing w:after="0"/>
              <w:rPr>
                <w:sz w:val="14"/>
                <w:szCs w:val="14"/>
                <w:color w:val="auto"/>
              </w:rPr>
            </w:pPr>
          </w:p>
        </w:tc>
        <w:tc>
          <w:tcPr>
            <w:tcW w:w="1840" w:type="dxa"/>
            <w:vAlign w:val="bottom"/>
          </w:tcPr>
          <w:p>
            <w:pPr>
              <w:jc w:val="right"/>
              <w:ind w:right="374"/>
              <w:spacing w:after="0"/>
              <w:rPr>
                <w:sz w:val="20"/>
                <w:szCs w:val="20"/>
                <w:color w:val="auto"/>
              </w:rPr>
            </w:pPr>
            <w:r>
              <w:rPr>
                <w:rFonts w:ascii="Arial" w:cs="Arial" w:eastAsia="Arial" w:hAnsi="Arial"/>
                <w:sz w:val="13"/>
                <w:szCs w:val="13"/>
                <w:color w:val="auto"/>
              </w:rPr>
              <w:t>Interest expense, net</w:t>
            </w:r>
          </w:p>
        </w:tc>
      </w:tr>
      <w:tr>
        <w:trPr>
          <w:trHeight w:val="178"/>
        </w:trPr>
        <w:tc>
          <w:tcPr>
            <w:tcW w:w="4120" w:type="dxa"/>
            <w:vAlign w:val="bottom"/>
            <w:shd w:val="clear" w:color="auto" w:fill="DBDBDB"/>
          </w:tcPr>
          <w:p>
            <w:pPr>
              <w:ind w:left="20"/>
              <w:spacing w:after="0"/>
              <w:rPr>
                <w:sz w:val="20"/>
                <w:szCs w:val="20"/>
                <w:color w:val="auto"/>
              </w:rPr>
            </w:pPr>
            <w:r>
              <w:rPr>
                <w:rFonts w:ascii="Arial" w:cs="Arial" w:eastAsia="Arial" w:hAnsi="Arial"/>
                <w:sz w:val="13"/>
                <w:szCs w:val="13"/>
                <w:color w:val="auto"/>
              </w:rPr>
              <w:t>Loss reclassified from AOCI into income (effective portion)</w:t>
            </w:r>
          </w:p>
        </w:tc>
        <w:tc>
          <w:tcPr>
            <w:tcW w:w="96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w:t>
            </w:r>
          </w:p>
        </w:tc>
        <w:tc>
          <w:tcPr>
            <w:tcW w:w="1880" w:type="dxa"/>
            <w:vAlign w:val="bottom"/>
            <w:shd w:val="clear" w:color="auto" w:fill="DBDBDB"/>
          </w:tcPr>
          <w:p>
            <w:pPr>
              <w:jc w:val="right"/>
              <w:ind w:right="14"/>
              <w:spacing w:after="0"/>
              <w:rPr>
                <w:sz w:val="20"/>
                <w:szCs w:val="20"/>
                <w:color w:val="auto"/>
              </w:rPr>
            </w:pPr>
            <w:r>
              <w:rPr>
                <w:rFonts w:ascii="Arial" w:cs="Arial" w:eastAsia="Arial" w:hAnsi="Arial"/>
                <w:sz w:val="13"/>
                <w:szCs w:val="13"/>
                <w:color w:val="auto"/>
              </w:rPr>
              <w:t>(12,001)</w:t>
            </w:r>
          </w:p>
        </w:tc>
        <w:tc>
          <w:tcPr>
            <w:tcW w:w="300" w:type="dxa"/>
            <w:vAlign w:val="bottom"/>
            <w:shd w:val="clear" w:color="auto" w:fill="DBDBDB"/>
          </w:tcPr>
          <w:p>
            <w:pPr>
              <w:jc w:val="right"/>
              <w:ind w:right="114"/>
              <w:spacing w:after="0"/>
              <w:rPr>
                <w:sz w:val="20"/>
                <w:szCs w:val="20"/>
                <w:color w:val="auto"/>
              </w:rPr>
            </w:pPr>
            <w:r>
              <w:rPr>
                <w:rFonts w:ascii="Arial" w:cs="Arial" w:eastAsia="Arial" w:hAnsi="Arial"/>
                <w:sz w:val="13"/>
                <w:szCs w:val="13"/>
                <w:color w:val="auto"/>
              </w:rPr>
              <w:t>$</w:t>
            </w:r>
          </w:p>
        </w:tc>
        <w:tc>
          <w:tcPr>
            <w:tcW w:w="1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(10,125)</w:t>
            </w:r>
          </w:p>
        </w:tc>
        <w:tc>
          <w:tcPr>
            <w:tcW w:w="30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w:t>
            </w:r>
          </w:p>
        </w:tc>
        <w:tc>
          <w:tcPr>
            <w:tcW w:w="1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(3,254)</w:t>
            </w: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07" w:right="319" w:bottom="1440" w:gutter="0" w:footer="0" w:header="0"/>
        </w:sectPr>
      </w:pPr>
    </w:p>
    <w:bookmarkStart w:id="104" w:name="page105"/>
    <w:bookmarkEnd w:id="104"/>
    <w:p>
      <w:pPr>
        <w:spacing w:after="0"/>
        <w:rPr>
          <w:sz w:val="20"/>
          <w:szCs w:val="20"/>
          <w:color w:val="auto"/>
        </w:rPr>
      </w:pPr>
      <w:r>
        <w:rPr>
          <w:rFonts w:ascii="Arial" w:cs="Arial" w:eastAsia="Arial" w:hAnsi="Arial"/>
          <w:sz w:val="19"/>
          <w:szCs w:val="19"/>
          <w:color w:val="1D2758"/>
        </w:rPr>
        <w:t>NOTE 14 - Fair Value Measures</w:t>
      </w:r>
    </w:p>
    <w:p>
      <w:pPr>
        <w:spacing w:after="0" w:line="42" w:lineRule="exact"/>
        <w:rPr>
          <w:sz w:val="20"/>
          <w:szCs w:val="20"/>
          <w:color w:val="auto"/>
        </w:rPr>
      </w:pPr>
    </w:p>
    <w:p>
      <w:pPr>
        <w:ind w:firstLine="524"/>
        <w:spacing w:after="0" w:line="256" w:lineRule="auto"/>
        <w:rPr>
          <w:sz w:val="20"/>
          <w:szCs w:val="20"/>
          <w:color w:val="auto"/>
        </w:rPr>
      </w:pPr>
      <w:r>
        <w:rPr>
          <w:rFonts w:ascii="Arial" w:cs="Arial" w:eastAsia="Arial" w:hAnsi="Arial"/>
          <w:sz w:val="13"/>
          <w:szCs w:val="13"/>
          <w:color w:val="auto"/>
        </w:rPr>
        <w:t>The fair value of financial assets and liabilities are included at the amount at which the instrument could be exchanged in a current transaction between willing parties, other than in a forced or liquidation sale.</w:t>
      </w:r>
    </w:p>
    <w:p>
      <w:pPr>
        <w:spacing w:after="0" w:line="31"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Company utilizes the suggested accounting guidance for the three levels of inputs that may be used to measure fair value:</w:t>
      </w:r>
    </w:p>
    <w:p>
      <w:pPr>
        <w:sectPr>
          <w:pgSz w:w="11900" w:h="16838" w:orient="portrait"/>
          <w:cols w:equalWidth="0" w:num="1">
            <w:col w:w="11280"/>
          </w:cols>
          <w:pgMar w:left="300" w:top="1126" w:right="319" w:bottom="1440" w:gutter="0" w:footer="0" w:header="0"/>
        </w:sectPr>
      </w:pPr>
    </w:p>
    <w:p>
      <w:pPr>
        <w:spacing w:after="0" w:line="80" w:lineRule="exact"/>
        <w:rPr>
          <w:sz w:val="20"/>
          <w:szCs w:val="20"/>
          <w:color w:val="auto"/>
        </w:rPr>
      </w:pPr>
    </w:p>
    <w:p>
      <w:pPr>
        <w:ind w:left="20"/>
        <w:spacing w:after="0"/>
        <w:rPr>
          <w:sz w:val="20"/>
          <w:szCs w:val="20"/>
          <w:color w:val="auto"/>
        </w:rPr>
      </w:pPr>
      <w:r>
        <w:rPr>
          <w:rFonts w:ascii="Arial" w:cs="Arial" w:eastAsia="Arial" w:hAnsi="Arial"/>
          <w:sz w:val="13"/>
          <w:szCs w:val="13"/>
          <w:color w:val="auto"/>
        </w:rPr>
        <w:t>Level 1 -</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Level 2 -</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Level 3 -</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Observable inputs such as quoted prices in active markets for identical assets or liabilities;</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Observable inputs, other than Level 1 inputs in active markets, that are observable either directly or indirectly; and</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Unobservable inputs for which there is little or no market data, which require the reporting entity to develop its own assumptions</w:t>
      </w:r>
    </w:p>
    <w:p>
      <w:pPr>
        <w:spacing w:after="0" w:line="178" w:lineRule="exact"/>
        <w:rPr>
          <w:sz w:val="20"/>
          <w:szCs w:val="20"/>
          <w:color w:val="auto"/>
        </w:rPr>
      </w:pPr>
    </w:p>
    <w:p>
      <w:pPr>
        <w:sectPr>
          <w:pgSz w:w="11900" w:h="16838" w:orient="portrait"/>
          <w:cols w:equalWidth="0" w:num="2">
            <w:col w:w="520" w:space="500"/>
            <w:col w:w="10260"/>
          </w:cols>
          <w:pgMar w:left="300" w:top="1126" w:right="319" w:bottom="1440" w:gutter="0" w:footer="0" w:header="0"/>
          <w:type w:val="continuous"/>
        </w:sectPr>
      </w:pPr>
    </w:p>
    <w:p>
      <w:pPr>
        <w:ind w:firstLine="524"/>
        <w:spacing w:after="0" w:line="256" w:lineRule="auto"/>
        <w:rPr>
          <w:sz w:val="20"/>
          <w:szCs w:val="20"/>
          <w:color w:val="auto"/>
        </w:rPr>
      </w:pPr>
      <w:r>
        <w:rPr>
          <w:rFonts w:ascii="Arial" w:cs="Arial" w:eastAsia="Arial" w:hAnsi="Arial"/>
          <w:sz w:val="13"/>
          <w:szCs w:val="13"/>
          <w:color w:val="auto"/>
        </w:rPr>
        <w:t>The Company has assessed that the fair value of cash and short-term deposits, trade receivables, trade payables, capital lease and other financing obligations, and other current liabilities approximate their carrying amounts.</w:t>
      </w:r>
    </w:p>
    <w:p>
      <w:pPr>
        <w:spacing w:after="0" w:line="31"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following table shows the carrying amounts and fair values of financial assets and liabilities, including their levels in the fair value hierarchy:</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200" w:type="dxa"/>
            <w:vAlign w:val="bottom"/>
            <w:shd w:val="clear" w:color="auto" w:fill="1D2758"/>
          </w:tcPr>
          <w:p>
            <w:pPr>
              <w:spacing w:after="0"/>
              <w:rPr>
                <w:sz w:val="15"/>
                <w:szCs w:val="15"/>
                <w:color w:val="auto"/>
              </w:rPr>
            </w:pPr>
          </w:p>
        </w:tc>
        <w:tc>
          <w:tcPr>
            <w:tcW w:w="280" w:type="dxa"/>
            <w:vAlign w:val="bottom"/>
            <w:shd w:val="clear" w:color="auto" w:fill="1D2758"/>
          </w:tcPr>
          <w:p>
            <w:pPr>
              <w:spacing w:after="0"/>
              <w:rPr>
                <w:sz w:val="15"/>
                <w:szCs w:val="15"/>
                <w:color w:val="auto"/>
              </w:rPr>
            </w:pPr>
          </w:p>
        </w:tc>
        <w:tc>
          <w:tcPr>
            <w:tcW w:w="840" w:type="dxa"/>
            <w:vAlign w:val="bottom"/>
            <w:shd w:val="clear" w:color="auto" w:fill="1D2758"/>
          </w:tcPr>
          <w:p>
            <w:pPr>
              <w:spacing w:after="0"/>
              <w:rPr>
                <w:sz w:val="15"/>
                <w:szCs w:val="15"/>
                <w:color w:val="auto"/>
              </w:rPr>
            </w:pPr>
          </w:p>
        </w:tc>
        <w:tc>
          <w:tcPr>
            <w:tcW w:w="220" w:type="dxa"/>
            <w:vAlign w:val="bottom"/>
            <w:shd w:val="clear" w:color="auto" w:fill="1D2758"/>
          </w:tcPr>
          <w:p>
            <w:pPr>
              <w:spacing w:after="0"/>
              <w:rPr>
                <w:sz w:val="15"/>
                <w:szCs w:val="15"/>
                <w:color w:val="auto"/>
              </w:rPr>
            </w:pPr>
          </w:p>
        </w:tc>
        <w:tc>
          <w:tcPr>
            <w:tcW w:w="2000" w:type="dxa"/>
            <w:vAlign w:val="bottom"/>
            <w:gridSpan w:val="2"/>
            <w:shd w:val="clear" w:color="auto" w:fill="1D2758"/>
          </w:tcPr>
          <w:p>
            <w:pPr>
              <w:jc w:val="right"/>
              <w:ind w:right="434"/>
              <w:spacing w:after="0"/>
              <w:rPr>
                <w:sz w:val="20"/>
                <w:szCs w:val="20"/>
                <w:color w:val="auto"/>
              </w:rPr>
            </w:pPr>
            <w:r>
              <w:rPr>
                <w:rFonts w:ascii="Arial" w:cs="Arial" w:eastAsia="Arial" w:hAnsi="Arial"/>
                <w:sz w:val="13"/>
                <w:szCs w:val="13"/>
                <w:b w:val="1"/>
                <w:bCs w:val="1"/>
                <w:color w:val="FFFFFF"/>
              </w:rPr>
              <w:t>December 31, 2021</w:t>
            </w:r>
          </w:p>
        </w:tc>
        <w:tc>
          <w:tcPr>
            <w:tcW w:w="240" w:type="dxa"/>
            <w:vAlign w:val="bottom"/>
            <w:shd w:val="clear" w:color="auto" w:fill="1D2758"/>
          </w:tcPr>
          <w:p>
            <w:pPr>
              <w:spacing w:after="0"/>
              <w:rPr>
                <w:sz w:val="15"/>
                <w:szCs w:val="15"/>
                <w:color w:val="auto"/>
              </w:rPr>
            </w:pPr>
          </w:p>
        </w:tc>
        <w:tc>
          <w:tcPr>
            <w:tcW w:w="640" w:type="dxa"/>
            <w:vAlign w:val="bottom"/>
            <w:shd w:val="clear" w:color="auto" w:fill="1D2758"/>
          </w:tcPr>
          <w:p>
            <w:pPr>
              <w:spacing w:after="0"/>
              <w:rPr>
                <w:sz w:val="15"/>
                <w:szCs w:val="15"/>
                <w:color w:val="auto"/>
              </w:rPr>
            </w:pPr>
          </w:p>
        </w:tc>
        <w:tc>
          <w:tcPr>
            <w:tcW w:w="560" w:type="dxa"/>
            <w:vAlign w:val="bottom"/>
            <w:shd w:val="clear" w:color="auto" w:fill="1D2758"/>
          </w:tcPr>
          <w:p>
            <w:pPr>
              <w:spacing w:after="0"/>
              <w:rPr>
                <w:sz w:val="15"/>
                <w:szCs w:val="15"/>
                <w:color w:val="auto"/>
              </w:rPr>
            </w:pPr>
          </w:p>
        </w:tc>
        <w:tc>
          <w:tcPr>
            <w:tcW w:w="840" w:type="dxa"/>
            <w:vAlign w:val="bottom"/>
            <w:shd w:val="clear" w:color="auto" w:fill="1D2758"/>
          </w:tcPr>
          <w:p>
            <w:pPr>
              <w:spacing w:after="0"/>
              <w:rPr>
                <w:sz w:val="15"/>
                <w:szCs w:val="15"/>
                <w:color w:val="auto"/>
              </w:rPr>
            </w:pPr>
          </w:p>
        </w:tc>
        <w:tc>
          <w:tcPr>
            <w:tcW w:w="220" w:type="dxa"/>
            <w:vAlign w:val="bottom"/>
            <w:shd w:val="clear" w:color="auto" w:fill="1D2758"/>
          </w:tcPr>
          <w:p>
            <w:pPr>
              <w:spacing w:after="0"/>
              <w:rPr>
                <w:sz w:val="15"/>
                <w:szCs w:val="15"/>
                <w:color w:val="auto"/>
              </w:rPr>
            </w:pPr>
          </w:p>
        </w:tc>
        <w:tc>
          <w:tcPr>
            <w:tcW w:w="2000" w:type="dxa"/>
            <w:vAlign w:val="bottom"/>
            <w:gridSpan w:val="2"/>
            <w:shd w:val="clear" w:color="auto" w:fill="1D2758"/>
          </w:tcPr>
          <w:p>
            <w:pPr>
              <w:jc w:val="right"/>
              <w:ind w:right="434"/>
              <w:spacing w:after="0"/>
              <w:rPr>
                <w:sz w:val="20"/>
                <w:szCs w:val="20"/>
                <w:color w:val="auto"/>
              </w:rPr>
            </w:pPr>
            <w:r>
              <w:rPr>
                <w:rFonts w:ascii="Arial" w:cs="Arial" w:eastAsia="Arial" w:hAnsi="Arial"/>
                <w:sz w:val="13"/>
                <w:szCs w:val="13"/>
                <w:b w:val="1"/>
                <w:bCs w:val="1"/>
                <w:color w:val="FFFFFF"/>
              </w:rPr>
              <w:t>December 31, 2020</w:t>
            </w:r>
          </w:p>
        </w:tc>
        <w:tc>
          <w:tcPr>
            <w:tcW w:w="240" w:type="dxa"/>
            <w:vAlign w:val="bottom"/>
            <w:shd w:val="clear" w:color="auto" w:fill="1D2758"/>
          </w:tcPr>
          <w:p>
            <w:pPr>
              <w:spacing w:after="0"/>
              <w:rPr>
                <w:sz w:val="15"/>
                <w:szCs w:val="15"/>
                <w:color w:val="auto"/>
              </w:rPr>
            </w:pPr>
          </w:p>
        </w:tc>
        <w:tc>
          <w:tcPr>
            <w:tcW w:w="920" w:type="dxa"/>
            <w:vAlign w:val="bottom"/>
            <w:shd w:val="clear" w:color="auto" w:fill="1D2758"/>
          </w:tcPr>
          <w:p>
            <w:pPr>
              <w:spacing w:after="0"/>
              <w:rPr>
                <w:sz w:val="15"/>
                <w:szCs w:val="15"/>
                <w:color w:val="auto"/>
              </w:rPr>
            </w:pPr>
          </w:p>
        </w:tc>
      </w:tr>
      <w:tr>
        <w:trPr>
          <w:trHeight w:val="202"/>
        </w:trPr>
        <w:tc>
          <w:tcPr>
            <w:tcW w:w="2200" w:type="dxa"/>
            <w:vAlign w:val="bottom"/>
            <w:shd w:val="clear" w:color="auto" w:fill="1D2758"/>
          </w:tcPr>
          <w:p>
            <w:pPr>
              <w:spacing w:after="0"/>
              <w:rPr>
                <w:sz w:val="17"/>
                <w:szCs w:val="17"/>
                <w:color w:val="auto"/>
              </w:rPr>
            </w:pPr>
          </w:p>
        </w:tc>
        <w:tc>
          <w:tcPr>
            <w:tcW w:w="280" w:type="dxa"/>
            <w:vAlign w:val="bottom"/>
            <w:shd w:val="clear" w:color="auto" w:fill="1D2758"/>
          </w:tcPr>
          <w:p>
            <w:pPr>
              <w:spacing w:after="0"/>
              <w:rPr>
                <w:sz w:val="17"/>
                <w:szCs w:val="17"/>
                <w:color w:val="auto"/>
              </w:rPr>
            </w:pPr>
          </w:p>
        </w:tc>
        <w:tc>
          <w:tcPr>
            <w:tcW w:w="840" w:type="dxa"/>
            <w:vAlign w:val="bottom"/>
            <w:shd w:val="clear" w:color="auto" w:fill="1D2758"/>
          </w:tcPr>
          <w:p>
            <w:pPr>
              <w:spacing w:after="0"/>
              <w:rPr>
                <w:sz w:val="17"/>
                <w:szCs w:val="17"/>
                <w:color w:val="auto"/>
              </w:rPr>
            </w:pPr>
          </w:p>
        </w:tc>
        <w:tc>
          <w:tcPr>
            <w:tcW w:w="220" w:type="dxa"/>
            <w:vAlign w:val="bottom"/>
            <w:shd w:val="clear" w:color="auto" w:fill="1D2758"/>
          </w:tcPr>
          <w:p>
            <w:pPr>
              <w:spacing w:after="0"/>
              <w:rPr>
                <w:sz w:val="17"/>
                <w:szCs w:val="17"/>
                <w:color w:val="auto"/>
              </w:rPr>
            </w:pPr>
          </w:p>
        </w:tc>
        <w:tc>
          <w:tcPr>
            <w:tcW w:w="1080" w:type="dxa"/>
            <w:vAlign w:val="bottom"/>
            <w:shd w:val="clear" w:color="auto" w:fill="1D2758"/>
          </w:tcPr>
          <w:p>
            <w:pPr>
              <w:spacing w:after="0"/>
              <w:rPr>
                <w:sz w:val="17"/>
                <w:szCs w:val="17"/>
                <w:color w:val="auto"/>
              </w:rPr>
            </w:pPr>
          </w:p>
        </w:tc>
        <w:tc>
          <w:tcPr>
            <w:tcW w:w="920" w:type="dxa"/>
            <w:vAlign w:val="bottom"/>
            <w:shd w:val="clear" w:color="auto" w:fill="1D2758"/>
          </w:tcPr>
          <w:p>
            <w:pPr>
              <w:jc w:val="right"/>
              <w:ind w:right="154"/>
              <w:spacing w:after="0"/>
              <w:rPr>
                <w:sz w:val="20"/>
                <w:szCs w:val="20"/>
                <w:color w:val="auto"/>
              </w:rPr>
            </w:pPr>
            <w:r>
              <w:rPr>
                <w:rFonts w:ascii="Arial" w:cs="Arial" w:eastAsia="Arial" w:hAnsi="Arial"/>
                <w:sz w:val="13"/>
                <w:szCs w:val="13"/>
                <w:b w:val="1"/>
                <w:bCs w:val="1"/>
                <w:color w:val="FFFFFF"/>
              </w:rPr>
              <w:t>Fair Value</w:t>
            </w:r>
          </w:p>
        </w:tc>
        <w:tc>
          <w:tcPr>
            <w:tcW w:w="240" w:type="dxa"/>
            <w:vAlign w:val="bottom"/>
            <w:shd w:val="clear" w:color="auto" w:fill="1D2758"/>
          </w:tcPr>
          <w:p>
            <w:pPr>
              <w:spacing w:after="0"/>
              <w:rPr>
                <w:sz w:val="17"/>
                <w:szCs w:val="17"/>
                <w:color w:val="auto"/>
              </w:rPr>
            </w:pPr>
          </w:p>
        </w:tc>
        <w:tc>
          <w:tcPr>
            <w:tcW w:w="640" w:type="dxa"/>
            <w:vAlign w:val="bottom"/>
            <w:shd w:val="clear" w:color="auto" w:fill="1D2758"/>
          </w:tcPr>
          <w:p>
            <w:pPr>
              <w:spacing w:after="0"/>
              <w:rPr>
                <w:sz w:val="17"/>
                <w:szCs w:val="17"/>
                <w:color w:val="auto"/>
              </w:rPr>
            </w:pPr>
          </w:p>
        </w:tc>
        <w:tc>
          <w:tcPr>
            <w:tcW w:w="560" w:type="dxa"/>
            <w:vAlign w:val="bottom"/>
            <w:shd w:val="clear" w:color="auto" w:fill="1D2758"/>
          </w:tcPr>
          <w:p>
            <w:pPr>
              <w:spacing w:after="0"/>
              <w:rPr>
                <w:sz w:val="17"/>
                <w:szCs w:val="17"/>
                <w:color w:val="auto"/>
              </w:rPr>
            </w:pPr>
          </w:p>
        </w:tc>
        <w:tc>
          <w:tcPr>
            <w:tcW w:w="840" w:type="dxa"/>
            <w:vAlign w:val="bottom"/>
            <w:shd w:val="clear" w:color="auto" w:fill="1D2758"/>
          </w:tcPr>
          <w:p>
            <w:pPr>
              <w:spacing w:after="0"/>
              <w:rPr>
                <w:sz w:val="17"/>
                <w:szCs w:val="17"/>
                <w:color w:val="auto"/>
              </w:rPr>
            </w:pPr>
          </w:p>
        </w:tc>
        <w:tc>
          <w:tcPr>
            <w:tcW w:w="220" w:type="dxa"/>
            <w:vAlign w:val="bottom"/>
            <w:shd w:val="clear" w:color="auto" w:fill="1D2758"/>
          </w:tcPr>
          <w:p>
            <w:pPr>
              <w:spacing w:after="0"/>
              <w:rPr>
                <w:sz w:val="17"/>
                <w:szCs w:val="17"/>
                <w:color w:val="auto"/>
              </w:rPr>
            </w:pPr>
          </w:p>
        </w:tc>
        <w:tc>
          <w:tcPr>
            <w:tcW w:w="1080" w:type="dxa"/>
            <w:vAlign w:val="bottom"/>
            <w:shd w:val="clear" w:color="auto" w:fill="1D2758"/>
          </w:tcPr>
          <w:p>
            <w:pPr>
              <w:spacing w:after="0"/>
              <w:rPr>
                <w:sz w:val="17"/>
                <w:szCs w:val="17"/>
                <w:color w:val="auto"/>
              </w:rPr>
            </w:pPr>
          </w:p>
        </w:tc>
        <w:tc>
          <w:tcPr>
            <w:tcW w:w="920" w:type="dxa"/>
            <w:vAlign w:val="bottom"/>
            <w:shd w:val="clear" w:color="auto" w:fill="1D2758"/>
          </w:tcPr>
          <w:p>
            <w:pPr>
              <w:jc w:val="right"/>
              <w:ind w:right="154"/>
              <w:spacing w:after="0"/>
              <w:rPr>
                <w:sz w:val="20"/>
                <w:szCs w:val="20"/>
                <w:color w:val="auto"/>
              </w:rPr>
            </w:pPr>
            <w:r>
              <w:rPr>
                <w:rFonts w:ascii="Arial" w:cs="Arial" w:eastAsia="Arial" w:hAnsi="Arial"/>
                <w:sz w:val="13"/>
                <w:szCs w:val="13"/>
                <w:b w:val="1"/>
                <w:bCs w:val="1"/>
                <w:color w:val="FFFFFF"/>
              </w:rPr>
              <w:t>Fair Value</w:t>
            </w:r>
          </w:p>
        </w:tc>
        <w:tc>
          <w:tcPr>
            <w:tcW w:w="240" w:type="dxa"/>
            <w:vAlign w:val="bottom"/>
            <w:shd w:val="clear" w:color="auto" w:fill="1D2758"/>
          </w:tcPr>
          <w:p>
            <w:pPr>
              <w:spacing w:after="0"/>
              <w:rPr>
                <w:sz w:val="17"/>
                <w:szCs w:val="17"/>
                <w:color w:val="auto"/>
              </w:rPr>
            </w:pPr>
          </w:p>
        </w:tc>
        <w:tc>
          <w:tcPr>
            <w:tcW w:w="920" w:type="dxa"/>
            <w:vAlign w:val="bottom"/>
            <w:shd w:val="clear" w:color="auto" w:fill="1D2758"/>
          </w:tcPr>
          <w:p>
            <w:pPr>
              <w:spacing w:after="0"/>
              <w:rPr>
                <w:sz w:val="17"/>
                <w:szCs w:val="17"/>
                <w:color w:val="auto"/>
              </w:rPr>
            </w:pPr>
          </w:p>
        </w:tc>
      </w:tr>
      <w:tr>
        <w:trPr>
          <w:trHeight w:val="213"/>
        </w:trPr>
        <w:tc>
          <w:tcPr>
            <w:tcW w:w="220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1120" w:type="dxa"/>
            <w:vAlign w:val="bottom"/>
            <w:gridSpan w:val="2"/>
            <w:shd w:val="clear" w:color="auto" w:fill="1D2758"/>
          </w:tcPr>
          <w:p>
            <w:pPr>
              <w:ind w:left="20"/>
              <w:spacing w:after="0"/>
              <w:rPr>
                <w:sz w:val="20"/>
                <w:szCs w:val="20"/>
                <w:color w:val="auto"/>
              </w:rPr>
            </w:pPr>
            <w:r>
              <w:rPr>
                <w:rFonts w:ascii="Arial" w:cs="Arial" w:eastAsia="Arial" w:hAnsi="Arial"/>
                <w:sz w:val="13"/>
                <w:szCs w:val="13"/>
                <w:b w:val="1"/>
                <w:bCs w:val="1"/>
                <w:color w:val="FFFFFF"/>
              </w:rPr>
              <w:t>Carrying Amount</w:t>
            </w:r>
          </w:p>
        </w:tc>
        <w:tc>
          <w:tcPr>
            <w:tcW w:w="220" w:type="dxa"/>
            <w:vAlign w:val="bottom"/>
            <w:shd w:val="clear" w:color="auto" w:fill="1D2758"/>
          </w:tcPr>
          <w:p>
            <w:pPr>
              <w:spacing w:after="0"/>
              <w:rPr>
                <w:sz w:val="18"/>
                <w:szCs w:val="18"/>
                <w:color w:val="auto"/>
              </w:rPr>
            </w:pPr>
          </w:p>
        </w:tc>
        <w:tc>
          <w:tcPr>
            <w:tcW w:w="1080" w:type="dxa"/>
            <w:vAlign w:val="bottom"/>
            <w:shd w:val="clear" w:color="auto" w:fill="1D2758"/>
          </w:tcPr>
          <w:p>
            <w:pPr>
              <w:ind w:left="120"/>
              <w:spacing w:after="0"/>
              <w:rPr>
                <w:sz w:val="20"/>
                <w:szCs w:val="20"/>
                <w:color w:val="auto"/>
              </w:rPr>
            </w:pPr>
            <w:r>
              <w:rPr>
                <w:rFonts w:ascii="Arial" w:cs="Arial" w:eastAsia="Arial" w:hAnsi="Arial"/>
                <w:sz w:val="13"/>
                <w:szCs w:val="13"/>
                <w:b w:val="1"/>
                <w:bCs w:val="1"/>
                <w:color w:val="FFFFFF"/>
              </w:rPr>
              <w:t>Level 1</w:t>
            </w:r>
          </w:p>
        </w:tc>
        <w:tc>
          <w:tcPr>
            <w:tcW w:w="920" w:type="dxa"/>
            <w:vAlign w:val="bottom"/>
            <w:shd w:val="clear" w:color="auto" w:fill="1D2758"/>
          </w:tcPr>
          <w:p>
            <w:pPr>
              <w:jc w:val="right"/>
              <w:ind w:right="254"/>
              <w:spacing w:after="0"/>
              <w:rPr>
                <w:sz w:val="20"/>
                <w:szCs w:val="20"/>
                <w:color w:val="auto"/>
              </w:rPr>
            </w:pPr>
            <w:r>
              <w:rPr>
                <w:rFonts w:ascii="Arial" w:cs="Arial" w:eastAsia="Arial" w:hAnsi="Arial"/>
                <w:sz w:val="13"/>
                <w:szCs w:val="13"/>
                <w:b w:val="1"/>
                <w:bCs w:val="1"/>
                <w:color w:val="FFFFFF"/>
              </w:rPr>
              <w:t>Level 2</w:t>
            </w:r>
          </w:p>
        </w:tc>
        <w:tc>
          <w:tcPr>
            <w:tcW w:w="240" w:type="dxa"/>
            <w:vAlign w:val="bottom"/>
            <w:shd w:val="clear" w:color="auto" w:fill="1D2758"/>
          </w:tcPr>
          <w:p>
            <w:pPr>
              <w:spacing w:after="0"/>
              <w:rPr>
                <w:sz w:val="18"/>
                <w:szCs w:val="18"/>
                <w:color w:val="auto"/>
              </w:rPr>
            </w:pPr>
          </w:p>
        </w:tc>
        <w:tc>
          <w:tcPr>
            <w:tcW w:w="640" w:type="dxa"/>
            <w:vAlign w:val="bottom"/>
            <w:shd w:val="clear" w:color="auto" w:fill="1D2758"/>
          </w:tcPr>
          <w:p>
            <w:pPr>
              <w:ind w:left="120"/>
              <w:spacing w:after="0"/>
              <w:rPr>
                <w:sz w:val="20"/>
                <w:szCs w:val="20"/>
                <w:color w:val="auto"/>
              </w:rPr>
            </w:pPr>
            <w:r>
              <w:rPr>
                <w:rFonts w:ascii="Arial" w:cs="Arial" w:eastAsia="Arial" w:hAnsi="Arial"/>
                <w:sz w:val="13"/>
                <w:szCs w:val="13"/>
                <w:b w:val="1"/>
                <w:bCs w:val="1"/>
                <w:color w:val="FFFFFF"/>
              </w:rPr>
              <w:t>Level 3</w:t>
            </w:r>
          </w:p>
        </w:tc>
        <w:tc>
          <w:tcPr>
            <w:tcW w:w="1400" w:type="dxa"/>
            <w:vAlign w:val="bottom"/>
            <w:gridSpan w:val="2"/>
            <w:shd w:val="clear" w:color="auto" w:fill="1D2758"/>
          </w:tcPr>
          <w:p>
            <w:pPr>
              <w:ind w:left="300"/>
              <w:spacing w:after="0"/>
              <w:rPr>
                <w:sz w:val="20"/>
                <w:szCs w:val="20"/>
                <w:color w:val="auto"/>
              </w:rPr>
            </w:pPr>
            <w:r>
              <w:rPr>
                <w:rFonts w:ascii="Arial" w:cs="Arial" w:eastAsia="Arial" w:hAnsi="Arial"/>
                <w:sz w:val="13"/>
                <w:szCs w:val="13"/>
                <w:b w:val="1"/>
                <w:bCs w:val="1"/>
                <w:color w:val="FFFFFF"/>
              </w:rPr>
              <w:t>Carrying Amount</w:t>
            </w:r>
          </w:p>
        </w:tc>
        <w:tc>
          <w:tcPr>
            <w:tcW w:w="220" w:type="dxa"/>
            <w:vAlign w:val="bottom"/>
            <w:shd w:val="clear" w:color="auto" w:fill="1D2758"/>
          </w:tcPr>
          <w:p>
            <w:pPr>
              <w:spacing w:after="0"/>
              <w:rPr>
                <w:sz w:val="18"/>
                <w:szCs w:val="18"/>
                <w:color w:val="auto"/>
              </w:rPr>
            </w:pPr>
          </w:p>
        </w:tc>
        <w:tc>
          <w:tcPr>
            <w:tcW w:w="1080" w:type="dxa"/>
            <w:vAlign w:val="bottom"/>
            <w:shd w:val="clear" w:color="auto" w:fill="1D2758"/>
          </w:tcPr>
          <w:p>
            <w:pPr>
              <w:ind w:left="120"/>
              <w:spacing w:after="0"/>
              <w:rPr>
                <w:sz w:val="20"/>
                <w:szCs w:val="20"/>
                <w:color w:val="auto"/>
              </w:rPr>
            </w:pPr>
            <w:r>
              <w:rPr>
                <w:rFonts w:ascii="Arial" w:cs="Arial" w:eastAsia="Arial" w:hAnsi="Arial"/>
                <w:sz w:val="13"/>
                <w:szCs w:val="13"/>
                <w:b w:val="1"/>
                <w:bCs w:val="1"/>
                <w:color w:val="FFFFFF"/>
              </w:rPr>
              <w:t>Level 1</w:t>
            </w:r>
          </w:p>
        </w:tc>
        <w:tc>
          <w:tcPr>
            <w:tcW w:w="920" w:type="dxa"/>
            <w:vAlign w:val="bottom"/>
            <w:shd w:val="clear" w:color="auto" w:fill="1D2758"/>
          </w:tcPr>
          <w:p>
            <w:pPr>
              <w:jc w:val="right"/>
              <w:ind w:right="254"/>
              <w:spacing w:after="0"/>
              <w:rPr>
                <w:sz w:val="20"/>
                <w:szCs w:val="20"/>
                <w:color w:val="auto"/>
              </w:rPr>
            </w:pPr>
            <w:r>
              <w:rPr>
                <w:rFonts w:ascii="Arial" w:cs="Arial" w:eastAsia="Arial" w:hAnsi="Arial"/>
                <w:sz w:val="13"/>
                <w:szCs w:val="13"/>
                <w:b w:val="1"/>
                <w:bCs w:val="1"/>
                <w:color w:val="FFFFFF"/>
              </w:rPr>
              <w:t>Level 2</w:t>
            </w:r>
          </w:p>
        </w:tc>
        <w:tc>
          <w:tcPr>
            <w:tcW w:w="240" w:type="dxa"/>
            <w:vAlign w:val="bottom"/>
            <w:shd w:val="clear" w:color="auto" w:fill="1D2758"/>
          </w:tcPr>
          <w:p>
            <w:pPr>
              <w:spacing w:after="0"/>
              <w:rPr>
                <w:sz w:val="18"/>
                <w:szCs w:val="18"/>
                <w:color w:val="auto"/>
              </w:rPr>
            </w:pPr>
          </w:p>
        </w:tc>
        <w:tc>
          <w:tcPr>
            <w:tcW w:w="920" w:type="dxa"/>
            <w:vAlign w:val="bottom"/>
            <w:shd w:val="clear" w:color="auto" w:fill="1D2758"/>
          </w:tcPr>
          <w:p>
            <w:pPr>
              <w:ind w:left="120"/>
              <w:spacing w:after="0"/>
              <w:rPr>
                <w:sz w:val="20"/>
                <w:szCs w:val="20"/>
                <w:color w:val="auto"/>
              </w:rPr>
            </w:pPr>
            <w:r>
              <w:rPr>
                <w:rFonts w:ascii="Arial" w:cs="Arial" w:eastAsia="Arial" w:hAnsi="Arial"/>
                <w:sz w:val="13"/>
                <w:szCs w:val="13"/>
                <w:b w:val="1"/>
                <w:bCs w:val="1"/>
                <w:color w:val="FFFFFF"/>
              </w:rPr>
              <w:t>Level 3</w:t>
            </w:r>
          </w:p>
        </w:tc>
      </w:tr>
      <w:tr>
        <w:trPr>
          <w:trHeight w:val="175"/>
        </w:trPr>
        <w:tc>
          <w:tcPr>
            <w:tcW w:w="2200" w:type="dxa"/>
            <w:vAlign w:val="bottom"/>
            <w:shd w:val="clear" w:color="auto" w:fill="DBDBDB"/>
          </w:tcPr>
          <w:p>
            <w:pPr>
              <w:ind w:left="20"/>
              <w:spacing w:after="0" w:line="175" w:lineRule="exact"/>
              <w:rPr>
                <w:sz w:val="20"/>
                <w:szCs w:val="20"/>
                <w:color w:val="auto"/>
              </w:rPr>
            </w:pPr>
            <w:r>
              <w:rPr>
                <w:rFonts w:ascii="Arial" w:cs="Arial" w:eastAsia="Arial" w:hAnsi="Arial"/>
                <w:sz w:val="13"/>
                <w:szCs w:val="13"/>
                <w:color w:val="auto"/>
              </w:rPr>
              <w:t>US ABL Facility</w:t>
            </w:r>
            <w:r>
              <w:rPr>
                <w:rFonts w:ascii="Arial" w:cs="Arial" w:eastAsia="Arial" w:hAnsi="Arial"/>
                <w:sz w:val="17"/>
                <w:szCs w:val="17"/>
                <w:color w:val="auto"/>
                <w:vertAlign w:val="superscript"/>
              </w:rPr>
              <w:t>(a)</w:t>
            </w:r>
          </w:p>
        </w:tc>
        <w:tc>
          <w:tcPr>
            <w:tcW w:w="280" w:type="dxa"/>
            <w:vAlign w:val="bottom"/>
            <w:shd w:val="clear" w:color="auto" w:fill="DBDBDB"/>
          </w:tcPr>
          <w:p>
            <w:pPr>
              <w:spacing w:after="0"/>
              <w:rPr>
                <w:sz w:val="20"/>
                <w:szCs w:val="20"/>
                <w:color w:val="auto"/>
              </w:rPr>
            </w:pPr>
            <w:r>
              <w:rPr>
                <w:rFonts w:ascii="Arial" w:cs="Arial" w:eastAsia="Arial" w:hAnsi="Arial"/>
                <w:sz w:val="13"/>
                <w:szCs w:val="13"/>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1,612,783</w:t>
            </w:r>
          </w:p>
        </w:tc>
        <w:tc>
          <w:tcPr>
            <w:tcW w:w="22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DBDBDB"/>
          </w:tcPr>
          <w:p>
            <w:pPr>
              <w:ind w:left="720"/>
              <w:spacing w:after="0"/>
              <w:rPr>
                <w:sz w:val="20"/>
                <w:szCs w:val="20"/>
                <w:color w:val="auto"/>
              </w:rPr>
            </w:pPr>
            <w:r>
              <w:rPr>
                <w:rFonts w:ascii="Arial" w:cs="Arial" w:eastAsia="Arial" w:hAnsi="Arial"/>
                <w:sz w:val="13"/>
                <w:szCs w:val="13"/>
                <w:color w:val="auto"/>
              </w:rPr>
              <w:t>— $</w:t>
            </w: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1,644,500</w:t>
            </w:r>
          </w:p>
        </w:tc>
        <w:tc>
          <w:tcPr>
            <w:tcW w:w="240" w:type="dxa"/>
            <w:vAlign w:val="bottom"/>
            <w:shd w:val="clear" w:color="auto" w:fill="DBDBDB"/>
          </w:tcPr>
          <w:p>
            <w:pPr>
              <w:jc w:val="right"/>
              <w:ind w:right="54"/>
              <w:spacing w:after="0"/>
              <w:rPr>
                <w:sz w:val="20"/>
                <w:szCs w:val="20"/>
                <w:color w:val="auto"/>
              </w:rPr>
            </w:pPr>
            <w:r>
              <w:rPr>
                <w:rFonts w:ascii="Arial" w:cs="Arial" w:eastAsia="Arial" w:hAnsi="Arial"/>
                <w:sz w:val="13"/>
                <w:szCs w:val="13"/>
                <w:color w:val="auto"/>
              </w:rPr>
              <w:t>$</w:t>
            </w:r>
          </w:p>
        </w:tc>
        <w:tc>
          <w:tcPr>
            <w:tcW w:w="640" w:type="dxa"/>
            <w:vAlign w:val="bottom"/>
            <w:shd w:val="clear" w:color="auto" w:fill="DBDBDB"/>
          </w:tcPr>
          <w:p>
            <w:pPr>
              <w:spacing w:after="0"/>
              <w:rPr>
                <w:sz w:val="15"/>
                <w:szCs w:val="15"/>
                <w:color w:val="auto"/>
              </w:rPr>
            </w:pPr>
          </w:p>
        </w:tc>
        <w:tc>
          <w:tcPr>
            <w:tcW w:w="560" w:type="dxa"/>
            <w:vAlign w:val="bottom"/>
            <w:shd w:val="clear" w:color="auto" w:fill="DBDBDB"/>
          </w:tcPr>
          <w:p>
            <w:pPr>
              <w:ind w:left="80"/>
              <w:spacing w:after="0"/>
              <w:rPr>
                <w:sz w:val="20"/>
                <w:szCs w:val="20"/>
                <w:color w:val="auto"/>
              </w:rPr>
            </w:pPr>
            <w:r>
              <w:rPr>
                <w:rFonts w:ascii="Arial" w:cs="Arial" w:eastAsia="Arial" w:hAnsi="Arial"/>
                <w:sz w:val="13"/>
                <w:szCs w:val="13"/>
                <w:color w:val="auto"/>
              </w:rPr>
              <w:t>— $</w:t>
            </w: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1,263,833</w:t>
            </w:r>
          </w:p>
        </w:tc>
        <w:tc>
          <w:tcPr>
            <w:tcW w:w="22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DBDBDB"/>
          </w:tcPr>
          <w:p>
            <w:pPr>
              <w:ind w:left="720"/>
              <w:spacing w:after="0"/>
              <w:rPr>
                <w:sz w:val="20"/>
                <w:szCs w:val="20"/>
                <w:color w:val="auto"/>
              </w:rPr>
            </w:pPr>
            <w:r>
              <w:rPr>
                <w:rFonts w:ascii="Arial" w:cs="Arial" w:eastAsia="Arial" w:hAnsi="Arial"/>
                <w:sz w:val="13"/>
                <w:szCs w:val="13"/>
                <w:color w:val="auto"/>
              </w:rPr>
              <w:t>— $</w:t>
            </w: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1,304,612</w:t>
            </w:r>
          </w:p>
        </w:tc>
        <w:tc>
          <w:tcPr>
            <w:tcW w:w="240" w:type="dxa"/>
            <w:vAlign w:val="bottom"/>
            <w:shd w:val="clear" w:color="auto" w:fill="DBDBDB"/>
          </w:tcPr>
          <w:p>
            <w:pPr>
              <w:jc w:val="right"/>
              <w:ind w:right="54"/>
              <w:spacing w:after="0"/>
              <w:rPr>
                <w:sz w:val="20"/>
                <w:szCs w:val="20"/>
                <w:color w:val="auto"/>
              </w:rPr>
            </w:pPr>
            <w:r>
              <w:rPr>
                <w:rFonts w:ascii="Arial" w:cs="Arial" w:eastAsia="Arial" w:hAnsi="Arial"/>
                <w:sz w:val="13"/>
                <w:szCs w:val="13"/>
                <w:color w:val="auto"/>
              </w:rPr>
              <w:t>$</w:t>
            </w:r>
          </w:p>
        </w:tc>
        <w:tc>
          <w:tcPr>
            <w:tcW w:w="920" w:type="dxa"/>
            <w:vAlign w:val="bottom"/>
            <w:shd w:val="clear" w:color="auto" w:fill="DBDBDB"/>
          </w:tcPr>
          <w:p>
            <w:pPr>
              <w:ind w:left="720"/>
              <w:spacing w:after="0"/>
              <w:rPr>
                <w:sz w:val="20"/>
                <w:szCs w:val="20"/>
                <w:color w:val="auto"/>
              </w:rPr>
            </w:pPr>
            <w:r>
              <w:rPr>
                <w:rFonts w:ascii="Arial" w:cs="Arial" w:eastAsia="Arial" w:hAnsi="Arial"/>
                <w:sz w:val="13"/>
                <w:szCs w:val="13"/>
                <w:color w:val="auto"/>
              </w:rPr>
              <w:t>—</w:t>
            </w:r>
          </w:p>
        </w:tc>
      </w:tr>
      <w:tr>
        <w:trPr>
          <w:trHeight w:val="175"/>
        </w:trPr>
        <w:tc>
          <w:tcPr>
            <w:tcW w:w="2200" w:type="dxa"/>
            <w:vAlign w:val="bottom"/>
          </w:tcPr>
          <w:p>
            <w:pPr>
              <w:ind w:left="20"/>
              <w:spacing w:after="0" w:line="175" w:lineRule="exact"/>
              <w:rPr>
                <w:sz w:val="20"/>
                <w:szCs w:val="20"/>
                <w:color w:val="auto"/>
              </w:rPr>
            </w:pPr>
            <w:r>
              <w:rPr>
                <w:rFonts w:ascii="Arial" w:cs="Arial" w:eastAsia="Arial" w:hAnsi="Arial"/>
                <w:sz w:val="13"/>
                <w:szCs w:val="13"/>
                <w:color w:val="auto"/>
              </w:rPr>
              <w:t>2025 Secured Notes</w:t>
            </w:r>
            <w:r>
              <w:rPr>
                <w:rFonts w:ascii="Arial" w:cs="Arial" w:eastAsia="Arial" w:hAnsi="Arial"/>
                <w:sz w:val="17"/>
                <w:szCs w:val="17"/>
                <w:color w:val="auto"/>
                <w:vertAlign w:val="superscript"/>
              </w:rPr>
              <w:t>(a)</w:t>
            </w: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518,117</w:t>
            </w:r>
          </w:p>
        </w:tc>
        <w:tc>
          <w:tcPr>
            <w:tcW w:w="220" w:type="dxa"/>
            <w:vAlign w:val="bottom"/>
          </w:tcPr>
          <w:p>
            <w:pPr>
              <w:spacing w:after="0"/>
              <w:rPr>
                <w:sz w:val="15"/>
                <w:szCs w:val="15"/>
                <w:color w:val="auto"/>
              </w:rPr>
            </w:pPr>
          </w:p>
        </w:tc>
        <w:tc>
          <w:tcPr>
            <w:tcW w:w="1080" w:type="dxa"/>
            <w:vAlign w:val="bottom"/>
          </w:tcPr>
          <w:p>
            <w:pPr>
              <w:ind w:left="72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551,835</w:t>
            </w: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637,068</w:t>
            </w:r>
          </w:p>
        </w:tc>
        <w:tc>
          <w:tcPr>
            <w:tcW w:w="220" w:type="dxa"/>
            <w:vAlign w:val="bottom"/>
          </w:tcPr>
          <w:p>
            <w:pPr>
              <w:spacing w:after="0"/>
              <w:rPr>
                <w:sz w:val="15"/>
                <w:szCs w:val="15"/>
                <w:color w:val="auto"/>
              </w:rPr>
            </w:pPr>
          </w:p>
        </w:tc>
        <w:tc>
          <w:tcPr>
            <w:tcW w:w="1080" w:type="dxa"/>
            <w:vAlign w:val="bottom"/>
          </w:tcPr>
          <w:p>
            <w:pPr>
              <w:ind w:left="72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694,876</w:t>
            </w:r>
          </w:p>
        </w:tc>
        <w:tc>
          <w:tcPr>
            <w:tcW w:w="240" w:type="dxa"/>
            <w:vAlign w:val="bottom"/>
          </w:tcPr>
          <w:p>
            <w:pPr>
              <w:spacing w:after="0"/>
              <w:rPr>
                <w:sz w:val="15"/>
                <w:szCs w:val="15"/>
                <w:color w:val="auto"/>
              </w:rPr>
            </w:pPr>
          </w:p>
        </w:tc>
        <w:tc>
          <w:tcPr>
            <w:tcW w:w="920" w:type="dxa"/>
            <w:vAlign w:val="bottom"/>
          </w:tcPr>
          <w:p>
            <w:pPr>
              <w:ind w:left="720"/>
              <w:spacing w:after="0"/>
              <w:rPr>
                <w:sz w:val="20"/>
                <w:szCs w:val="20"/>
                <w:color w:val="auto"/>
              </w:rPr>
            </w:pPr>
            <w:r>
              <w:rPr>
                <w:rFonts w:ascii="Arial" w:cs="Arial" w:eastAsia="Arial" w:hAnsi="Arial"/>
                <w:sz w:val="13"/>
                <w:szCs w:val="13"/>
                <w:color w:val="auto"/>
              </w:rPr>
              <w:t>—</w:t>
            </w:r>
          </w:p>
        </w:tc>
      </w:tr>
      <w:tr>
        <w:trPr>
          <w:trHeight w:val="175"/>
        </w:trPr>
        <w:tc>
          <w:tcPr>
            <w:tcW w:w="2200" w:type="dxa"/>
            <w:vAlign w:val="bottom"/>
            <w:shd w:val="clear" w:color="auto" w:fill="DBDBDB"/>
          </w:tcPr>
          <w:p>
            <w:pPr>
              <w:ind w:left="20"/>
              <w:spacing w:after="0" w:line="175" w:lineRule="exact"/>
              <w:rPr>
                <w:sz w:val="20"/>
                <w:szCs w:val="20"/>
                <w:color w:val="auto"/>
              </w:rPr>
            </w:pPr>
            <w:r>
              <w:rPr>
                <w:rFonts w:ascii="Arial" w:cs="Arial" w:eastAsia="Arial" w:hAnsi="Arial"/>
                <w:sz w:val="13"/>
                <w:szCs w:val="13"/>
                <w:color w:val="auto"/>
              </w:rPr>
              <w:t>2028 Secured Notes</w:t>
            </w:r>
            <w:r>
              <w:rPr>
                <w:rFonts w:ascii="Arial" w:cs="Arial" w:eastAsia="Arial" w:hAnsi="Arial"/>
                <w:sz w:val="17"/>
                <w:szCs w:val="17"/>
                <w:color w:val="auto"/>
                <w:vertAlign w:val="superscript"/>
              </w:rPr>
              <w:t>(a)</w:t>
            </w:r>
          </w:p>
        </w:tc>
        <w:tc>
          <w:tcPr>
            <w:tcW w:w="280" w:type="dxa"/>
            <w:vAlign w:val="bottom"/>
            <w:tcBorders>
              <w:bottom w:val="single" w:sz="8" w:color="auto"/>
            </w:tcBorders>
            <w:shd w:val="clear" w:color="auto" w:fill="DBDBDB"/>
          </w:tcPr>
          <w:p>
            <w:pPr>
              <w:spacing w:after="0"/>
              <w:rPr>
                <w:sz w:val="15"/>
                <w:szCs w:val="15"/>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492,490</w:t>
            </w:r>
          </w:p>
        </w:tc>
        <w:tc>
          <w:tcPr>
            <w:tcW w:w="220" w:type="dxa"/>
            <w:vAlign w:val="bottom"/>
            <w:tcBorders>
              <w:bottom w:val="single" w:sz="8" w:color="auto"/>
            </w:tcBorders>
            <w:shd w:val="clear" w:color="auto" w:fill="DBDBDB"/>
          </w:tcPr>
          <w:p>
            <w:pPr>
              <w:spacing w:after="0"/>
              <w:rPr>
                <w:sz w:val="15"/>
                <w:szCs w:val="15"/>
                <w:color w:val="auto"/>
              </w:rPr>
            </w:pPr>
          </w:p>
        </w:tc>
        <w:tc>
          <w:tcPr>
            <w:tcW w:w="1080" w:type="dxa"/>
            <w:vAlign w:val="bottom"/>
            <w:tcBorders>
              <w:bottom w:val="single" w:sz="8" w:color="auto"/>
            </w:tcBorders>
            <w:shd w:val="clear" w:color="auto" w:fill="DBDBDB"/>
          </w:tcPr>
          <w:p>
            <w:pPr>
              <w:ind w:left="72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515,635</w:t>
            </w:r>
          </w:p>
        </w:tc>
        <w:tc>
          <w:tcPr>
            <w:tcW w:w="240" w:type="dxa"/>
            <w:vAlign w:val="bottom"/>
            <w:tcBorders>
              <w:bottom w:val="single" w:sz="8" w:color="auto"/>
            </w:tcBorders>
            <w:shd w:val="clear" w:color="auto" w:fill="DBDBDB"/>
          </w:tcPr>
          <w:p>
            <w:pPr>
              <w:spacing w:after="0"/>
              <w:rPr>
                <w:sz w:val="15"/>
                <w:szCs w:val="15"/>
                <w:color w:val="auto"/>
              </w:rPr>
            </w:pPr>
          </w:p>
        </w:tc>
        <w:tc>
          <w:tcPr>
            <w:tcW w:w="640" w:type="dxa"/>
            <w:vAlign w:val="bottom"/>
            <w:tcBorders>
              <w:bottom w:val="single" w:sz="8" w:color="auto"/>
            </w:tcBorders>
            <w:shd w:val="clear" w:color="auto" w:fill="DBDBDB"/>
          </w:tcPr>
          <w:p>
            <w:pPr>
              <w:spacing w:after="0"/>
              <w:rPr>
                <w:sz w:val="15"/>
                <w:szCs w:val="15"/>
                <w:color w:val="auto"/>
              </w:rPr>
            </w:pPr>
          </w:p>
        </w:tc>
        <w:tc>
          <w:tcPr>
            <w:tcW w:w="560" w:type="dxa"/>
            <w:vAlign w:val="bottom"/>
            <w:tcBorders>
              <w:bottom w:val="single" w:sz="8" w:color="auto"/>
            </w:tcBorders>
            <w:shd w:val="clear" w:color="auto" w:fill="DBDBDB"/>
          </w:tcPr>
          <w:p>
            <w:pPr>
              <w:ind w:left="8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491,555</w:t>
            </w:r>
          </w:p>
        </w:tc>
        <w:tc>
          <w:tcPr>
            <w:tcW w:w="220" w:type="dxa"/>
            <w:vAlign w:val="bottom"/>
            <w:tcBorders>
              <w:bottom w:val="single" w:sz="8" w:color="auto"/>
            </w:tcBorders>
            <w:shd w:val="clear" w:color="auto" w:fill="DBDBDB"/>
          </w:tcPr>
          <w:p>
            <w:pPr>
              <w:spacing w:after="0"/>
              <w:rPr>
                <w:sz w:val="15"/>
                <w:szCs w:val="15"/>
                <w:color w:val="auto"/>
              </w:rPr>
            </w:pPr>
          </w:p>
        </w:tc>
        <w:tc>
          <w:tcPr>
            <w:tcW w:w="1080" w:type="dxa"/>
            <w:vAlign w:val="bottom"/>
            <w:tcBorders>
              <w:bottom w:val="single" w:sz="8" w:color="auto"/>
            </w:tcBorders>
            <w:shd w:val="clear" w:color="auto" w:fill="DBDBDB"/>
          </w:tcPr>
          <w:p>
            <w:pPr>
              <w:ind w:left="72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518,820</w:t>
            </w:r>
          </w:p>
        </w:tc>
        <w:tc>
          <w:tcPr>
            <w:tcW w:w="240" w:type="dxa"/>
            <w:vAlign w:val="bottom"/>
            <w:tcBorders>
              <w:bottom w:val="single" w:sz="8" w:color="auto"/>
            </w:tcBorders>
            <w:shd w:val="clear" w:color="auto" w:fill="DBDBDB"/>
          </w:tcPr>
          <w:p>
            <w:pPr>
              <w:spacing w:after="0"/>
              <w:rPr>
                <w:sz w:val="15"/>
                <w:szCs w:val="15"/>
                <w:color w:val="auto"/>
              </w:rPr>
            </w:pPr>
          </w:p>
        </w:tc>
        <w:tc>
          <w:tcPr>
            <w:tcW w:w="920" w:type="dxa"/>
            <w:vAlign w:val="bottom"/>
            <w:tcBorders>
              <w:bottom w:val="single" w:sz="8" w:color="auto"/>
            </w:tcBorders>
            <w:shd w:val="clear" w:color="auto" w:fill="DBDBDB"/>
          </w:tcPr>
          <w:p>
            <w:pPr>
              <w:ind w:left="720"/>
              <w:spacing w:after="0"/>
              <w:rPr>
                <w:sz w:val="20"/>
                <w:szCs w:val="20"/>
                <w:color w:val="auto"/>
              </w:rPr>
            </w:pPr>
            <w:r>
              <w:rPr>
                <w:rFonts w:ascii="Arial" w:cs="Arial" w:eastAsia="Arial" w:hAnsi="Arial"/>
                <w:sz w:val="13"/>
                <w:szCs w:val="13"/>
                <w:color w:val="auto"/>
              </w:rPr>
              <w:t>—</w:t>
            </w:r>
          </w:p>
        </w:tc>
      </w:tr>
      <w:tr>
        <w:trPr>
          <w:trHeight w:val="166"/>
        </w:trPr>
        <w:tc>
          <w:tcPr>
            <w:tcW w:w="2200" w:type="dxa"/>
            <w:vAlign w:val="bottom"/>
          </w:tcPr>
          <w:p>
            <w:pPr>
              <w:ind w:left="20"/>
              <w:spacing w:after="0"/>
              <w:rPr>
                <w:sz w:val="20"/>
                <w:szCs w:val="20"/>
                <w:color w:val="auto"/>
              </w:rPr>
            </w:pPr>
            <w:r>
              <w:rPr>
                <w:rFonts w:ascii="Arial" w:cs="Arial" w:eastAsia="Arial" w:hAnsi="Arial"/>
                <w:sz w:val="13"/>
                <w:szCs w:val="13"/>
                <w:color w:val="auto"/>
              </w:rPr>
              <w:t>Total</w:t>
            </w:r>
          </w:p>
        </w:tc>
        <w:tc>
          <w:tcPr>
            <w:tcW w:w="2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2,623,390</w:t>
            </w:r>
          </w:p>
        </w:tc>
        <w:tc>
          <w:tcPr>
            <w:tcW w:w="22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ind w:left="720"/>
              <w:spacing w:after="0"/>
              <w:rPr>
                <w:sz w:val="20"/>
                <w:szCs w:val="20"/>
                <w:color w:val="auto"/>
              </w:rPr>
            </w:pPr>
            <w:r>
              <w:rPr>
                <w:rFonts w:ascii="Arial" w:cs="Arial" w:eastAsia="Arial" w:hAnsi="Arial"/>
                <w:sz w:val="13"/>
                <w:szCs w:val="13"/>
                <w:color w:val="auto"/>
              </w:rPr>
              <w:t>— $</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2,711,970</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2,392,456</w:t>
            </w:r>
          </w:p>
        </w:tc>
        <w:tc>
          <w:tcPr>
            <w:tcW w:w="22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ind w:left="720"/>
              <w:spacing w:after="0"/>
              <w:rPr>
                <w:sz w:val="20"/>
                <w:szCs w:val="20"/>
                <w:color w:val="auto"/>
              </w:rPr>
            </w:pPr>
            <w:r>
              <w:rPr>
                <w:rFonts w:ascii="Arial" w:cs="Arial" w:eastAsia="Arial" w:hAnsi="Arial"/>
                <w:sz w:val="13"/>
                <w:szCs w:val="13"/>
                <w:color w:val="auto"/>
              </w:rPr>
              <w:t>— $</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2,518,308</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ind w:left="720"/>
              <w:spacing w:after="0"/>
              <w:rPr>
                <w:sz w:val="20"/>
                <w:szCs w:val="20"/>
                <w:color w:val="auto"/>
              </w:rPr>
            </w:pPr>
            <w:r>
              <w:rPr>
                <w:rFonts w:ascii="Arial" w:cs="Arial" w:eastAsia="Arial" w:hAnsi="Arial"/>
                <w:sz w:val="13"/>
                <w:szCs w:val="13"/>
                <w:color w:val="auto"/>
              </w:rPr>
              <w:t>—</w:t>
            </w:r>
          </w:p>
        </w:tc>
      </w:tr>
      <w:tr>
        <w:trPr>
          <w:trHeight w:val="20"/>
        </w:trPr>
        <w:tc>
          <w:tcPr>
            <w:tcW w:w="2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firstLine="7"/>
        <w:spacing w:after="0" w:line="232" w:lineRule="auto"/>
        <w:tabs>
          <w:tab w:leader="none" w:pos="179"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carrying values of the US ABL Facility, the 2025 Secured Notes, and the 2028 Secured Notes included $31.7 million, $8.4 million, and $7.5 million of unamortized debt issuance costs as of December 31, 2021, which were presented as a direct reduction of the corresponding liability. As of December 31, 2020, the carrying values of the US ABL Facility, the 2025 Secured Notes, and the 2028 Secured Notes included $40.8 million, $12.9 million, and $8.4 million of unamortized debt issuance which were presented as a direct reduction of the corresponding liability.</w:t>
      </w:r>
    </w:p>
    <w:p>
      <w:pPr>
        <w:spacing w:after="0" w:line="78"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There were no transfers of financial instruments between the three levels of the fair value hierarchy during the years ended December 31, 2021 and 2020. The carrying value of the ABL Facility, excluding debt issuance costs, approximates fair value as the interest rates are variable and reflective of market rates. The fair value of the 2025 Secured Notes and the 2028 Secured Notes is based on their last trading price at the end of each period obtained from a third party. The location and the fair value of derivative assets and liabilities designated as hedges in the consolidated balance sheet are disclosed in Note 13.</w:t>
      </w:r>
    </w:p>
    <w:p>
      <w:pPr>
        <w:spacing w:after="0" w:line="35"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As part of the Merger, on July 2, 2020, the Company converted Mobile Mini's outstanding fully vested stock options to 7,361,516 WillScot Mobile Mini stock options using a conversion ratio of 2.405 as set by the Merger Agreement. The fair value of these options was valued at $19.3 million and is part of the purchase consideration. The value of the Mobile Mini stock options converted to WillScot Mobile Mini stock options in connection with the Merger, was determined utilizing the Black-Scholes option-pricing model and is affected by several variables, the most significant of which are the expected life of the equity award, the exercise price of the stock option as compared to the fair market value of the Common Stock on the Merger date, and the estimated volatility of the Common Stock over the term of the equity award. The volatility assumption was based on a blend of peer group volatility and Company trading history as the Company did not have a sufficient trading history as a stand-alone public company to rely exclusively on its own trading history. The risk-free interest rate is based on the US Treasury yield curve in effect at the time of the Merger. The key inputs utilized to determine the fair value of the stock options converted included within the purchase price were expected volatility of 51.92%, risk free rate of interest 0.17%, dividend yield of zero and expected life of 2 years.</w:t>
      </w:r>
    </w:p>
    <w:p>
      <w:pPr>
        <w:spacing w:after="0" w:line="36"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Prior to their redemption, the Company's 2015 Public Warrants traded in active markets. When classified as liabilities, warrants traded in active markets with sufficient trading volume represent Level 1 financial instruments as they were publicly traded in active markets and thus had observable market prices which were used to estimate the fair value adjustments for the related common stock warrant liabilities. When classified as liabilities, warrants not traded in active markets, or traded with insufficient volume, represent Level 3 financial instruments that are valued using a Black-Scholes option-pricing model to estimate the fair value adjustments for the related common stock warrant liabilities.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126" w:right="319" w:bottom="1440" w:gutter="0" w:footer="0" w:header="0"/>
          <w:type w:val="continuous"/>
        </w:sectPr>
      </w:pPr>
    </w:p>
    <w:bookmarkStart w:id="105" w:name="page106"/>
    <w:bookmarkEnd w:id="105"/>
    <w:p>
      <w:pPr>
        <w:ind w:left="540"/>
        <w:spacing w:after="0"/>
        <w:rPr>
          <w:sz w:val="20"/>
          <w:szCs w:val="20"/>
          <w:color w:val="auto"/>
        </w:rPr>
      </w:pPr>
      <w:r>
        <w:rPr>
          <w:rFonts w:ascii="Arial" w:cs="Arial" w:eastAsia="Arial" w:hAnsi="Arial"/>
          <w:sz w:val="13"/>
          <w:szCs w:val="13"/>
          <w:color w:val="auto"/>
        </w:rPr>
        <w:t>The following table shows the carrying amounts and fair values of financial liabilities for which are measured at fair value: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680" w:type="dxa"/>
            <w:vAlign w:val="bottom"/>
            <w:shd w:val="clear" w:color="auto" w:fill="1D2758"/>
          </w:tcPr>
          <w:p>
            <w:pPr>
              <w:spacing w:after="0"/>
              <w:rPr>
                <w:sz w:val="15"/>
                <w:szCs w:val="15"/>
                <w:color w:val="auto"/>
              </w:rPr>
            </w:pPr>
          </w:p>
        </w:tc>
        <w:tc>
          <w:tcPr>
            <w:tcW w:w="1280" w:type="dxa"/>
            <w:vAlign w:val="bottom"/>
            <w:shd w:val="clear" w:color="auto" w:fill="1D2758"/>
          </w:tcPr>
          <w:p>
            <w:pPr>
              <w:spacing w:after="0"/>
              <w:rPr>
                <w:sz w:val="15"/>
                <w:szCs w:val="15"/>
                <w:color w:val="auto"/>
              </w:rPr>
            </w:pPr>
          </w:p>
        </w:tc>
        <w:tc>
          <w:tcPr>
            <w:tcW w:w="1740" w:type="dxa"/>
            <w:vAlign w:val="bottom"/>
            <w:gridSpan w:val="2"/>
            <w:shd w:val="clear" w:color="auto" w:fill="1D2758"/>
          </w:tcPr>
          <w:p>
            <w:pPr>
              <w:ind w:left="240"/>
              <w:spacing w:after="0"/>
              <w:rPr>
                <w:sz w:val="20"/>
                <w:szCs w:val="20"/>
                <w:color w:val="auto"/>
              </w:rPr>
            </w:pPr>
            <w:r>
              <w:rPr>
                <w:rFonts w:ascii="Arial" w:cs="Arial" w:eastAsia="Arial" w:hAnsi="Arial"/>
                <w:sz w:val="13"/>
                <w:szCs w:val="13"/>
                <w:b w:val="1"/>
                <w:bCs w:val="1"/>
                <w:color w:val="FFFFFF"/>
              </w:rPr>
              <w:t>December 31, 2021</w:t>
            </w:r>
          </w:p>
        </w:tc>
        <w:tc>
          <w:tcPr>
            <w:tcW w:w="380" w:type="dxa"/>
            <w:vAlign w:val="bottom"/>
            <w:shd w:val="clear" w:color="auto" w:fill="1D2758"/>
          </w:tcPr>
          <w:p>
            <w:pPr>
              <w:spacing w:after="0"/>
              <w:rPr>
                <w:sz w:val="15"/>
                <w:szCs w:val="15"/>
                <w:color w:val="auto"/>
              </w:rPr>
            </w:pPr>
          </w:p>
        </w:tc>
        <w:tc>
          <w:tcPr>
            <w:tcW w:w="880" w:type="dxa"/>
            <w:vAlign w:val="bottom"/>
            <w:shd w:val="clear" w:color="auto" w:fill="1D2758"/>
          </w:tcPr>
          <w:p>
            <w:pPr>
              <w:spacing w:after="0"/>
              <w:rPr>
                <w:sz w:val="15"/>
                <w:szCs w:val="15"/>
                <w:color w:val="auto"/>
              </w:rPr>
            </w:pPr>
          </w:p>
        </w:tc>
        <w:tc>
          <w:tcPr>
            <w:tcW w:w="1140" w:type="dxa"/>
            <w:vAlign w:val="bottom"/>
            <w:shd w:val="clear" w:color="auto" w:fill="1D2758"/>
          </w:tcPr>
          <w:p>
            <w:pPr>
              <w:spacing w:after="0"/>
              <w:rPr>
                <w:sz w:val="15"/>
                <w:szCs w:val="15"/>
                <w:color w:val="auto"/>
              </w:rPr>
            </w:pPr>
          </w:p>
        </w:tc>
        <w:tc>
          <w:tcPr>
            <w:tcW w:w="200" w:type="dxa"/>
            <w:vAlign w:val="bottom"/>
            <w:shd w:val="clear" w:color="auto" w:fill="1D2758"/>
          </w:tcPr>
          <w:p>
            <w:pPr>
              <w:spacing w:after="0"/>
              <w:rPr>
                <w:sz w:val="15"/>
                <w:szCs w:val="15"/>
                <w:color w:val="auto"/>
              </w:rPr>
            </w:pPr>
          </w:p>
        </w:tc>
        <w:tc>
          <w:tcPr>
            <w:tcW w:w="1740" w:type="dxa"/>
            <w:vAlign w:val="bottom"/>
            <w:gridSpan w:val="2"/>
            <w:shd w:val="clear" w:color="auto" w:fill="1D2758"/>
          </w:tcPr>
          <w:p>
            <w:pPr>
              <w:jc w:val="center"/>
              <w:ind w:right="134"/>
              <w:spacing w:after="0"/>
              <w:rPr>
                <w:sz w:val="20"/>
                <w:szCs w:val="20"/>
                <w:color w:val="auto"/>
              </w:rPr>
            </w:pPr>
            <w:r>
              <w:rPr>
                <w:rFonts w:ascii="Arial" w:cs="Arial" w:eastAsia="Arial" w:hAnsi="Arial"/>
                <w:sz w:val="13"/>
                <w:szCs w:val="13"/>
                <w:b w:val="1"/>
                <w:bCs w:val="1"/>
                <w:color w:val="FFFFFF"/>
              </w:rPr>
              <w:t>December 31, 2020</w:t>
            </w:r>
          </w:p>
        </w:tc>
        <w:tc>
          <w:tcPr>
            <w:tcW w:w="420" w:type="dxa"/>
            <w:vAlign w:val="bottom"/>
            <w:shd w:val="clear" w:color="auto" w:fill="1D2758"/>
          </w:tcPr>
          <w:p>
            <w:pPr>
              <w:spacing w:after="0"/>
              <w:rPr>
                <w:sz w:val="15"/>
                <w:szCs w:val="15"/>
                <w:color w:val="auto"/>
              </w:rPr>
            </w:pPr>
          </w:p>
        </w:tc>
        <w:tc>
          <w:tcPr>
            <w:tcW w:w="820" w:type="dxa"/>
            <w:vAlign w:val="bottom"/>
            <w:shd w:val="clear" w:color="auto" w:fill="1D2758"/>
          </w:tcPr>
          <w:p>
            <w:pPr>
              <w:spacing w:after="0"/>
              <w:rPr>
                <w:sz w:val="15"/>
                <w:szCs w:val="15"/>
                <w:color w:val="auto"/>
              </w:rPr>
            </w:pPr>
          </w:p>
        </w:tc>
      </w:tr>
      <w:tr>
        <w:trPr>
          <w:trHeight w:val="202"/>
        </w:trPr>
        <w:tc>
          <w:tcPr>
            <w:tcW w:w="2680" w:type="dxa"/>
            <w:vAlign w:val="bottom"/>
            <w:shd w:val="clear" w:color="auto" w:fill="1D2758"/>
          </w:tcPr>
          <w:p>
            <w:pPr>
              <w:spacing w:after="0"/>
              <w:rPr>
                <w:sz w:val="17"/>
                <w:szCs w:val="17"/>
                <w:color w:val="auto"/>
              </w:rPr>
            </w:pPr>
          </w:p>
        </w:tc>
        <w:tc>
          <w:tcPr>
            <w:tcW w:w="1280" w:type="dxa"/>
            <w:vAlign w:val="bottom"/>
            <w:shd w:val="clear" w:color="auto" w:fill="1D2758"/>
          </w:tcPr>
          <w:p>
            <w:pPr>
              <w:spacing w:after="0"/>
              <w:rPr>
                <w:sz w:val="17"/>
                <w:szCs w:val="17"/>
                <w:color w:val="auto"/>
              </w:rPr>
            </w:pPr>
          </w:p>
        </w:tc>
        <w:tc>
          <w:tcPr>
            <w:tcW w:w="620" w:type="dxa"/>
            <w:vAlign w:val="bottom"/>
            <w:shd w:val="clear" w:color="auto" w:fill="1D2758"/>
          </w:tcPr>
          <w:p>
            <w:pPr>
              <w:spacing w:after="0"/>
              <w:rPr>
                <w:sz w:val="17"/>
                <w:szCs w:val="17"/>
                <w:color w:val="auto"/>
              </w:rPr>
            </w:pPr>
          </w:p>
        </w:tc>
        <w:tc>
          <w:tcPr>
            <w:tcW w:w="1120" w:type="dxa"/>
            <w:vAlign w:val="bottom"/>
            <w:shd w:val="clear" w:color="auto" w:fill="1D2758"/>
          </w:tcPr>
          <w:p>
            <w:pPr>
              <w:ind w:left="460"/>
              <w:spacing w:after="0"/>
              <w:rPr>
                <w:sz w:val="20"/>
                <w:szCs w:val="20"/>
                <w:color w:val="auto"/>
              </w:rPr>
            </w:pPr>
            <w:r>
              <w:rPr>
                <w:rFonts w:ascii="Arial" w:cs="Arial" w:eastAsia="Arial" w:hAnsi="Arial"/>
                <w:sz w:val="13"/>
                <w:szCs w:val="13"/>
                <w:b w:val="1"/>
                <w:bCs w:val="1"/>
                <w:color w:val="FFFFFF"/>
              </w:rPr>
              <w:t>Fair Value</w:t>
            </w:r>
          </w:p>
        </w:tc>
        <w:tc>
          <w:tcPr>
            <w:tcW w:w="380" w:type="dxa"/>
            <w:vAlign w:val="bottom"/>
            <w:shd w:val="clear" w:color="auto" w:fill="1D2758"/>
          </w:tcPr>
          <w:p>
            <w:pPr>
              <w:spacing w:after="0"/>
              <w:rPr>
                <w:sz w:val="17"/>
                <w:szCs w:val="17"/>
                <w:color w:val="auto"/>
              </w:rPr>
            </w:pPr>
          </w:p>
        </w:tc>
        <w:tc>
          <w:tcPr>
            <w:tcW w:w="880" w:type="dxa"/>
            <w:vAlign w:val="bottom"/>
            <w:shd w:val="clear" w:color="auto" w:fill="1D2758"/>
          </w:tcPr>
          <w:p>
            <w:pPr>
              <w:spacing w:after="0"/>
              <w:rPr>
                <w:sz w:val="17"/>
                <w:szCs w:val="17"/>
                <w:color w:val="auto"/>
              </w:rPr>
            </w:pPr>
          </w:p>
        </w:tc>
        <w:tc>
          <w:tcPr>
            <w:tcW w:w="1140" w:type="dxa"/>
            <w:vAlign w:val="bottom"/>
            <w:shd w:val="clear" w:color="auto" w:fill="1D2758"/>
          </w:tcPr>
          <w:p>
            <w:pPr>
              <w:spacing w:after="0"/>
              <w:rPr>
                <w:sz w:val="17"/>
                <w:szCs w:val="17"/>
                <w:color w:val="auto"/>
              </w:rPr>
            </w:pPr>
          </w:p>
        </w:tc>
        <w:tc>
          <w:tcPr>
            <w:tcW w:w="200" w:type="dxa"/>
            <w:vAlign w:val="bottom"/>
            <w:shd w:val="clear" w:color="auto" w:fill="1D2758"/>
          </w:tcPr>
          <w:p>
            <w:pPr>
              <w:spacing w:after="0"/>
              <w:rPr>
                <w:sz w:val="17"/>
                <w:szCs w:val="17"/>
                <w:color w:val="auto"/>
              </w:rPr>
            </w:pPr>
          </w:p>
        </w:tc>
        <w:tc>
          <w:tcPr>
            <w:tcW w:w="600" w:type="dxa"/>
            <w:vAlign w:val="bottom"/>
            <w:shd w:val="clear" w:color="auto" w:fill="1D2758"/>
          </w:tcPr>
          <w:p>
            <w:pPr>
              <w:spacing w:after="0"/>
              <w:rPr>
                <w:sz w:val="17"/>
                <w:szCs w:val="17"/>
                <w:color w:val="auto"/>
              </w:rPr>
            </w:pPr>
          </w:p>
        </w:tc>
        <w:tc>
          <w:tcPr>
            <w:tcW w:w="1140" w:type="dxa"/>
            <w:vAlign w:val="bottom"/>
            <w:shd w:val="clear" w:color="auto" w:fill="1D2758"/>
          </w:tcPr>
          <w:p>
            <w:pPr>
              <w:jc w:val="center"/>
              <w:ind w:left="414"/>
              <w:spacing w:after="0"/>
              <w:rPr>
                <w:sz w:val="20"/>
                <w:szCs w:val="20"/>
                <w:color w:val="auto"/>
              </w:rPr>
            </w:pPr>
            <w:r>
              <w:rPr>
                <w:rFonts w:ascii="Arial" w:cs="Arial" w:eastAsia="Arial" w:hAnsi="Arial"/>
                <w:sz w:val="13"/>
                <w:szCs w:val="13"/>
                <w:b w:val="1"/>
                <w:bCs w:val="1"/>
                <w:color w:val="FFFFFF"/>
                <w:w w:val="99"/>
              </w:rPr>
              <w:t>Fair Value</w:t>
            </w:r>
          </w:p>
        </w:tc>
        <w:tc>
          <w:tcPr>
            <w:tcW w:w="420" w:type="dxa"/>
            <w:vAlign w:val="bottom"/>
            <w:shd w:val="clear" w:color="auto" w:fill="1D2758"/>
          </w:tcPr>
          <w:p>
            <w:pPr>
              <w:spacing w:after="0"/>
              <w:rPr>
                <w:sz w:val="17"/>
                <w:szCs w:val="17"/>
                <w:color w:val="auto"/>
              </w:rPr>
            </w:pPr>
          </w:p>
        </w:tc>
        <w:tc>
          <w:tcPr>
            <w:tcW w:w="820" w:type="dxa"/>
            <w:vAlign w:val="bottom"/>
            <w:shd w:val="clear" w:color="auto" w:fill="1D2758"/>
          </w:tcPr>
          <w:p>
            <w:pPr>
              <w:spacing w:after="0"/>
              <w:rPr>
                <w:sz w:val="17"/>
                <w:szCs w:val="17"/>
                <w:color w:val="auto"/>
              </w:rPr>
            </w:pPr>
          </w:p>
        </w:tc>
      </w:tr>
      <w:tr>
        <w:trPr>
          <w:trHeight w:val="213"/>
        </w:trPr>
        <w:tc>
          <w:tcPr>
            <w:tcW w:w="268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1280" w:type="dxa"/>
            <w:vAlign w:val="bottom"/>
            <w:shd w:val="clear" w:color="auto" w:fill="1D2758"/>
          </w:tcPr>
          <w:p>
            <w:pPr>
              <w:ind w:left="40"/>
              <w:spacing w:after="0"/>
              <w:rPr>
                <w:sz w:val="20"/>
                <w:szCs w:val="20"/>
                <w:color w:val="auto"/>
              </w:rPr>
            </w:pPr>
            <w:r>
              <w:rPr>
                <w:rFonts w:ascii="Arial" w:cs="Arial" w:eastAsia="Arial" w:hAnsi="Arial"/>
                <w:sz w:val="13"/>
                <w:szCs w:val="13"/>
                <w:b w:val="1"/>
                <w:bCs w:val="1"/>
                <w:color w:val="FFFFFF"/>
              </w:rPr>
              <w:t>Carrying Amount</w:t>
            </w:r>
          </w:p>
        </w:tc>
        <w:tc>
          <w:tcPr>
            <w:tcW w:w="620" w:type="dxa"/>
            <w:vAlign w:val="bottom"/>
            <w:shd w:val="clear" w:color="auto" w:fill="1D2758"/>
          </w:tcPr>
          <w:p>
            <w:pPr>
              <w:ind w:left="160"/>
              <w:spacing w:after="0"/>
              <w:rPr>
                <w:sz w:val="20"/>
                <w:szCs w:val="20"/>
                <w:color w:val="auto"/>
              </w:rPr>
            </w:pPr>
            <w:r>
              <w:rPr>
                <w:rFonts w:ascii="Arial" w:cs="Arial" w:eastAsia="Arial" w:hAnsi="Arial"/>
                <w:sz w:val="13"/>
                <w:szCs w:val="13"/>
                <w:b w:val="1"/>
                <w:bCs w:val="1"/>
                <w:color w:val="FFFFFF"/>
                <w:w w:val="99"/>
              </w:rPr>
              <w:t>Level 1</w:t>
            </w:r>
          </w:p>
        </w:tc>
        <w:tc>
          <w:tcPr>
            <w:tcW w:w="1120" w:type="dxa"/>
            <w:vAlign w:val="bottom"/>
            <w:shd w:val="clear" w:color="auto" w:fill="1D2758"/>
          </w:tcPr>
          <w:p>
            <w:pPr>
              <w:ind w:left="600"/>
              <w:spacing w:after="0"/>
              <w:rPr>
                <w:sz w:val="20"/>
                <w:szCs w:val="20"/>
                <w:color w:val="auto"/>
              </w:rPr>
            </w:pPr>
            <w:r>
              <w:rPr>
                <w:rFonts w:ascii="Arial" w:cs="Arial" w:eastAsia="Arial" w:hAnsi="Arial"/>
                <w:sz w:val="13"/>
                <w:szCs w:val="13"/>
                <w:b w:val="1"/>
                <w:bCs w:val="1"/>
                <w:color w:val="FFFFFF"/>
              </w:rPr>
              <w:t>Level 2</w:t>
            </w:r>
          </w:p>
        </w:tc>
        <w:tc>
          <w:tcPr>
            <w:tcW w:w="380" w:type="dxa"/>
            <w:vAlign w:val="bottom"/>
            <w:shd w:val="clear" w:color="auto" w:fill="1D2758"/>
          </w:tcPr>
          <w:p>
            <w:pPr>
              <w:spacing w:after="0"/>
              <w:rPr>
                <w:sz w:val="18"/>
                <w:szCs w:val="18"/>
                <w:color w:val="auto"/>
              </w:rPr>
            </w:pPr>
          </w:p>
        </w:tc>
        <w:tc>
          <w:tcPr>
            <w:tcW w:w="880" w:type="dxa"/>
            <w:vAlign w:val="bottom"/>
            <w:shd w:val="clear" w:color="auto" w:fill="1D2758"/>
          </w:tcPr>
          <w:p>
            <w:pPr>
              <w:ind w:left="120"/>
              <w:spacing w:after="0"/>
              <w:rPr>
                <w:sz w:val="20"/>
                <w:szCs w:val="20"/>
                <w:color w:val="auto"/>
              </w:rPr>
            </w:pPr>
            <w:r>
              <w:rPr>
                <w:rFonts w:ascii="Arial" w:cs="Arial" w:eastAsia="Arial" w:hAnsi="Arial"/>
                <w:sz w:val="13"/>
                <w:szCs w:val="13"/>
                <w:b w:val="1"/>
                <w:bCs w:val="1"/>
                <w:color w:val="FFFFFF"/>
              </w:rPr>
              <w:t>Level 3</w:t>
            </w:r>
          </w:p>
        </w:tc>
        <w:tc>
          <w:tcPr>
            <w:tcW w:w="1140" w:type="dxa"/>
            <w:vAlign w:val="bottom"/>
            <w:shd w:val="clear" w:color="auto" w:fill="1D2758"/>
          </w:tcPr>
          <w:p>
            <w:pPr>
              <w:jc w:val="right"/>
              <w:spacing w:after="0"/>
              <w:rPr>
                <w:sz w:val="20"/>
                <w:szCs w:val="20"/>
                <w:color w:val="auto"/>
              </w:rPr>
            </w:pPr>
            <w:r>
              <w:rPr>
                <w:rFonts w:ascii="Arial" w:cs="Arial" w:eastAsia="Arial" w:hAnsi="Arial"/>
                <w:sz w:val="13"/>
                <w:szCs w:val="13"/>
                <w:b w:val="1"/>
                <w:bCs w:val="1"/>
                <w:color w:val="FFFFFF"/>
                <w:w w:val="99"/>
              </w:rPr>
              <w:t>Carrying Amount</w:t>
            </w:r>
          </w:p>
        </w:tc>
        <w:tc>
          <w:tcPr>
            <w:tcW w:w="200" w:type="dxa"/>
            <w:vAlign w:val="bottom"/>
            <w:shd w:val="clear" w:color="auto" w:fill="1D2758"/>
          </w:tcPr>
          <w:p>
            <w:pPr>
              <w:spacing w:after="0"/>
              <w:rPr>
                <w:sz w:val="18"/>
                <w:szCs w:val="18"/>
                <w:color w:val="auto"/>
              </w:rPr>
            </w:pPr>
          </w:p>
        </w:tc>
        <w:tc>
          <w:tcPr>
            <w:tcW w:w="600" w:type="dxa"/>
            <w:vAlign w:val="bottom"/>
            <w:shd w:val="clear" w:color="auto" w:fill="1D2758"/>
          </w:tcPr>
          <w:p>
            <w:pPr>
              <w:ind w:left="100"/>
              <w:spacing w:after="0"/>
              <w:rPr>
                <w:sz w:val="20"/>
                <w:szCs w:val="20"/>
                <w:color w:val="auto"/>
              </w:rPr>
            </w:pPr>
            <w:r>
              <w:rPr>
                <w:rFonts w:ascii="Arial" w:cs="Arial" w:eastAsia="Arial" w:hAnsi="Arial"/>
                <w:sz w:val="13"/>
                <w:szCs w:val="13"/>
                <w:b w:val="1"/>
                <w:bCs w:val="1"/>
                <w:color w:val="FFFFFF"/>
              </w:rPr>
              <w:t>Level 1</w:t>
            </w:r>
          </w:p>
        </w:tc>
        <w:tc>
          <w:tcPr>
            <w:tcW w:w="1140" w:type="dxa"/>
            <w:vAlign w:val="bottom"/>
            <w:shd w:val="clear" w:color="auto" w:fill="1D2758"/>
          </w:tcPr>
          <w:p>
            <w:pPr>
              <w:jc w:val="center"/>
              <w:ind w:left="394"/>
              <w:spacing w:after="0"/>
              <w:rPr>
                <w:sz w:val="20"/>
                <w:szCs w:val="20"/>
                <w:color w:val="auto"/>
              </w:rPr>
            </w:pPr>
            <w:r>
              <w:rPr>
                <w:rFonts w:ascii="Arial" w:cs="Arial" w:eastAsia="Arial" w:hAnsi="Arial"/>
                <w:sz w:val="13"/>
                <w:szCs w:val="13"/>
                <w:b w:val="1"/>
                <w:bCs w:val="1"/>
                <w:color w:val="FFFFFF"/>
                <w:w w:val="99"/>
              </w:rPr>
              <w:t>Level 2</w:t>
            </w:r>
          </w:p>
        </w:tc>
        <w:tc>
          <w:tcPr>
            <w:tcW w:w="420" w:type="dxa"/>
            <w:vAlign w:val="bottom"/>
            <w:shd w:val="clear" w:color="auto" w:fill="1D2758"/>
          </w:tcPr>
          <w:p>
            <w:pPr>
              <w:spacing w:after="0"/>
              <w:rPr>
                <w:sz w:val="18"/>
                <w:szCs w:val="18"/>
                <w:color w:val="auto"/>
              </w:rPr>
            </w:pPr>
          </w:p>
        </w:tc>
        <w:tc>
          <w:tcPr>
            <w:tcW w:w="820" w:type="dxa"/>
            <w:vAlign w:val="bottom"/>
            <w:shd w:val="clear" w:color="auto" w:fill="1D2758"/>
          </w:tcPr>
          <w:p>
            <w:pPr>
              <w:jc w:val="right"/>
              <w:ind w:right="214"/>
              <w:spacing w:after="0"/>
              <w:rPr>
                <w:sz w:val="20"/>
                <w:szCs w:val="20"/>
                <w:color w:val="auto"/>
              </w:rPr>
            </w:pPr>
            <w:r>
              <w:rPr>
                <w:rFonts w:ascii="Arial" w:cs="Arial" w:eastAsia="Arial" w:hAnsi="Arial"/>
                <w:sz w:val="13"/>
                <w:szCs w:val="13"/>
                <w:b w:val="1"/>
                <w:bCs w:val="1"/>
                <w:color w:val="FFFFFF"/>
              </w:rPr>
              <w:t>Level 3</w:t>
            </w:r>
          </w:p>
        </w:tc>
      </w:tr>
      <w:tr>
        <w:trPr>
          <w:trHeight w:val="175"/>
        </w:trPr>
        <w:tc>
          <w:tcPr>
            <w:tcW w:w="2680" w:type="dxa"/>
            <w:vAlign w:val="bottom"/>
            <w:shd w:val="clear" w:color="auto" w:fill="DBDBDB"/>
          </w:tcPr>
          <w:p>
            <w:pPr>
              <w:ind w:left="20"/>
              <w:spacing w:after="0"/>
              <w:rPr>
                <w:sz w:val="20"/>
                <w:szCs w:val="20"/>
                <w:color w:val="auto"/>
              </w:rPr>
            </w:pPr>
            <w:r>
              <w:rPr>
                <w:rFonts w:ascii="Arial" w:cs="Arial" w:eastAsia="Arial" w:hAnsi="Arial"/>
                <w:sz w:val="13"/>
                <w:szCs w:val="13"/>
                <w:color w:val="auto"/>
              </w:rPr>
              <w:t>2015 Private Warrants</w:t>
            </w:r>
          </w:p>
        </w:tc>
        <w:tc>
          <w:tcPr>
            <w:tcW w:w="1280" w:type="dxa"/>
            <w:vAlign w:val="bottom"/>
            <w:shd w:val="clear" w:color="auto" w:fill="DBDBDB"/>
          </w:tcPr>
          <w:p>
            <w:pPr>
              <w:ind w:left="920"/>
              <w:spacing w:after="0"/>
              <w:rPr>
                <w:sz w:val="20"/>
                <w:szCs w:val="20"/>
                <w:color w:val="auto"/>
              </w:rPr>
            </w:pPr>
            <w:r>
              <w:rPr>
                <w:rFonts w:ascii="Arial" w:cs="Arial" w:eastAsia="Arial" w:hAnsi="Arial"/>
                <w:sz w:val="13"/>
                <w:szCs w:val="13"/>
                <w:color w:val="auto"/>
              </w:rPr>
              <w:t>N/A</w:t>
            </w:r>
          </w:p>
        </w:tc>
        <w:tc>
          <w:tcPr>
            <w:tcW w:w="620" w:type="dxa"/>
            <w:vAlign w:val="bottom"/>
            <w:shd w:val="clear" w:color="auto" w:fill="DBDBDB"/>
          </w:tcPr>
          <w:p>
            <w:pPr>
              <w:spacing w:after="0"/>
              <w:rPr>
                <w:sz w:val="15"/>
                <w:szCs w:val="15"/>
                <w:color w:val="auto"/>
              </w:rPr>
            </w:pPr>
          </w:p>
        </w:tc>
        <w:tc>
          <w:tcPr>
            <w:tcW w:w="1120" w:type="dxa"/>
            <w:vAlign w:val="bottom"/>
            <w:shd w:val="clear" w:color="auto" w:fill="DBDBDB"/>
          </w:tcPr>
          <w:p>
            <w:pPr>
              <w:ind w:left="20"/>
              <w:spacing w:after="0"/>
              <w:rPr>
                <w:sz w:val="20"/>
                <w:szCs w:val="20"/>
                <w:color w:val="auto"/>
              </w:rPr>
            </w:pPr>
            <w:r>
              <w:rPr>
                <w:rFonts w:ascii="Arial" w:cs="Arial" w:eastAsia="Arial" w:hAnsi="Arial"/>
                <w:sz w:val="13"/>
                <w:szCs w:val="13"/>
                <w:color w:val="auto"/>
              </w:rPr>
              <w:t>N/A</w:t>
            </w:r>
          </w:p>
        </w:tc>
        <w:tc>
          <w:tcPr>
            <w:tcW w:w="380" w:type="dxa"/>
            <w:vAlign w:val="bottom"/>
            <w:shd w:val="clear" w:color="auto" w:fill="DBDBDB"/>
          </w:tcPr>
          <w:p>
            <w:pPr>
              <w:ind w:left="40"/>
              <w:spacing w:after="0"/>
              <w:rPr>
                <w:sz w:val="20"/>
                <w:szCs w:val="20"/>
                <w:color w:val="auto"/>
              </w:rPr>
            </w:pPr>
            <w:r>
              <w:rPr>
                <w:rFonts w:ascii="Arial" w:cs="Arial" w:eastAsia="Arial" w:hAnsi="Arial"/>
                <w:sz w:val="13"/>
                <w:szCs w:val="13"/>
                <w:color w:val="auto"/>
              </w:rPr>
              <w:t>N/A</w:t>
            </w:r>
          </w:p>
        </w:tc>
        <w:tc>
          <w:tcPr>
            <w:tcW w:w="880" w:type="dxa"/>
            <w:vAlign w:val="bottom"/>
            <w:shd w:val="clear" w:color="auto" w:fill="DBDBDB"/>
          </w:tcPr>
          <w:p>
            <w:pPr>
              <w:ind w:left="560"/>
              <w:spacing w:after="0"/>
              <w:rPr>
                <w:sz w:val="20"/>
                <w:szCs w:val="20"/>
                <w:color w:val="auto"/>
              </w:rPr>
            </w:pPr>
            <w:r>
              <w:rPr>
                <w:rFonts w:ascii="Arial" w:cs="Arial" w:eastAsia="Arial" w:hAnsi="Arial"/>
                <w:sz w:val="13"/>
                <w:szCs w:val="13"/>
                <w:color w:val="auto"/>
                <w:w w:val="92"/>
              </w:rPr>
              <w:t>N/A $</w:t>
            </w: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77,404</w:t>
            </w:r>
          </w:p>
        </w:tc>
        <w:tc>
          <w:tcPr>
            <w:tcW w:w="200" w:type="dxa"/>
            <w:vAlign w:val="bottom"/>
            <w:shd w:val="clear" w:color="auto" w:fill="DBDBDB"/>
          </w:tcPr>
          <w:p>
            <w:pPr>
              <w:jc w:val="right"/>
              <w:ind w:right="14"/>
              <w:spacing w:after="0"/>
              <w:rPr>
                <w:sz w:val="20"/>
                <w:szCs w:val="20"/>
                <w:color w:val="auto"/>
              </w:rPr>
            </w:pPr>
            <w:r>
              <w:rPr>
                <w:rFonts w:ascii="Arial" w:cs="Arial" w:eastAsia="Arial" w:hAnsi="Arial"/>
                <w:sz w:val="13"/>
                <w:szCs w:val="13"/>
                <w:color w:val="auto"/>
              </w:rPr>
              <w:t>$</w:t>
            </w:r>
          </w:p>
        </w:tc>
        <w:tc>
          <w:tcPr>
            <w:tcW w:w="600" w:type="dxa"/>
            <w:vAlign w:val="bottom"/>
            <w:shd w:val="clear" w:color="auto" w:fill="DBDBDB"/>
          </w:tcPr>
          <w:p>
            <w:pPr>
              <w:spacing w:after="0"/>
              <w:rPr>
                <w:sz w:val="15"/>
                <w:szCs w:val="15"/>
                <w:color w:val="auto"/>
              </w:rPr>
            </w:pPr>
          </w:p>
        </w:tc>
        <w:tc>
          <w:tcPr>
            <w:tcW w:w="1140" w:type="dxa"/>
            <w:vAlign w:val="bottom"/>
            <w:shd w:val="clear" w:color="auto" w:fill="DBDBDB"/>
          </w:tcPr>
          <w:p>
            <w:pPr>
              <w:jc w:val="center"/>
              <w:ind w:right="714"/>
              <w:spacing w:after="0"/>
              <w:rPr>
                <w:sz w:val="20"/>
                <w:szCs w:val="20"/>
                <w:color w:val="auto"/>
              </w:rPr>
            </w:pPr>
            <w:r>
              <w:rPr>
                <w:rFonts w:ascii="Arial" w:cs="Arial" w:eastAsia="Arial" w:hAnsi="Arial"/>
                <w:sz w:val="13"/>
                <w:szCs w:val="13"/>
                <w:color w:val="auto"/>
              </w:rPr>
              <w:t>— $</w:t>
            </w:r>
          </w:p>
        </w:tc>
        <w:tc>
          <w:tcPr>
            <w:tcW w:w="420" w:type="dxa"/>
            <w:vAlign w:val="bottom"/>
            <w:shd w:val="clear" w:color="auto" w:fill="DBDBDB"/>
          </w:tcPr>
          <w:p>
            <w:pPr>
              <w:ind w:left="40"/>
              <w:spacing w:after="0"/>
              <w:rPr>
                <w:sz w:val="20"/>
                <w:szCs w:val="20"/>
                <w:color w:val="auto"/>
              </w:rPr>
            </w:pPr>
            <w:r>
              <w:rPr>
                <w:rFonts w:ascii="Arial" w:cs="Arial" w:eastAsia="Arial" w:hAnsi="Arial"/>
                <w:sz w:val="13"/>
                <w:szCs w:val="13"/>
                <w:color w:val="auto"/>
              </w:rPr>
              <w:t>— $</w:t>
            </w:r>
          </w:p>
        </w:tc>
        <w:tc>
          <w:tcPr>
            <w:tcW w:w="8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77,404</w:t>
            </w:r>
          </w:p>
        </w:tc>
      </w:tr>
    </w:tbl>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Level 3 Disclosures</w:t>
      </w:r>
    </w:p>
    <w:p>
      <w:pPr>
        <w:spacing w:after="0" w:line="63"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When the 2015 Private Warrants and 2018 Warrants were classified as liabilities, the Company utilized a Black Scholes option-pricing model to value the warrants at each reporting period and transaction date, with changes in fair value recognized in the statements of operations. The estimated fair value of the common stock warrant liability was determined using Level 3 inputs. Inherent in the pricing model were assumptions related to expected share-price volatility, expected life, risk-free interest rate and dividend yield. The volatility assumption was based on a blend of peer group volatility and Company trading history that matched the expected remaining life of the warrants as the Company did not have a sufficient trading history as a stand-alone public company to rely exclusively on its own trading history. The risk-free interest rate was based on the US Treasury zero-coupon yield curve on the grant date for a maturity similar to the expected remaining life of the warrants. The expected life of the warrants was assumed to be equivalent to their remaining contractual term. The dividend rate was based on the historical rate, which the Company anticipated to remain at zero.</w:t>
      </w:r>
    </w:p>
    <w:p>
      <w:pPr>
        <w:spacing w:after="0" w:line="37"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2018 Warrants were reclassified to equity at June 30, 2020, the date all issued and outstanding shares of the Company's Class B Common Stock were cancelled.</w:t>
      </w:r>
    </w:p>
    <w:p>
      <w:pPr>
        <w:spacing w:after="0" w:line="47"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following table provides quantitative information regarding Level 3 fair value measurements: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800" w:type="dxa"/>
            <w:vAlign w:val="bottom"/>
            <w:shd w:val="clear" w:color="auto" w:fill="1D2758"/>
          </w:tcPr>
          <w:p>
            <w:pPr>
              <w:spacing w:after="0"/>
              <w:rPr>
                <w:sz w:val="15"/>
                <w:szCs w:val="15"/>
                <w:color w:val="auto"/>
              </w:rPr>
            </w:pPr>
          </w:p>
        </w:tc>
        <w:tc>
          <w:tcPr>
            <w:tcW w:w="1180" w:type="dxa"/>
            <w:vAlign w:val="bottom"/>
            <w:shd w:val="clear" w:color="auto" w:fill="1D2758"/>
          </w:tcPr>
          <w:p>
            <w:pPr>
              <w:spacing w:after="0"/>
              <w:rPr>
                <w:sz w:val="15"/>
                <w:szCs w:val="15"/>
                <w:color w:val="auto"/>
              </w:rPr>
            </w:pPr>
          </w:p>
        </w:tc>
        <w:tc>
          <w:tcPr>
            <w:tcW w:w="860" w:type="dxa"/>
            <w:vAlign w:val="bottom"/>
            <w:shd w:val="clear" w:color="auto" w:fill="1D2758"/>
          </w:tcPr>
          <w:p>
            <w:pPr>
              <w:spacing w:after="0"/>
              <w:rPr>
                <w:sz w:val="15"/>
                <w:szCs w:val="15"/>
                <w:color w:val="auto"/>
              </w:rPr>
            </w:pPr>
          </w:p>
        </w:tc>
        <w:tc>
          <w:tcPr>
            <w:tcW w:w="200" w:type="dxa"/>
            <w:vAlign w:val="bottom"/>
            <w:shd w:val="clear" w:color="auto" w:fill="1D2758"/>
          </w:tcPr>
          <w:p>
            <w:pPr>
              <w:spacing w:after="0"/>
              <w:rPr>
                <w:sz w:val="15"/>
                <w:szCs w:val="15"/>
                <w:color w:val="auto"/>
              </w:rPr>
            </w:pPr>
          </w:p>
        </w:tc>
        <w:tc>
          <w:tcPr>
            <w:tcW w:w="220" w:type="dxa"/>
            <w:vAlign w:val="bottom"/>
            <w:shd w:val="clear" w:color="auto" w:fill="1D2758"/>
          </w:tcPr>
          <w:p>
            <w:pPr>
              <w:spacing w:after="0"/>
              <w:rPr>
                <w:sz w:val="15"/>
                <w:szCs w:val="15"/>
                <w:color w:val="auto"/>
              </w:rPr>
            </w:pPr>
          </w:p>
        </w:tc>
        <w:tc>
          <w:tcPr>
            <w:tcW w:w="2020" w:type="dxa"/>
            <w:vAlign w:val="bottom"/>
            <w:shd w:val="clear" w:color="auto" w:fill="1D2758"/>
          </w:tcPr>
          <w:p>
            <w:pPr>
              <w:jc w:val="right"/>
              <w:ind w:right="614"/>
              <w:spacing w:after="0"/>
              <w:rPr>
                <w:sz w:val="20"/>
                <w:szCs w:val="20"/>
                <w:color w:val="auto"/>
              </w:rPr>
            </w:pPr>
            <w:r>
              <w:rPr>
                <w:rFonts w:ascii="Arial" w:cs="Arial" w:eastAsia="Arial" w:hAnsi="Arial"/>
                <w:sz w:val="13"/>
                <w:szCs w:val="13"/>
                <w:b w:val="1"/>
                <w:bCs w:val="1"/>
                <w:color w:val="FFFFFF"/>
              </w:rPr>
              <w:t>December 31, 2020</w:t>
            </w:r>
          </w:p>
        </w:tc>
        <w:tc>
          <w:tcPr>
            <w:tcW w:w="0" w:type="dxa"/>
            <w:vAlign w:val="bottom"/>
          </w:tcPr>
          <w:p>
            <w:pPr>
              <w:spacing w:after="0"/>
              <w:rPr>
                <w:sz w:val="1"/>
                <w:szCs w:val="1"/>
                <w:color w:val="auto"/>
              </w:rPr>
            </w:pPr>
          </w:p>
        </w:tc>
      </w:tr>
      <w:tr>
        <w:trPr>
          <w:trHeight w:val="175"/>
        </w:trPr>
        <w:tc>
          <w:tcPr>
            <w:tcW w:w="680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1180" w:type="dxa"/>
            <w:vAlign w:val="bottom"/>
            <w:shd w:val="clear" w:color="auto" w:fill="1D2758"/>
          </w:tcPr>
          <w:p>
            <w:pPr>
              <w:spacing w:after="0"/>
              <w:rPr>
                <w:sz w:val="15"/>
                <w:szCs w:val="15"/>
                <w:color w:val="auto"/>
              </w:rPr>
            </w:pPr>
          </w:p>
        </w:tc>
        <w:tc>
          <w:tcPr>
            <w:tcW w:w="860" w:type="dxa"/>
            <w:vAlign w:val="bottom"/>
            <w:shd w:val="clear" w:color="auto" w:fill="1D2758"/>
          </w:tcPr>
          <w:p>
            <w:pPr>
              <w:spacing w:after="0"/>
              <w:rPr>
                <w:sz w:val="15"/>
                <w:szCs w:val="15"/>
                <w:color w:val="auto"/>
              </w:rPr>
            </w:pPr>
          </w:p>
        </w:tc>
        <w:tc>
          <w:tcPr>
            <w:tcW w:w="200" w:type="dxa"/>
            <w:vAlign w:val="bottom"/>
            <w:shd w:val="clear" w:color="auto" w:fill="1D2758"/>
          </w:tcPr>
          <w:p>
            <w:pPr>
              <w:spacing w:after="0"/>
              <w:rPr>
                <w:sz w:val="15"/>
                <w:szCs w:val="15"/>
                <w:color w:val="auto"/>
              </w:rPr>
            </w:pPr>
          </w:p>
        </w:tc>
        <w:tc>
          <w:tcPr>
            <w:tcW w:w="220" w:type="dxa"/>
            <w:vAlign w:val="bottom"/>
            <w:shd w:val="clear" w:color="auto" w:fill="1D2758"/>
          </w:tcPr>
          <w:p>
            <w:pPr>
              <w:spacing w:after="0"/>
              <w:rPr>
                <w:sz w:val="15"/>
                <w:szCs w:val="15"/>
                <w:color w:val="auto"/>
              </w:rPr>
            </w:pPr>
          </w:p>
        </w:tc>
        <w:tc>
          <w:tcPr>
            <w:tcW w:w="2020" w:type="dxa"/>
            <w:vAlign w:val="bottom"/>
            <w:shd w:val="clear" w:color="auto" w:fill="1D2758"/>
          </w:tcPr>
          <w:p>
            <w:pPr>
              <w:jc w:val="right"/>
              <w:ind w:right="494"/>
              <w:spacing w:after="0"/>
              <w:rPr>
                <w:sz w:val="20"/>
                <w:szCs w:val="20"/>
                <w:color w:val="auto"/>
              </w:rPr>
            </w:pPr>
            <w:r>
              <w:rPr>
                <w:rFonts w:ascii="Arial" w:cs="Arial" w:eastAsia="Arial" w:hAnsi="Arial"/>
                <w:sz w:val="13"/>
                <w:szCs w:val="13"/>
                <w:b w:val="1"/>
                <w:bCs w:val="1"/>
                <w:color w:val="FFFFFF"/>
              </w:rPr>
              <w:t>2015 Private Warrants</w:t>
            </w:r>
          </w:p>
        </w:tc>
        <w:tc>
          <w:tcPr>
            <w:tcW w:w="0" w:type="dxa"/>
            <w:vAlign w:val="bottom"/>
          </w:tcPr>
          <w:p>
            <w:pPr>
              <w:spacing w:after="0"/>
              <w:rPr>
                <w:sz w:val="1"/>
                <w:szCs w:val="1"/>
                <w:color w:val="auto"/>
              </w:rPr>
            </w:pPr>
          </w:p>
        </w:tc>
      </w:tr>
      <w:tr>
        <w:trPr>
          <w:trHeight w:val="175"/>
        </w:trPr>
        <w:tc>
          <w:tcPr>
            <w:tcW w:w="6800" w:type="dxa"/>
            <w:vAlign w:val="bottom"/>
            <w:shd w:val="clear" w:color="auto" w:fill="DBDBDB"/>
          </w:tcPr>
          <w:p>
            <w:pPr>
              <w:ind w:left="20"/>
              <w:spacing w:after="0"/>
              <w:rPr>
                <w:sz w:val="20"/>
                <w:szCs w:val="20"/>
                <w:color w:val="auto"/>
              </w:rPr>
            </w:pPr>
            <w:r>
              <w:rPr>
                <w:rFonts w:ascii="Arial" w:cs="Arial" w:eastAsia="Arial" w:hAnsi="Arial"/>
                <w:sz w:val="13"/>
                <w:szCs w:val="13"/>
                <w:color w:val="auto"/>
              </w:rPr>
              <w:t>Stock Price</w:t>
            </w:r>
          </w:p>
        </w:tc>
        <w:tc>
          <w:tcPr>
            <w:tcW w:w="1180" w:type="dxa"/>
            <w:vAlign w:val="bottom"/>
            <w:shd w:val="clear" w:color="auto" w:fill="DBDBDB"/>
          </w:tcPr>
          <w:p>
            <w:pPr>
              <w:spacing w:after="0"/>
              <w:rPr>
                <w:sz w:val="15"/>
                <w:szCs w:val="15"/>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202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23.17</w:t>
            </w:r>
          </w:p>
        </w:tc>
        <w:tc>
          <w:tcPr>
            <w:tcW w:w="0" w:type="dxa"/>
            <w:vAlign w:val="bottom"/>
          </w:tcPr>
          <w:p>
            <w:pPr>
              <w:spacing w:after="0"/>
              <w:rPr>
                <w:sz w:val="1"/>
                <w:szCs w:val="1"/>
                <w:color w:val="auto"/>
              </w:rPr>
            </w:pPr>
          </w:p>
        </w:tc>
      </w:tr>
      <w:tr>
        <w:trPr>
          <w:trHeight w:val="172"/>
        </w:trPr>
        <w:tc>
          <w:tcPr>
            <w:tcW w:w="6800" w:type="dxa"/>
            <w:vAlign w:val="bottom"/>
          </w:tcPr>
          <w:p>
            <w:pPr>
              <w:ind w:left="20"/>
              <w:spacing w:after="0"/>
              <w:rPr>
                <w:sz w:val="20"/>
                <w:szCs w:val="20"/>
                <w:color w:val="auto"/>
              </w:rPr>
            </w:pPr>
            <w:r>
              <w:rPr>
                <w:rFonts w:ascii="Arial" w:cs="Arial" w:eastAsia="Arial" w:hAnsi="Arial"/>
                <w:sz w:val="13"/>
                <w:szCs w:val="13"/>
                <w:color w:val="auto"/>
              </w:rPr>
              <w:t>Strike Price</w:t>
            </w:r>
          </w:p>
        </w:tc>
        <w:tc>
          <w:tcPr>
            <w:tcW w:w="1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Pr>
          <w:p>
            <w:pPr>
              <w:jc w:val="right"/>
              <w:ind w:right="94"/>
              <w:spacing w:after="0"/>
              <w:rPr>
                <w:sz w:val="20"/>
                <w:szCs w:val="20"/>
                <w:color w:val="auto"/>
              </w:rPr>
            </w:pPr>
            <w:r>
              <w:rPr>
                <w:rFonts w:ascii="Arial" w:cs="Arial" w:eastAsia="Arial" w:hAnsi="Arial"/>
                <w:sz w:val="13"/>
                <w:szCs w:val="13"/>
                <w:color w:val="auto"/>
              </w:rPr>
              <w:t>11.50</w:t>
            </w:r>
          </w:p>
        </w:tc>
        <w:tc>
          <w:tcPr>
            <w:tcW w:w="0" w:type="dxa"/>
            <w:vAlign w:val="bottom"/>
          </w:tcPr>
          <w:p>
            <w:pPr>
              <w:spacing w:after="0"/>
              <w:rPr>
                <w:sz w:val="1"/>
                <w:szCs w:val="1"/>
                <w:color w:val="auto"/>
              </w:rPr>
            </w:pPr>
          </w:p>
        </w:tc>
      </w:tr>
      <w:tr>
        <w:trPr>
          <w:trHeight w:val="178"/>
        </w:trPr>
        <w:tc>
          <w:tcPr>
            <w:tcW w:w="6800" w:type="dxa"/>
            <w:vAlign w:val="bottom"/>
            <w:shd w:val="clear" w:color="auto" w:fill="DBDBDB"/>
          </w:tcPr>
          <w:p>
            <w:pPr>
              <w:ind w:left="20"/>
              <w:spacing w:after="0"/>
              <w:rPr>
                <w:sz w:val="20"/>
                <w:szCs w:val="20"/>
                <w:color w:val="auto"/>
              </w:rPr>
            </w:pPr>
            <w:r>
              <w:rPr>
                <w:rFonts w:ascii="Arial" w:cs="Arial" w:eastAsia="Arial" w:hAnsi="Arial"/>
                <w:sz w:val="13"/>
                <w:szCs w:val="13"/>
                <w:color w:val="auto"/>
              </w:rPr>
              <w:t>Expected Life</w:t>
            </w:r>
          </w:p>
        </w:tc>
        <w:tc>
          <w:tcPr>
            <w:tcW w:w="1180" w:type="dxa"/>
            <w:vAlign w:val="bottom"/>
            <w:shd w:val="clear" w:color="auto" w:fill="DBDBDB"/>
          </w:tcPr>
          <w:p>
            <w:pPr>
              <w:spacing w:after="0"/>
              <w:rPr>
                <w:sz w:val="15"/>
                <w:szCs w:val="15"/>
                <w:color w:val="auto"/>
              </w:rPr>
            </w:pPr>
          </w:p>
        </w:tc>
        <w:tc>
          <w:tcPr>
            <w:tcW w:w="86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202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1.91</w:t>
            </w:r>
          </w:p>
        </w:tc>
        <w:tc>
          <w:tcPr>
            <w:tcW w:w="0" w:type="dxa"/>
            <w:vAlign w:val="bottom"/>
          </w:tcPr>
          <w:p>
            <w:pPr>
              <w:spacing w:after="0"/>
              <w:rPr>
                <w:sz w:val="1"/>
                <w:szCs w:val="1"/>
                <w:color w:val="auto"/>
              </w:rPr>
            </w:pPr>
          </w:p>
        </w:tc>
      </w:tr>
      <w:tr>
        <w:trPr>
          <w:trHeight w:val="172"/>
        </w:trPr>
        <w:tc>
          <w:tcPr>
            <w:tcW w:w="6800" w:type="dxa"/>
            <w:vAlign w:val="bottom"/>
          </w:tcPr>
          <w:p>
            <w:pPr>
              <w:ind w:left="20"/>
              <w:spacing w:after="0"/>
              <w:rPr>
                <w:sz w:val="20"/>
                <w:szCs w:val="20"/>
                <w:color w:val="auto"/>
              </w:rPr>
            </w:pPr>
            <w:r>
              <w:rPr>
                <w:rFonts w:ascii="Arial" w:cs="Arial" w:eastAsia="Arial" w:hAnsi="Arial"/>
                <w:sz w:val="13"/>
                <w:szCs w:val="13"/>
                <w:color w:val="auto"/>
              </w:rPr>
              <w:t>Volatility</w:t>
            </w: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Pr>
          <w:p>
            <w:pPr>
              <w:jc w:val="right"/>
              <w:spacing w:after="0"/>
              <w:rPr>
                <w:sz w:val="20"/>
                <w:szCs w:val="20"/>
                <w:color w:val="auto"/>
              </w:rPr>
            </w:pPr>
            <w:r>
              <w:rPr>
                <w:rFonts w:ascii="Arial" w:cs="Arial" w:eastAsia="Arial" w:hAnsi="Arial"/>
                <w:sz w:val="13"/>
                <w:szCs w:val="13"/>
                <w:color w:val="auto"/>
              </w:rPr>
              <w:t>41.2 %</w:t>
            </w:r>
          </w:p>
        </w:tc>
        <w:tc>
          <w:tcPr>
            <w:tcW w:w="0" w:type="dxa"/>
            <w:vAlign w:val="bottom"/>
          </w:tcPr>
          <w:p>
            <w:pPr>
              <w:spacing w:after="0"/>
              <w:rPr>
                <w:sz w:val="1"/>
                <w:szCs w:val="1"/>
                <w:color w:val="auto"/>
              </w:rPr>
            </w:pPr>
          </w:p>
        </w:tc>
      </w:tr>
      <w:tr>
        <w:trPr>
          <w:trHeight w:val="178"/>
        </w:trPr>
        <w:tc>
          <w:tcPr>
            <w:tcW w:w="6800" w:type="dxa"/>
            <w:vAlign w:val="bottom"/>
            <w:shd w:val="clear" w:color="auto" w:fill="DBDBDB"/>
          </w:tcPr>
          <w:p>
            <w:pPr>
              <w:ind w:left="20"/>
              <w:spacing w:after="0"/>
              <w:rPr>
                <w:sz w:val="20"/>
                <w:szCs w:val="20"/>
                <w:color w:val="auto"/>
              </w:rPr>
            </w:pPr>
            <w:r>
              <w:rPr>
                <w:rFonts w:ascii="Arial" w:cs="Arial" w:eastAsia="Arial" w:hAnsi="Arial"/>
                <w:sz w:val="13"/>
                <w:szCs w:val="13"/>
                <w:color w:val="auto"/>
              </w:rPr>
              <w:t>Risk Free rate</w:t>
            </w:r>
          </w:p>
        </w:tc>
        <w:tc>
          <w:tcPr>
            <w:tcW w:w="1180" w:type="dxa"/>
            <w:vAlign w:val="bottom"/>
            <w:shd w:val="clear" w:color="auto" w:fill="DBDBDB"/>
          </w:tcPr>
          <w:p>
            <w:pPr>
              <w:spacing w:after="0"/>
              <w:rPr>
                <w:sz w:val="15"/>
                <w:szCs w:val="15"/>
                <w:color w:val="auto"/>
              </w:rPr>
            </w:pPr>
          </w:p>
        </w:tc>
        <w:tc>
          <w:tcPr>
            <w:tcW w:w="86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0.13 %</w:t>
            </w:r>
          </w:p>
        </w:tc>
        <w:tc>
          <w:tcPr>
            <w:tcW w:w="0" w:type="dxa"/>
            <w:vAlign w:val="bottom"/>
          </w:tcPr>
          <w:p>
            <w:pPr>
              <w:spacing w:after="0"/>
              <w:rPr>
                <w:sz w:val="1"/>
                <w:szCs w:val="1"/>
                <w:color w:val="auto"/>
              </w:rPr>
            </w:pPr>
          </w:p>
        </w:tc>
      </w:tr>
      <w:tr>
        <w:trPr>
          <w:trHeight w:val="172"/>
        </w:trPr>
        <w:tc>
          <w:tcPr>
            <w:tcW w:w="6800" w:type="dxa"/>
            <w:vAlign w:val="bottom"/>
          </w:tcPr>
          <w:p>
            <w:pPr>
              <w:ind w:left="20"/>
              <w:spacing w:after="0"/>
              <w:rPr>
                <w:sz w:val="20"/>
                <w:szCs w:val="20"/>
                <w:color w:val="auto"/>
              </w:rPr>
            </w:pPr>
            <w:r>
              <w:rPr>
                <w:rFonts w:ascii="Arial" w:cs="Arial" w:eastAsia="Arial" w:hAnsi="Arial"/>
                <w:sz w:val="13"/>
                <w:szCs w:val="13"/>
                <w:color w:val="auto"/>
              </w:rPr>
              <w:t>Dividend yield</w:t>
            </w: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8"/>
        </w:trPr>
        <w:tc>
          <w:tcPr>
            <w:tcW w:w="6800" w:type="dxa"/>
            <w:vAlign w:val="bottom"/>
            <w:shd w:val="clear" w:color="auto" w:fill="DBDBDB"/>
          </w:tcPr>
          <w:p>
            <w:pPr>
              <w:ind w:left="20"/>
              <w:spacing w:after="0"/>
              <w:rPr>
                <w:sz w:val="20"/>
                <w:szCs w:val="20"/>
                <w:color w:val="auto"/>
              </w:rPr>
            </w:pPr>
            <w:r>
              <w:rPr>
                <w:rFonts w:ascii="Arial" w:cs="Arial" w:eastAsia="Arial" w:hAnsi="Arial"/>
                <w:sz w:val="13"/>
                <w:szCs w:val="13"/>
                <w:color w:val="auto"/>
              </w:rPr>
              <w:t>Fair value of warrants</w:t>
            </w:r>
          </w:p>
        </w:tc>
        <w:tc>
          <w:tcPr>
            <w:tcW w:w="1180" w:type="dxa"/>
            <w:vAlign w:val="bottom"/>
            <w:shd w:val="clear" w:color="auto" w:fill="DBDBDB"/>
          </w:tcPr>
          <w:p>
            <w:pPr>
              <w:spacing w:after="0"/>
              <w:rPr>
                <w:sz w:val="15"/>
                <w:szCs w:val="15"/>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202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12.17</w:t>
            </w:r>
          </w:p>
        </w:tc>
        <w:tc>
          <w:tcPr>
            <w:tcW w:w="0" w:type="dxa"/>
            <w:vAlign w:val="bottom"/>
          </w:tcPr>
          <w:p>
            <w:pPr>
              <w:spacing w:after="0"/>
              <w:rPr>
                <w:sz w:val="1"/>
                <w:szCs w:val="1"/>
                <w:color w:val="auto"/>
              </w:rPr>
            </w:pPr>
          </w:p>
        </w:tc>
      </w:tr>
      <w:tr>
        <w:trPr>
          <w:trHeight w:val="311"/>
        </w:trPr>
        <w:tc>
          <w:tcPr>
            <w:tcW w:w="7980" w:type="dxa"/>
            <w:vAlign w:val="bottom"/>
            <w:gridSpan w:val="2"/>
          </w:tcPr>
          <w:p>
            <w:pPr>
              <w:ind w:left="540"/>
              <w:spacing w:after="0"/>
              <w:rPr>
                <w:sz w:val="20"/>
                <w:szCs w:val="20"/>
                <w:color w:val="auto"/>
              </w:rPr>
            </w:pPr>
            <w:r>
              <w:rPr>
                <w:rFonts w:ascii="Arial" w:cs="Arial" w:eastAsia="Arial" w:hAnsi="Arial"/>
                <w:sz w:val="13"/>
                <w:szCs w:val="13"/>
                <w:color w:val="auto"/>
              </w:rPr>
              <w:t>The following table presents changes in Level 3 liabilities measured at fair value for the year ended December 31, 2021:</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68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680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1180" w:type="dxa"/>
            <w:vAlign w:val="bottom"/>
            <w:shd w:val="clear" w:color="auto" w:fill="1D2758"/>
          </w:tcPr>
          <w:p>
            <w:pPr>
              <w:spacing w:after="0"/>
              <w:rPr>
                <w:sz w:val="15"/>
                <w:szCs w:val="15"/>
                <w:color w:val="auto"/>
              </w:rPr>
            </w:pPr>
          </w:p>
        </w:tc>
        <w:tc>
          <w:tcPr>
            <w:tcW w:w="860" w:type="dxa"/>
            <w:vAlign w:val="bottom"/>
            <w:shd w:val="clear" w:color="auto" w:fill="1D2758"/>
          </w:tcPr>
          <w:p>
            <w:pPr>
              <w:spacing w:after="0"/>
              <w:rPr>
                <w:sz w:val="15"/>
                <w:szCs w:val="15"/>
                <w:color w:val="auto"/>
              </w:rPr>
            </w:pPr>
          </w:p>
        </w:tc>
        <w:tc>
          <w:tcPr>
            <w:tcW w:w="200" w:type="dxa"/>
            <w:vAlign w:val="bottom"/>
            <w:shd w:val="clear" w:color="auto" w:fill="1D2758"/>
          </w:tcPr>
          <w:p>
            <w:pPr>
              <w:spacing w:after="0"/>
              <w:rPr>
                <w:sz w:val="15"/>
                <w:szCs w:val="15"/>
                <w:color w:val="auto"/>
              </w:rPr>
            </w:pPr>
          </w:p>
        </w:tc>
        <w:tc>
          <w:tcPr>
            <w:tcW w:w="220" w:type="dxa"/>
            <w:vAlign w:val="bottom"/>
            <w:shd w:val="clear" w:color="auto" w:fill="1D2758"/>
          </w:tcPr>
          <w:p>
            <w:pPr>
              <w:spacing w:after="0"/>
              <w:rPr>
                <w:sz w:val="15"/>
                <w:szCs w:val="15"/>
                <w:color w:val="auto"/>
              </w:rPr>
            </w:pPr>
          </w:p>
        </w:tc>
        <w:tc>
          <w:tcPr>
            <w:tcW w:w="2020" w:type="dxa"/>
            <w:vAlign w:val="bottom"/>
            <w:shd w:val="clear" w:color="auto" w:fill="1D2758"/>
          </w:tcPr>
          <w:p>
            <w:pPr>
              <w:jc w:val="right"/>
              <w:ind w:right="474"/>
              <w:spacing w:after="0"/>
              <w:rPr>
                <w:sz w:val="20"/>
                <w:szCs w:val="20"/>
                <w:color w:val="auto"/>
              </w:rPr>
            </w:pPr>
            <w:r>
              <w:rPr>
                <w:rFonts w:ascii="Arial" w:cs="Arial" w:eastAsia="Arial" w:hAnsi="Arial"/>
                <w:sz w:val="13"/>
                <w:szCs w:val="13"/>
                <w:b w:val="1"/>
                <w:bCs w:val="1"/>
                <w:color w:val="FFFFFF"/>
              </w:rPr>
              <w:t>2015 Private Warrants</w:t>
            </w:r>
          </w:p>
        </w:tc>
        <w:tc>
          <w:tcPr>
            <w:tcW w:w="0" w:type="dxa"/>
            <w:vAlign w:val="bottom"/>
          </w:tcPr>
          <w:p>
            <w:pPr>
              <w:spacing w:after="0"/>
              <w:rPr>
                <w:sz w:val="1"/>
                <w:szCs w:val="1"/>
                <w:color w:val="auto"/>
              </w:rPr>
            </w:pPr>
          </w:p>
        </w:tc>
      </w:tr>
      <w:tr>
        <w:trPr>
          <w:trHeight w:val="175"/>
        </w:trPr>
        <w:tc>
          <w:tcPr>
            <w:tcW w:w="6800" w:type="dxa"/>
            <w:vAlign w:val="bottom"/>
            <w:shd w:val="clear" w:color="auto" w:fill="DBDBDB"/>
          </w:tcPr>
          <w:p>
            <w:pPr>
              <w:ind w:left="20"/>
              <w:spacing w:after="0"/>
              <w:rPr>
                <w:sz w:val="20"/>
                <w:szCs w:val="20"/>
                <w:color w:val="auto"/>
              </w:rPr>
            </w:pPr>
            <w:r>
              <w:rPr>
                <w:rFonts w:ascii="Arial" w:cs="Arial" w:eastAsia="Arial" w:hAnsi="Arial"/>
                <w:sz w:val="13"/>
                <w:szCs w:val="13"/>
                <w:color w:val="auto"/>
              </w:rPr>
              <w:t>Balance - beginning of year</w:t>
            </w:r>
          </w:p>
        </w:tc>
        <w:tc>
          <w:tcPr>
            <w:tcW w:w="1180" w:type="dxa"/>
            <w:vAlign w:val="bottom"/>
            <w:shd w:val="clear" w:color="auto" w:fill="DBDBDB"/>
          </w:tcPr>
          <w:p>
            <w:pPr>
              <w:spacing w:after="0"/>
              <w:rPr>
                <w:sz w:val="15"/>
                <w:szCs w:val="15"/>
                <w:color w:val="auto"/>
              </w:rPr>
            </w:pPr>
          </w:p>
        </w:tc>
        <w:tc>
          <w:tcPr>
            <w:tcW w:w="1060" w:type="dxa"/>
            <w:vAlign w:val="bottom"/>
            <w:gridSpan w:val="2"/>
            <w:shd w:val="clear" w:color="auto" w:fill="DBDBDB"/>
          </w:tcPr>
          <w:p>
            <w:pPr>
              <w:jc w:val="right"/>
              <w:ind w:right="100"/>
              <w:spacing w:after="0"/>
              <w:rPr>
                <w:sz w:val="20"/>
                <w:szCs w:val="20"/>
                <w:color w:val="auto"/>
              </w:rPr>
            </w:pPr>
            <w:r>
              <w:rPr>
                <w:rFonts w:ascii="Arial" w:cs="Arial" w:eastAsia="Arial" w:hAnsi="Arial"/>
                <w:sz w:val="13"/>
                <w:szCs w:val="13"/>
                <w:color w:val="auto"/>
              </w:rPr>
              <w:t>$</w:t>
            </w:r>
          </w:p>
        </w:tc>
        <w:tc>
          <w:tcPr>
            <w:tcW w:w="220" w:type="dxa"/>
            <w:vAlign w:val="bottom"/>
            <w:shd w:val="clear" w:color="auto" w:fill="DBDBDB"/>
          </w:tcPr>
          <w:p>
            <w:pPr>
              <w:spacing w:after="0"/>
              <w:rPr>
                <w:sz w:val="15"/>
                <w:szCs w:val="15"/>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77,404</w:t>
            </w:r>
          </w:p>
        </w:tc>
        <w:tc>
          <w:tcPr>
            <w:tcW w:w="0" w:type="dxa"/>
            <w:vAlign w:val="bottom"/>
          </w:tcPr>
          <w:p>
            <w:pPr>
              <w:spacing w:after="0"/>
              <w:rPr>
                <w:sz w:val="1"/>
                <w:szCs w:val="1"/>
                <w:color w:val="auto"/>
              </w:rPr>
            </w:pPr>
          </w:p>
        </w:tc>
      </w:tr>
      <w:tr>
        <w:trPr>
          <w:trHeight w:val="172"/>
        </w:trPr>
        <w:tc>
          <w:tcPr>
            <w:tcW w:w="6800" w:type="dxa"/>
            <w:vAlign w:val="bottom"/>
          </w:tcPr>
          <w:p>
            <w:pPr>
              <w:ind w:left="20"/>
              <w:spacing w:after="0"/>
              <w:rPr>
                <w:sz w:val="20"/>
                <w:szCs w:val="20"/>
                <w:color w:val="auto"/>
              </w:rPr>
            </w:pPr>
            <w:r>
              <w:rPr>
                <w:rFonts w:ascii="Arial" w:cs="Arial" w:eastAsia="Arial" w:hAnsi="Arial"/>
                <w:sz w:val="13"/>
                <w:szCs w:val="13"/>
                <w:color w:val="auto"/>
              </w:rPr>
              <w:t>Exercise or conversion</w:t>
            </w: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Pr>
          <w:p>
            <w:pPr>
              <w:jc w:val="right"/>
              <w:spacing w:after="0"/>
              <w:rPr>
                <w:sz w:val="20"/>
                <w:szCs w:val="20"/>
                <w:color w:val="auto"/>
              </w:rPr>
            </w:pPr>
            <w:r>
              <w:rPr>
                <w:rFonts w:ascii="Arial" w:cs="Arial" w:eastAsia="Arial" w:hAnsi="Arial"/>
                <w:sz w:val="13"/>
                <w:szCs w:val="13"/>
                <w:color w:val="auto"/>
              </w:rPr>
              <w:t>(78,495)</w:t>
            </w:r>
          </w:p>
        </w:tc>
        <w:tc>
          <w:tcPr>
            <w:tcW w:w="0" w:type="dxa"/>
            <w:vAlign w:val="bottom"/>
          </w:tcPr>
          <w:p>
            <w:pPr>
              <w:spacing w:after="0"/>
              <w:rPr>
                <w:sz w:val="1"/>
                <w:szCs w:val="1"/>
                <w:color w:val="auto"/>
              </w:rPr>
            </w:pPr>
          </w:p>
        </w:tc>
      </w:tr>
      <w:tr>
        <w:trPr>
          <w:trHeight w:val="178"/>
        </w:trPr>
        <w:tc>
          <w:tcPr>
            <w:tcW w:w="6800" w:type="dxa"/>
            <w:vAlign w:val="bottom"/>
            <w:shd w:val="clear" w:color="auto" w:fill="DBDBDB"/>
          </w:tcPr>
          <w:p>
            <w:pPr>
              <w:ind w:left="20"/>
              <w:spacing w:after="0"/>
              <w:rPr>
                <w:sz w:val="20"/>
                <w:szCs w:val="20"/>
                <w:color w:val="auto"/>
              </w:rPr>
            </w:pPr>
            <w:r>
              <w:rPr>
                <w:rFonts w:ascii="Arial" w:cs="Arial" w:eastAsia="Arial" w:hAnsi="Arial"/>
                <w:sz w:val="13"/>
                <w:szCs w:val="13"/>
                <w:color w:val="auto"/>
              </w:rPr>
              <w:t>Measurement adjustment</w:t>
            </w:r>
          </w:p>
        </w:tc>
        <w:tc>
          <w:tcPr>
            <w:tcW w:w="1180" w:type="dxa"/>
            <w:vAlign w:val="bottom"/>
            <w:shd w:val="clear" w:color="auto" w:fill="DBDBDB"/>
          </w:tcPr>
          <w:p>
            <w:pPr>
              <w:spacing w:after="0"/>
              <w:rPr>
                <w:sz w:val="15"/>
                <w:szCs w:val="15"/>
                <w:color w:val="auto"/>
              </w:rPr>
            </w:pPr>
          </w:p>
        </w:tc>
        <w:tc>
          <w:tcPr>
            <w:tcW w:w="86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25,486</w:t>
            </w:r>
          </w:p>
        </w:tc>
        <w:tc>
          <w:tcPr>
            <w:tcW w:w="0" w:type="dxa"/>
            <w:vAlign w:val="bottom"/>
          </w:tcPr>
          <w:p>
            <w:pPr>
              <w:spacing w:after="0"/>
              <w:rPr>
                <w:sz w:val="1"/>
                <w:szCs w:val="1"/>
                <w:color w:val="auto"/>
              </w:rPr>
            </w:pPr>
          </w:p>
        </w:tc>
      </w:tr>
      <w:tr>
        <w:trPr>
          <w:trHeight w:val="172"/>
        </w:trPr>
        <w:tc>
          <w:tcPr>
            <w:tcW w:w="680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Repurchases</w:t>
            </w:r>
          </w:p>
        </w:tc>
        <w:tc>
          <w:tcPr>
            <w:tcW w:w="1180" w:type="dxa"/>
            <w:vAlign w:val="bottom"/>
            <w:tcBorders>
              <w:bottom w:val="single" w:sz="8" w:color="DBDBDB"/>
            </w:tcBorders>
          </w:tcPr>
          <w:p>
            <w:pPr>
              <w:spacing w:after="0"/>
              <w:rPr>
                <w:sz w:val="14"/>
                <w:szCs w:val="14"/>
                <w:color w:val="auto"/>
              </w:rPr>
            </w:pPr>
          </w:p>
        </w:tc>
        <w:tc>
          <w:tcPr>
            <w:tcW w:w="860" w:type="dxa"/>
            <w:vAlign w:val="bottom"/>
            <w:tcBorders>
              <w:bottom w:val="single" w:sz="8" w:color="DBDBDB"/>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(24,395)</w:t>
            </w:r>
          </w:p>
        </w:tc>
        <w:tc>
          <w:tcPr>
            <w:tcW w:w="0" w:type="dxa"/>
            <w:vAlign w:val="bottom"/>
          </w:tcPr>
          <w:p>
            <w:pPr>
              <w:spacing w:after="0"/>
              <w:rPr>
                <w:sz w:val="1"/>
                <w:szCs w:val="1"/>
                <w:color w:val="auto"/>
              </w:rPr>
            </w:pPr>
          </w:p>
        </w:tc>
      </w:tr>
      <w:tr>
        <w:trPr>
          <w:trHeight w:val="186"/>
        </w:trPr>
        <w:tc>
          <w:tcPr>
            <w:tcW w:w="6800" w:type="dxa"/>
            <w:vAlign w:val="bottom"/>
            <w:shd w:val="clear" w:color="auto" w:fill="DBDBDB"/>
          </w:tcPr>
          <w:p>
            <w:pPr>
              <w:ind w:left="20"/>
              <w:spacing w:after="0"/>
              <w:rPr>
                <w:sz w:val="20"/>
                <w:szCs w:val="20"/>
                <w:color w:val="auto"/>
              </w:rPr>
            </w:pPr>
            <w:r>
              <w:rPr>
                <w:rFonts w:ascii="Arial" w:cs="Arial" w:eastAsia="Arial" w:hAnsi="Arial"/>
                <w:sz w:val="13"/>
                <w:szCs w:val="13"/>
                <w:color w:val="auto"/>
              </w:rPr>
              <w:t>Balance - end of year</w:t>
            </w:r>
          </w:p>
        </w:tc>
        <w:tc>
          <w:tcPr>
            <w:tcW w:w="1180" w:type="dxa"/>
            <w:vAlign w:val="bottom"/>
            <w:shd w:val="clear" w:color="auto" w:fill="DBDBDB"/>
          </w:tcPr>
          <w:p>
            <w:pPr>
              <w:spacing w:after="0"/>
              <w:rPr>
                <w:sz w:val="16"/>
                <w:szCs w:val="16"/>
                <w:color w:val="auto"/>
              </w:rPr>
            </w:pPr>
          </w:p>
        </w:tc>
        <w:tc>
          <w:tcPr>
            <w:tcW w:w="1060" w:type="dxa"/>
            <w:vAlign w:val="bottom"/>
            <w:gridSpan w:val="2"/>
            <w:shd w:val="clear" w:color="auto" w:fill="DBDBDB"/>
          </w:tcPr>
          <w:p>
            <w:pPr>
              <w:jc w:val="right"/>
              <w:ind w:right="100"/>
              <w:spacing w:after="0"/>
              <w:rPr>
                <w:sz w:val="20"/>
                <w:szCs w:val="20"/>
                <w:color w:val="auto"/>
              </w:rPr>
            </w:pPr>
            <w:r>
              <w:rPr>
                <w:rFonts w:ascii="Arial" w:cs="Arial" w:eastAsia="Arial" w:hAnsi="Arial"/>
                <w:sz w:val="13"/>
                <w:szCs w:val="13"/>
                <w:color w:val="auto"/>
              </w:rPr>
              <w:t>$</w:t>
            </w:r>
          </w:p>
        </w:tc>
        <w:tc>
          <w:tcPr>
            <w:tcW w:w="220" w:type="dxa"/>
            <w:vAlign w:val="bottom"/>
            <w:shd w:val="clear" w:color="auto" w:fill="DBDBDB"/>
          </w:tcPr>
          <w:p>
            <w:pPr>
              <w:spacing w:after="0"/>
              <w:rPr>
                <w:sz w:val="16"/>
                <w:szCs w:val="16"/>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980" w:type="dxa"/>
            <w:vAlign w:val="bottom"/>
            <w:tcBorders>
              <w:top w:val="single" w:sz="8" w:color="DBDBDB"/>
              <w:bottom w:val="single" w:sz="8" w:color="DBDBDB"/>
            </w:tcBorders>
            <w:gridSpan w:val="2"/>
            <w:vMerge w:val="restart"/>
          </w:tcPr>
          <w:p>
            <w:pPr>
              <w:ind w:left="540"/>
              <w:spacing w:after="0"/>
              <w:rPr>
                <w:sz w:val="20"/>
                <w:szCs w:val="20"/>
                <w:color w:val="auto"/>
              </w:rPr>
            </w:pPr>
            <w:r>
              <w:rPr>
                <w:rFonts w:ascii="Arial" w:cs="Arial" w:eastAsia="Arial" w:hAnsi="Arial"/>
                <w:sz w:val="13"/>
                <w:szCs w:val="13"/>
                <w:color w:val="auto"/>
              </w:rPr>
              <w:t>The following table presents changes in Level 3 liabilities measured at fair value for the year ended December 31, 2020:</w:t>
            </w:r>
          </w:p>
        </w:tc>
        <w:tc>
          <w:tcPr>
            <w:tcW w:w="86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798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6800" w:type="dxa"/>
            <w:vAlign w:val="bottom"/>
          </w:tcPr>
          <w:p>
            <w:pPr>
              <w:spacing w:after="0"/>
              <w:rPr>
                <w:sz w:val="9"/>
                <w:szCs w:val="9"/>
                <w:color w:val="auto"/>
              </w:rPr>
            </w:pPr>
          </w:p>
        </w:tc>
        <w:tc>
          <w:tcPr>
            <w:tcW w:w="2240" w:type="dxa"/>
            <w:vAlign w:val="bottom"/>
            <w:gridSpan w:val="3"/>
          </w:tcPr>
          <w:p>
            <w:pPr>
              <w:spacing w:after="0"/>
              <w:rPr>
                <w:sz w:val="9"/>
                <w:szCs w:val="9"/>
                <w:color w:val="auto"/>
              </w:rPr>
            </w:pPr>
          </w:p>
        </w:tc>
        <w:tc>
          <w:tcPr>
            <w:tcW w:w="2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680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2240" w:type="dxa"/>
            <w:vAlign w:val="bottom"/>
            <w:gridSpan w:val="3"/>
            <w:shd w:val="clear" w:color="auto" w:fill="1D2758"/>
          </w:tcPr>
          <w:p>
            <w:pPr>
              <w:jc w:val="right"/>
              <w:ind w:right="460"/>
              <w:spacing w:after="0"/>
              <w:rPr>
                <w:sz w:val="20"/>
                <w:szCs w:val="20"/>
                <w:color w:val="auto"/>
              </w:rPr>
            </w:pPr>
            <w:r>
              <w:rPr>
                <w:rFonts w:ascii="Arial" w:cs="Arial" w:eastAsia="Arial" w:hAnsi="Arial"/>
                <w:sz w:val="13"/>
                <w:szCs w:val="13"/>
                <w:b w:val="1"/>
                <w:bCs w:val="1"/>
                <w:color w:val="FFFFFF"/>
              </w:rPr>
              <w:t>2015 Private Warrants</w:t>
            </w:r>
          </w:p>
        </w:tc>
        <w:tc>
          <w:tcPr>
            <w:tcW w:w="220" w:type="dxa"/>
            <w:vAlign w:val="bottom"/>
            <w:shd w:val="clear" w:color="auto" w:fill="1D2758"/>
          </w:tcPr>
          <w:p>
            <w:pPr>
              <w:spacing w:after="0"/>
              <w:rPr>
                <w:sz w:val="15"/>
                <w:szCs w:val="15"/>
                <w:color w:val="auto"/>
              </w:rPr>
            </w:pPr>
          </w:p>
        </w:tc>
        <w:tc>
          <w:tcPr>
            <w:tcW w:w="2020" w:type="dxa"/>
            <w:vAlign w:val="bottom"/>
            <w:shd w:val="clear" w:color="auto" w:fill="1D2758"/>
          </w:tcPr>
          <w:p>
            <w:pPr>
              <w:jc w:val="right"/>
              <w:ind w:right="594"/>
              <w:spacing w:after="0"/>
              <w:rPr>
                <w:sz w:val="20"/>
                <w:szCs w:val="20"/>
                <w:color w:val="auto"/>
              </w:rPr>
            </w:pPr>
            <w:r>
              <w:rPr>
                <w:rFonts w:ascii="Arial" w:cs="Arial" w:eastAsia="Arial" w:hAnsi="Arial"/>
                <w:sz w:val="13"/>
                <w:szCs w:val="13"/>
                <w:b w:val="1"/>
                <w:bCs w:val="1"/>
                <w:color w:val="FFFFFF"/>
              </w:rPr>
              <w:t>2018 Warrants</w:t>
            </w:r>
          </w:p>
        </w:tc>
        <w:tc>
          <w:tcPr>
            <w:tcW w:w="0" w:type="dxa"/>
            <w:vAlign w:val="bottom"/>
          </w:tcPr>
          <w:p>
            <w:pPr>
              <w:spacing w:after="0"/>
              <w:rPr>
                <w:sz w:val="1"/>
                <w:szCs w:val="1"/>
                <w:color w:val="auto"/>
              </w:rPr>
            </w:pPr>
          </w:p>
        </w:tc>
      </w:tr>
      <w:tr>
        <w:trPr>
          <w:trHeight w:val="175"/>
        </w:trPr>
        <w:tc>
          <w:tcPr>
            <w:tcW w:w="6800" w:type="dxa"/>
            <w:vAlign w:val="bottom"/>
            <w:shd w:val="clear" w:color="auto" w:fill="DBDBDB"/>
          </w:tcPr>
          <w:p>
            <w:pPr>
              <w:ind w:left="20"/>
              <w:spacing w:after="0"/>
              <w:rPr>
                <w:sz w:val="20"/>
                <w:szCs w:val="20"/>
                <w:color w:val="auto"/>
              </w:rPr>
            </w:pPr>
            <w:r>
              <w:rPr>
                <w:rFonts w:ascii="Arial" w:cs="Arial" w:eastAsia="Arial" w:hAnsi="Arial"/>
                <w:sz w:val="13"/>
                <w:szCs w:val="13"/>
                <w:color w:val="auto"/>
              </w:rPr>
              <w:t>Balance- beginning of year</w:t>
            </w:r>
          </w:p>
        </w:tc>
        <w:tc>
          <w:tcPr>
            <w:tcW w:w="1180" w:type="dxa"/>
            <w:vAlign w:val="bottom"/>
            <w:shd w:val="clear" w:color="auto" w:fill="DBDBDB"/>
          </w:tcPr>
          <w:p>
            <w:pPr>
              <w:jc w:val="right"/>
              <w:ind w:right="1034"/>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DBDBDB"/>
          </w:tcPr>
          <w:p>
            <w:pPr>
              <w:jc w:val="right"/>
              <w:ind w:right="100"/>
              <w:spacing w:after="0"/>
              <w:rPr>
                <w:sz w:val="20"/>
                <w:szCs w:val="20"/>
                <w:color w:val="auto"/>
              </w:rPr>
            </w:pPr>
            <w:r>
              <w:rPr>
                <w:rFonts w:ascii="Arial" w:cs="Arial" w:eastAsia="Arial" w:hAnsi="Arial"/>
                <w:sz w:val="13"/>
                <w:szCs w:val="13"/>
                <w:color w:val="auto"/>
              </w:rPr>
              <w:t>72,705</w:t>
            </w:r>
          </w:p>
        </w:tc>
        <w:tc>
          <w:tcPr>
            <w:tcW w:w="220" w:type="dxa"/>
            <w:vAlign w:val="bottom"/>
            <w:shd w:val="clear" w:color="auto" w:fill="DBDBDB"/>
          </w:tcPr>
          <w:p>
            <w:pPr>
              <w:jc w:val="right"/>
              <w:ind w:right="14"/>
              <w:spacing w:after="0"/>
              <w:rPr>
                <w:sz w:val="20"/>
                <w:szCs w:val="20"/>
                <w:color w:val="auto"/>
              </w:rPr>
            </w:pPr>
            <w:r>
              <w:rPr>
                <w:rFonts w:ascii="Arial" w:cs="Arial" w:eastAsia="Arial" w:hAnsi="Arial"/>
                <w:sz w:val="13"/>
                <w:szCs w:val="13"/>
                <w:color w:val="auto"/>
              </w:rPr>
              <w:t>$</w:t>
            </w:r>
          </w:p>
        </w:tc>
        <w:tc>
          <w:tcPr>
            <w:tcW w:w="20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58,369</w:t>
            </w:r>
          </w:p>
        </w:tc>
        <w:tc>
          <w:tcPr>
            <w:tcW w:w="0" w:type="dxa"/>
            <w:vAlign w:val="bottom"/>
          </w:tcPr>
          <w:p>
            <w:pPr>
              <w:spacing w:after="0"/>
              <w:rPr>
                <w:sz w:val="1"/>
                <w:szCs w:val="1"/>
                <w:color w:val="auto"/>
              </w:rPr>
            </w:pPr>
          </w:p>
        </w:tc>
      </w:tr>
      <w:tr>
        <w:trPr>
          <w:trHeight w:val="172"/>
        </w:trPr>
        <w:tc>
          <w:tcPr>
            <w:tcW w:w="6800" w:type="dxa"/>
            <w:vAlign w:val="bottom"/>
          </w:tcPr>
          <w:p>
            <w:pPr>
              <w:ind w:left="20"/>
              <w:spacing w:after="0"/>
              <w:rPr>
                <w:sz w:val="20"/>
                <w:szCs w:val="20"/>
                <w:color w:val="auto"/>
              </w:rPr>
            </w:pPr>
            <w:r>
              <w:rPr>
                <w:rFonts w:ascii="Arial" w:cs="Arial" w:eastAsia="Arial" w:hAnsi="Arial"/>
                <w:sz w:val="13"/>
                <w:szCs w:val="13"/>
                <w:color w:val="auto"/>
              </w:rPr>
              <w:t>Exercise or conversion</w:t>
            </w:r>
          </w:p>
        </w:tc>
        <w:tc>
          <w:tcPr>
            <w:tcW w:w="11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3"/>
                <w:szCs w:val="13"/>
                <w:color w:val="auto"/>
              </w:rPr>
              <w:t>(359)</w:t>
            </w:r>
          </w:p>
        </w:tc>
        <w:tc>
          <w:tcPr>
            <w:tcW w:w="220" w:type="dxa"/>
            <w:vAlign w:val="bottom"/>
          </w:tcPr>
          <w:p>
            <w:pPr>
              <w:spacing w:after="0"/>
              <w:rPr>
                <w:sz w:val="14"/>
                <w:szCs w:val="14"/>
                <w:color w:val="auto"/>
              </w:rPr>
            </w:pPr>
          </w:p>
        </w:tc>
        <w:tc>
          <w:tcPr>
            <w:tcW w:w="2020" w:type="dxa"/>
            <w:vAlign w:val="bottom"/>
          </w:tcPr>
          <w:p>
            <w:pPr>
              <w:jc w:val="right"/>
              <w:spacing w:after="0"/>
              <w:rPr>
                <w:sz w:val="20"/>
                <w:szCs w:val="20"/>
                <w:color w:val="auto"/>
              </w:rPr>
            </w:pPr>
            <w:r>
              <w:rPr>
                <w:rFonts w:ascii="Arial" w:cs="Arial" w:eastAsia="Arial" w:hAnsi="Arial"/>
                <w:sz w:val="13"/>
                <w:szCs w:val="13"/>
                <w:color w:val="auto"/>
              </w:rPr>
              <w:t>(416)</w:t>
            </w:r>
          </w:p>
        </w:tc>
        <w:tc>
          <w:tcPr>
            <w:tcW w:w="0" w:type="dxa"/>
            <w:vAlign w:val="bottom"/>
          </w:tcPr>
          <w:p>
            <w:pPr>
              <w:spacing w:after="0"/>
              <w:rPr>
                <w:sz w:val="1"/>
                <w:szCs w:val="1"/>
                <w:color w:val="auto"/>
              </w:rPr>
            </w:pPr>
          </w:p>
        </w:tc>
      </w:tr>
      <w:tr>
        <w:trPr>
          <w:trHeight w:val="178"/>
        </w:trPr>
        <w:tc>
          <w:tcPr>
            <w:tcW w:w="6800" w:type="dxa"/>
            <w:vAlign w:val="bottom"/>
            <w:shd w:val="clear" w:color="auto" w:fill="DBDBDB"/>
          </w:tcPr>
          <w:p>
            <w:pPr>
              <w:ind w:left="20"/>
              <w:spacing w:after="0"/>
              <w:rPr>
                <w:sz w:val="20"/>
                <w:szCs w:val="20"/>
                <w:color w:val="auto"/>
              </w:rPr>
            </w:pPr>
            <w:r>
              <w:rPr>
                <w:rFonts w:ascii="Arial" w:cs="Arial" w:eastAsia="Arial" w:hAnsi="Arial"/>
                <w:sz w:val="13"/>
                <w:szCs w:val="13"/>
                <w:color w:val="auto"/>
              </w:rPr>
              <w:t>Repurchase</w:t>
            </w:r>
          </w:p>
        </w:tc>
        <w:tc>
          <w:tcPr>
            <w:tcW w:w="1180" w:type="dxa"/>
            <w:vAlign w:val="bottom"/>
            <w:shd w:val="clear" w:color="auto" w:fill="DBDBDB"/>
          </w:tcPr>
          <w:p>
            <w:pPr>
              <w:spacing w:after="0"/>
              <w:rPr>
                <w:sz w:val="15"/>
                <w:szCs w:val="15"/>
                <w:color w:val="auto"/>
              </w:rPr>
            </w:pPr>
          </w:p>
        </w:tc>
        <w:tc>
          <w:tcPr>
            <w:tcW w:w="1060" w:type="dxa"/>
            <w:vAlign w:val="bottom"/>
            <w:gridSpan w:val="2"/>
            <w:shd w:val="clear" w:color="auto" w:fill="DBDBDB"/>
          </w:tcPr>
          <w:p>
            <w:pPr>
              <w:jc w:val="right"/>
              <w:ind w:right="60"/>
              <w:spacing w:after="0"/>
              <w:rPr>
                <w:sz w:val="20"/>
                <w:szCs w:val="20"/>
                <w:color w:val="auto"/>
              </w:rPr>
            </w:pPr>
            <w:r>
              <w:rPr>
                <w:rFonts w:ascii="Arial" w:cs="Arial" w:eastAsia="Arial" w:hAnsi="Arial"/>
                <w:sz w:val="13"/>
                <w:szCs w:val="13"/>
                <w:color w:val="auto"/>
              </w:rPr>
              <w:t>(24,970)</w:t>
            </w:r>
          </w:p>
        </w:tc>
        <w:tc>
          <w:tcPr>
            <w:tcW w:w="220" w:type="dxa"/>
            <w:vAlign w:val="bottom"/>
            <w:shd w:val="clear" w:color="auto" w:fill="DBDBDB"/>
          </w:tcPr>
          <w:p>
            <w:pPr>
              <w:spacing w:after="0"/>
              <w:rPr>
                <w:sz w:val="15"/>
                <w:szCs w:val="15"/>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6800" w:type="dxa"/>
            <w:vAlign w:val="bottom"/>
          </w:tcPr>
          <w:p>
            <w:pPr>
              <w:ind w:left="20"/>
              <w:spacing w:after="0"/>
              <w:rPr>
                <w:sz w:val="20"/>
                <w:szCs w:val="20"/>
                <w:color w:val="auto"/>
              </w:rPr>
            </w:pPr>
            <w:r>
              <w:rPr>
                <w:rFonts w:ascii="Arial" w:cs="Arial" w:eastAsia="Arial" w:hAnsi="Arial"/>
                <w:sz w:val="13"/>
                <w:szCs w:val="13"/>
                <w:color w:val="auto"/>
              </w:rPr>
              <w:t>Measurement adjustment</w:t>
            </w:r>
          </w:p>
        </w:tc>
        <w:tc>
          <w:tcPr>
            <w:tcW w:w="118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30,028</w:t>
            </w:r>
          </w:p>
        </w:tc>
        <w:tc>
          <w:tcPr>
            <w:tcW w:w="220" w:type="dxa"/>
            <w:vAlign w:val="bottom"/>
          </w:tcPr>
          <w:p>
            <w:pPr>
              <w:spacing w:after="0"/>
              <w:rPr>
                <w:sz w:val="14"/>
                <w:szCs w:val="14"/>
                <w:color w:val="auto"/>
              </w:rPr>
            </w:pPr>
          </w:p>
        </w:tc>
        <w:tc>
          <w:tcPr>
            <w:tcW w:w="2020" w:type="dxa"/>
            <w:vAlign w:val="bottom"/>
          </w:tcPr>
          <w:p>
            <w:pPr>
              <w:jc w:val="right"/>
              <w:spacing w:after="0"/>
              <w:rPr>
                <w:sz w:val="20"/>
                <w:szCs w:val="20"/>
                <w:color w:val="auto"/>
              </w:rPr>
            </w:pPr>
            <w:r>
              <w:rPr>
                <w:rFonts w:ascii="Arial" w:cs="Arial" w:eastAsia="Arial" w:hAnsi="Arial"/>
                <w:sz w:val="13"/>
                <w:szCs w:val="13"/>
                <w:color w:val="auto"/>
              </w:rPr>
              <w:t>(31,737)</w:t>
            </w:r>
          </w:p>
        </w:tc>
        <w:tc>
          <w:tcPr>
            <w:tcW w:w="0" w:type="dxa"/>
            <w:vAlign w:val="bottom"/>
          </w:tcPr>
          <w:p>
            <w:pPr>
              <w:spacing w:after="0"/>
              <w:rPr>
                <w:sz w:val="1"/>
                <w:szCs w:val="1"/>
                <w:color w:val="auto"/>
              </w:rPr>
            </w:pPr>
          </w:p>
        </w:tc>
      </w:tr>
      <w:tr>
        <w:trPr>
          <w:trHeight w:val="178"/>
        </w:trPr>
        <w:tc>
          <w:tcPr>
            <w:tcW w:w="6800" w:type="dxa"/>
            <w:vAlign w:val="bottom"/>
            <w:shd w:val="clear" w:color="auto" w:fill="DBDBDB"/>
          </w:tcPr>
          <w:p>
            <w:pPr>
              <w:ind w:left="20"/>
              <w:spacing w:after="0"/>
              <w:rPr>
                <w:sz w:val="20"/>
                <w:szCs w:val="20"/>
                <w:color w:val="auto"/>
              </w:rPr>
            </w:pPr>
            <w:r>
              <w:rPr>
                <w:rFonts w:ascii="Arial" w:cs="Arial" w:eastAsia="Arial" w:hAnsi="Arial"/>
                <w:sz w:val="13"/>
                <w:szCs w:val="13"/>
                <w:color w:val="auto"/>
              </w:rPr>
              <w:t>Reclassification to equity at June 30, 2020</w:t>
            </w:r>
          </w:p>
        </w:tc>
        <w:tc>
          <w:tcPr>
            <w:tcW w:w="1180" w:type="dxa"/>
            <w:vAlign w:val="bottom"/>
            <w:tcBorders>
              <w:bottom w:val="single" w:sz="8" w:color="auto"/>
            </w:tcBorders>
            <w:shd w:val="clear" w:color="auto" w:fill="DBDBDB"/>
          </w:tcPr>
          <w:p>
            <w:pPr>
              <w:spacing w:after="0"/>
              <w:rPr>
                <w:sz w:val="15"/>
                <w:szCs w:val="15"/>
                <w:color w:val="auto"/>
              </w:rPr>
            </w:pPr>
          </w:p>
        </w:tc>
        <w:tc>
          <w:tcPr>
            <w:tcW w:w="1060" w:type="dxa"/>
            <w:vAlign w:val="bottom"/>
            <w:tcBorders>
              <w:bottom w:val="single" w:sz="8" w:color="auto"/>
            </w:tcBorders>
            <w:gridSpan w:val="2"/>
            <w:shd w:val="clear" w:color="auto" w:fill="DBDBDB"/>
          </w:tcPr>
          <w:p>
            <w:pPr>
              <w:jc w:val="right"/>
              <w:ind w:right="10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DBDBDB"/>
          </w:tcPr>
          <w:p>
            <w:pPr>
              <w:spacing w:after="0"/>
              <w:rPr>
                <w:sz w:val="15"/>
                <w:szCs w:val="15"/>
                <w:color w:val="auto"/>
              </w:rPr>
            </w:pPr>
          </w:p>
        </w:tc>
        <w:tc>
          <w:tcPr>
            <w:tcW w:w="2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(26,216)</w:t>
            </w:r>
          </w:p>
        </w:tc>
        <w:tc>
          <w:tcPr>
            <w:tcW w:w="0" w:type="dxa"/>
            <w:vAlign w:val="bottom"/>
          </w:tcPr>
          <w:p>
            <w:pPr>
              <w:spacing w:after="0"/>
              <w:rPr>
                <w:sz w:val="1"/>
                <w:szCs w:val="1"/>
                <w:color w:val="auto"/>
              </w:rPr>
            </w:pPr>
          </w:p>
        </w:tc>
      </w:tr>
      <w:tr>
        <w:trPr>
          <w:trHeight w:val="163"/>
        </w:trPr>
        <w:tc>
          <w:tcPr>
            <w:tcW w:w="6800" w:type="dxa"/>
            <w:vAlign w:val="bottom"/>
          </w:tcPr>
          <w:p>
            <w:pPr>
              <w:ind w:left="20"/>
              <w:spacing w:after="0"/>
              <w:rPr>
                <w:sz w:val="20"/>
                <w:szCs w:val="20"/>
                <w:color w:val="auto"/>
              </w:rPr>
            </w:pPr>
            <w:r>
              <w:rPr>
                <w:rFonts w:ascii="Arial" w:cs="Arial" w:eastAsia="Arial" w:hAnsi="Arial"/>
                <w:sz w:val="13"/>
                <w:szCs w:val="13"/>
                <w:color w:val="auto"/>
              </w:rPr>
              <w:t>Balance- end of year</w:t>
            </w:r>
          </w:p>
        </w:tc>
        <w:tc>
          <w:tcPr>
            <w:tcW w:w="1180" w:type="dxa"/>
            <w:vAlign w:val="bottom"/>
            <w:tcBorders>
              <w:bottom w:val="single" w:sz="8" w:color="auto"/>
            </w:tcBorders>
          </w:tcPr>
          <w:p>
            <w:pPr>
              <w:jc w:val="right"/>
              <w:ind w:right="1034"/>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77,404</w:t>
            </w: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27" w:right="319" w:bottom="1440" w:gutter="0" w:footer="0" w:header="0"/>
        </w:sectPr>
      </w:pPr>
    </w:p>
    <w:bookmarkStart w:id="106" w:name="page107"/>
    <w:bookmarkEnd w:id="106"/>
    <w:p>
      <w:pPr>
        <w:spacing w:after="0"/>
        <w:rPr>
          <w:sz w:val="20"/>
          <w:szCs w:val="20"/>
          <w:color w:val="auto"/>
        </w:rPr>
      </w:pPr>
      <w:r>
        <w:rPr>
          <w:rFonts w:ascii="Arial" w:cs="Arial" w:eastAsia="Arial" w:hAnsi="Arial"/>
          <w:sz w:val="19"/>
          <w:szCs w:val="19"/>
          <w:color w:val="1D2758"/>
        </w:rPr>
        <w:t>NOTE 15 - Restructuring</w:t>
      </w:r>
    </w:p>
    <w:p>
      <w:pPr>
        <w:spacing w:after="0" w:line="28" w:lineRule="exact"/>
        <w:rPr>
          <w:sz w:val="20"/>
          <w:szCs w:val="20"/>
          <w:color w:val="auto"/>
        </w:rPr>
      </w:pPr>
    </w:p>
    <w:p>
      <w:pPr>
        <w:jc w:val="both"/>
        <w:ind w:firstLine="524"/>
        <w:spacing w:after="0" w:line="252" w:lineRule="auto"/>
        <w:rPr>
          <w:sz w:val="20"/>
          <w:szCs w:val="20"/>
          <w:color w:val="auto"/>
        </w:rPr>
      </w:pPr>
      <w:r>
        <w:rPr>
          <w:rFonts w:ascii="Arial" w:cs="Arial" w:eastAsia="Arial" w:hAnsi="Arial"/>
          <w:sz w:val="13"/>
          <w:szCs w:val="13"/>
          <w:color w:val="auto"/>
        </w:rPr>
        <w:t xml:space="preserve">Restructuring costs include charges associated with exit or disposal activities that meet the definition of restructuring under FASB ASC Topic 420, </w:t>
      </w:r>
      <w:r>
        <w:rPr>
          <w:rFonts w:ascii="Arial" w:cs="Arial" w:eastAsia="Arial" w:hAnsi="Arial"/>
          <w:sz w:val="13"/>
          <w:szCs w:val="13"/>
          <w:i w:val="1"/>
          <w:iCs w:val="1"/>
          <w:color w:val="auto"/>
        </w:rPr>
        <w:t>Exit or Disposal Cost Obligations</w:t>
      </w:r>
      <w:r>
        <w:rPr>
          <w:rFonts w:ascii="Arial" w:cs="Arial" w:eastAsia="Arial" w:hAnsi="Arial"/>
          <w:sz w:val="13"/>
          <w:szCs w:val="13"/>
          <w:color w:val="auto"/>
        </w:rPr>
        <w:t xml:space="preserve"> (“ASC 420”). The Company's restructuring plans are generally country or region specific and are typically completed within a one-year period. Restructuring costs incurred under these plans include (i) one-time termination benefits related to employee separations, (ii) contract termination costs, and (iii) other non-lease related costs associated with exit or disposal activities. Lease exit costs related to the termination of leases for duplicative branches and corporate facilities are recorded in operating lease liabilities and are not part of the restructuring liabilities. Costs related to the integration of acquired businesses that do not meet the definition of restructuring under ASC 420, such as employee training costs, duplicate facility costs, and professional services expenses, are included within SG&amp;A expense.</w:t>
      </w:r>
    </w:p>
    <w:p>
      <w:pPr>
        <w:spacing w:after="0" w:line="33"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The Company incurred costs associated with restructuring plans designed to streamline operations and reduce costs of $11.9 million, $6.5 million, and $3.8 million net of reversals, during the years ended December 31, 2021, 2020 and 2019, respectively. The following is a summary of the activity in the Company’s restructuring accruals for years ended December 31:</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700" w:type="dxa"/>
            <w:vAlign w:val="bottom"/>
            <w:shd w:val="clear" w:color="auto" w:fill="1D2758"/>
          </w:tcPr>
          <w:p>
            <w:pPr>
              <w:spacing w:after="0"/>
              <w:rPr>
                <w:sz w:val="17"/>
                <w:szCs w:val="17"/>
                <w:color w:val="auto"/>
              </w:rPr>
            </w:pPr>
          </w:p>
        </w:tc>
        <w:tc>
          <w:tcPr>
            <w:tcW w:w="340" w:type="dxa"/>
            <w:vAlign w:val="bottom"/>
            <w:shd w:val="clear" w:color="auto" w:fill="1D2758"/>
          </w:tcPr>
          <w:p>
            <w:pPr>
              <w:spacing w:after="0"/>
              <w:rPr>
                <w:sz w:val="17"/>
                <w:szCs w:val="17"/>
                <w:color w:val="auto"/>
              </w:rPr>
            </w:pPr>
          </w:p>
        </w:tc>
        <w:tc>
          <w:tcPr>
            <w:tcW w:w="720" w:type="dxa"/>
            <w:vAlign w:val="bottom"/>
            <w:shd w:val="clear" w:color="auto" w:fill="1D2758"/>
          </w:tcPr>
          <w:p>
            <w:pPr>
              <w:spacing w:after="0"/>
              <w:rPr>
                <w:sz w:val="17"/>
                <w:szCs w:val="17"/>
                <w:color w:val="auto"/>
              </w:rPr>
            </w:pPr>
          </w:p>
        </w:tc>
        <w:tc>
          <w:tcPr>
            <w:tcW w:w="260" w:type="dxa"/>
            <w:vAlign w:val="bottom"/>
            <w:shd w:val="clear" w:color="auto" w:fill="1D2758"/>
          </w:tcPr>
          <w:p>
            <w:pPr>
              <w:spacing w:after="0"/>
              <w:rPr>
                <w:sz w:val="17"/>
                <w:szCs w:val="17"/>
                <w:color w:val="auto"/>
              </w:rPr>
            </w:pPr>
          </w:p>
        </w:tc>
        <w:tc>
          <w:tcPr>
            <w:tcW w:w="82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700" w:type="dxa"/>
            <w:vAlign w:val="bottom"/>
            <w:shd w:val="clear" w:color="auto" w:fill="1D2758"/>
          </w:tcPr>
          <w:p>
            <w:pPr>
              <w:spacing w:after="0"/>
              <w:rPr>
                <w:sz w:val="17"/>
                <w:szCs w:val="17"/>
                <w:color w:val="auto"/>
              </w:rPr>
            </w:pPr>
          </w:p>
        </w:tc>
        <w:tc>
          <w:tcPr>
            <w:tcW w:w="140" w:type="dxa"/>
            <w:vAlign w:val="bottom"/>
            <w:shd w:val="clear" w:color="auto" w:fill="1D2758"/>
          </w:tcPr>
          <w:p>
            <w:pPr>
              <w:spacing w:after="0"/>
              <w:rPr>
                <w:sz w:val="17"/>
                <w:szCs w:val="17"/>
                <w:color w:val="auto"/>
              </w:rPr>
            </w:pPr>
          </w:p>
        </w:tc>
        <w:tc>
          <w:tcPr>
            <w:tcW w:w="2000" w:type="dxa"/>
            <w:vAlign w:val="bottom"/>
            <w:gridSpan w:val="2"/>
            <w:shd w:val="clear" w:color="auto" w:fill="1D2758"/>
          </w:tcPr>
          <w:p>
            <w:pPr>
              <w:jc w:val="right"/>
              <w:ind w:right="194"/>
              <w:spacing w:after="0"/>
              <w:rPr>
                <w:sz w:val="20"/>
                <w:szCs w:val="20"/>
                <w:color w:val="auto"/>
              </w:rPr>
            </w:pPr>
            <w:r>
              <w:rPr>
                <w:rFonts w:ascii="Arial" w:cs="Arial" w:eastAsia="Arial" w:hAnsi="Arial"/>
                <w:sz w:val="13"/>
                <w:szCs w:val="13"/>
                <w:b w:val="1"/>
                <w:bCs w:val="1"/>
                <w:color w:val="FFFFFF"/>
              </w:rPr>
              <w:t>Year Ended December 31,</w:t>
            </w:r>
          </w:p>
        </w:tc>
        <w:tc>
          <w:tcPr>
            <w:tcW w:w="360" w:type="dxa"/>
            <w:vAlign w:val="bottom"/>
            <w:shd w:val="clear" w:color="auto" w:fill="1D2758"/>
          </w:tcPr>
          <w:p>
            <w:pPr>
              <w:spacing w:after="0"/>
              <w:rPr>
                <w:sz w:val="17"/>
                <w:szCs w:val="17"/>
                <w:color w:val="auto"/>
              </w:rPr>
            </w:pPr>
          </w:p>
        </w:tc>
        <w:tc>
          <w:tcPr>
            <w:tcW w:w="720" w:type="dxa"/>
            <w:vAlign w:val="bottom"/>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940" w:type="dxa"/>
            <w:vAlign w:val="bottom"/>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86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700" w:type="dxa"/>
            <w:vAlign w:val="bottom"/>
            <w:shd w:val="clear" w:color="auto" w:fill="1D2758"/>
          </w:tcPr>
          <w:p>
            <w:pPr>
              <w:spacing w:after="0"/>
              <w:rPr>
                <w:sz w:val="18"/>
                <w:szCs w:val="18"/>
                <w:color w:val="auto"/>
              </w:rPr>
            </w:pPr>
          </w:p>
        </w:tc>
        <w:tc>
          <w:tcPr>
            <w:tcW w:w="340" w:type="dxa"/>
            <w:vAlign w:val="bottom"/>
            <w:shd w:val="clear" w:color="auto" w:fill="1D2758"/>
          </w:tcPr>
          <w:p>
            <w:pPr>
              <w:spacing w:after="0"/>
              <w:rPr>
                <w:sz w:val="18"/>
                <w:szCs w:val="18"/>
                <w:color w:val="auto"/>
              </w:rPr>
            </w:pPr>
          </w:p>
        </w:tc>
        <w:tc>
          <w:tcPr>
            <w:tcW w:w="980" w:type="dxa"/>
            <w:vAlign w:val="bottom"/>
            <w:gridSpan w:val="2"/>
            <w:shd w:val="clear" w:color="auto" w:fill="1D2758"/>
          </w:tcPr>
          <w:p>
            <w:pPr>
              <w:jc w:val="right"/>
              <w:ind w:right="34"/>
              <w:spacing w:after="0"/>
              <w:rPr>
                <w:sz w:val="20"/>
                <w:szCs w:val="20"/>
                <w:color w:val="auto"/>
              </w:rPr>
            </w:pPr>
            <w:r>
              <w:rPr>
                <w:rFonts w:ascii="Arial" w:cs="Arial" w:eastAsia="Arial" w:hAnsi="Arial"/>
                <w:sz w:val="13"/>
                <w:szCs w:val="13"/>
                <w:b w:val="1"/>
                <w:bCs w:val="1"/>
                <w:color w:val="FFFFFF"/>
              </w:rPr>
              <w:t>2021</w:t>
            </w:r>
          </w:p>
        </w:tc>
        <w:tc>
          <w:tcPr>
            <w:tcW w:w="82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700" w:type="dxa"/>
            <w:vAlign w:val="bottom"/>
            <w:shd w:val="clear" w:color="auto" w:fill="1D2758"/>
          </w:tcPr>
          <w:p>
            <w:pPr>
              <w:spacing w:after="0"/>
              <w:rPr>
                <w:sz w:val="18"/>
                <w:szCs w:val="18"/>
                <w:color w:val="auto"/>
              </w:rPr>
            </w:pPr>
          </w:p>
        </w:tc>
        <w:tc>
          <w:tcPr>
            <w:tcW w:w="140" w:type="dxa"/>
            <w:vAlign w:val="bottom"/>
            <w:shd w:val="clear" w:color="auto" w:fill="1D2758"/>
          </w:tcPr>
          <w:p>
            <w:pPr>
              <w:spacing w:after="0"/>
              <w:rPr>
                <w:sz w:val="18"/>
                <w:szCs w:val="18"/>
                <w:color w:val="auto"/>
              </w:rPr>
            </w:pPr>
          </w:p>
        </w:tc>
        <w:tc>
          <w:tcPr>
            <w:tcW w:w="1180" w:type="dxa"/>
            <w:vAlign w:val="bottom"/>
            <w:shd w:val="clear" w:color="auto" w:fill="1D2758"/>
          </w:tcPr>
          <w:p>
            <w:pPr>
              <w:jc w:val="center"/>
              <w:ind w:right="314"/>
              <w:spacing w:after="0"/>
              <w:rPr>
                <w:sz w:val="20"/>
                <w:szCs w:val="20"/>
                <w:color w:val="auto"/>
              </w:rPr>
            </w:pPr>
            <w:r>
              <w:rPr>
                <w:rFonts w:ascii="Arial" w:cs="Arial" w:eastAsia="Arial" w:hAnsi="Arial"/>
                <w:sz w:val="13"/>
                <w:szCs w:val="13"/>
                <w:b w:val="1"/>
                <w:bCs w:val="1"/>
                <w:color w:val="FFFFFF"/>
                <w:w w:val="96"/>
              </w:rPr>
              <w:t>2020</w:t>
            </w:r>
          </w:p>
        </w:tc>
        <w:tc>
          <w:tcPr>
            <w:tcW w:w="82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720" w:type="dxa"/>
            <w:vAlign w:val="bottom"/>
            <w:shd w:val="clear" w:color="auto" w:fill="1D2758"/>
          </w:tcPr>
          <w:p>
            <w:pPr>
              <w:spacing w:after="0"/>
              <w:rPr>
                <w:sz w:val="18"/>
                <w:szCs w:val="18"/>
                <w:color w:val="auto"/>
              </w:rPr>
            </w:pPr>
          </w:p>
        </w:tc>
        <w:tc>
          <w:tcPr>
            <w:tcW w:w="120" w:type="dxa"/>
            <w:vAlign w:val="bottom"/>
            <w:shd w:val="clear" w:color="auto" w:fill="1D2758"/>
          </w:tcPr>
          <w:p>
            <w:pPr>
              <w:spacing w:after="0"/>
              <w:rPr>
                <w:sz w:val="18"/>
                <w:szCs w:val="18"/>
                <w:color w:val="auto"/>
              </w:rPr>
            </w:pPr>
          </w:p>
        </w:tc>
        <w:tc>
          <w:tcPr>
            <w:tcW w:w="940" w:type="dxa"/>
            <w:vAlign w:val="bottom"/>
            <w:shd w:val="clear" w:color="auto" w:fill="1D2758"/>
          </w:tcPr>
          <w:p>
            <w:pPr>
              <w:jc w:val="center"/>
              <w:ind w:right="34"/>
              <w:spacing w:after="0"/>
              <w:rPr>
                <w:sz w:val="20"/>
                <w:szCs w:val="20"/>
                <w:color w:val="auto"/>
              </w:rPr>
            </w:pPr>
            <w:r>
              <w:rPr>
                <w:rFonts w:ascii="Arial" w:cs="Arial" w:eastAsia="Arial" w:hAnsi="Arial"/>
                <w:sz w:val="13"/>
                <w:szCs w:val="13"/>
                <w:b w:val="1"/>
                <w:bCs w:val="1"/>
                <w:color w:val="FFFFFF"/>
                <w:w w:val="96"/>
              </w:rPr>
              <w:t>2019</w:t>
            </w:r>
          </w:p>
        </w:tc>
        <w:tc>
          <w:tcPr>
            <w:tcW w:w="240" w:type="dxa"/>
            <w:vAlign w:val="bottom"/>
            <w:shd w:val="clear" w:color="auto" w:fill="1D2758"/>
          </w:tcPr>
          <w:p>
            <w:pPr>
              <w:spacing w:after="0"/>
              <w:rPr>
                <w:sz w:val="18"/>
                <w:szCs w:val="18"/>
                <w:color w:val="auto"/>
              </w:rPr>
            </w:pPr>
          </w:p>
        </w:tc>
        <w:tc>
          <w:tcPr>
            <w:tcW w:w="86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2700" w:type="dxa"/>
            <w:vAlign w:val="bottom"/>
            <w:vMerge w:val="restart"/>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1060" w:type="dxa"/>
            <w:vAlign w:val="bottom"/>
            <w:gridSpan w:val="2"/>
            <w:vMerge w:val="restart"/>
            <w:shd w:val="clear" w:color="auto" w:fill="1D2758"/>
          </w:tcPr>
          <w:p>
            <w:pPr>
              <w:jc w:val="right"/>
              <w:spacing w:after="0"/>
              <w:rPr>
                <w:sz w:val="20"/>
                <w:szCs w:val="20"/>
                <w:color w:val="auto"/>
              </w:rPr>
            </w:pPr>
            <w:r>
              <w:rPr>
                <w:rFonts w:ascii="Arial" w:cs="Arial" w:eastAsia="Arial" w:hAnsi="Arial"/>
                <w:sz w:val="13"/>
                <w:szCs w:val="13"/>
                <w:b w:val="1"/>
                <w:bCs w:val="1"/>
                <w:color w:val="FFFFFF"/>
              </w:rPr>
              <w:t>Employee Costs</w:t>
            </w:r>
          </w:p>
        </w:tc>
        <w:tc>
          <w:tcPr>
            <w:tcW w:w="260" w:type="dxa"/>
            <w:vAlign w:val="bottom"/>
            <w:shd w:val="clear" w:color="auto" w:fill="1D2758"/>
          </w:tcPr>
          <w:p>
            <w:pPr>
              <w:spacing w:after="0"/>
              <w:rPr>
                <w:sz w:val="24"/>
                <w:szCs w:val="24"/>
                <w:color w:val="auto"/>
              </w:rPr>
            </w:pPr>
          </w:p>
        </w:tc>
        <w:tc>
          <w:tcPr>
            <w:tcW w:w="820" w:type="dxa"/>
            <w:vAlign w:val="bottom"/>
            <w:vMerge w:val="restart"/>
            <w:shd w:val="clear" w:color="auto" w:fill="1D2758"/>
          </w:tcPr>
          <w:p>
            <w:pPr>
              <w:jc w:val="right"/>
              <w:ind w:right="314"/>
              <w:spacing w:after="0"/>
              <w:rPr>
                <w:sz w:val="20"/>
                <w:szCs w:val="20"/>
                <w:color w:val="auto"/>
              </w:rPr>
            </w:pPr>
            <w:r>
              <w:rPr>
                <w:rFonts w:ascii="Arial" w:cs="Arial" w:eastAsia="Arial" w:hAnsi="Arial"/>
                <w:sz w:val="13"/>
                <w:szCs w:val="13"/>
                <w:b w:val="1"/>
                <w:bCs w:val="1"/>
                <w:color w:val="FFFFFF"/>
              </w:rPr>
              <w:t>Total</w:t>
            </w:r>
          </w:p>
        </w:tc>
        <w:tc>
          <w:tcPr>
            <w:tcW w:w="1060" w:type="dxa"/>
            <w:vAlign w:val="bottom"/>
            <w:gridSpan w:val="2"/>
            <w:vMerge w:val="restart"/>
            <w:shd w:val="clear" w:color="auto" w:fill="1D2758"/>
          </w:tcPr>
          <w:p>
            <w:pPr>
              <w:ind w:left="20"/>
              <w:spacing w:after="0"/>
              <w:rPr>
                <w:sz w:val="20"/>
                <w:szCs w:val="20"/>
                <w:color w:val="auto"/>
              </w:rPr>
            </w:pPr>
            <w:r>
              <w:rPr>
                <w:rFonts w:ascii="Arial" w:cs="Arial" w:eastAsia="Arial" w:hAnsi="Arial"/>
                <w:sz w:val="13"/>
                <w:szCs w:val="13"/>
                <w:b w:val="1"/>
                <w:bCs w:val="1"/>
                <w:color w:val="FFFFFF"/>
              </w:rPr>
              <w:t>Employee Costs</w:t>
            </w:r>
          </w:p>
        </w:tc>
        <w:tc>
          <w:tcPr>
            <w:tcW w:w="140" w:type="dxa"/>
            <w:vAlign w:val="bottom"/>
            <w:shd w:val="clear" w:color="auto" w:fill="1D2758"/>
          </w:tcPr>
          <w:p>
            <w:pPr>
              <w:spacing w:after="0"/>
              <w:rPr>
                <w:sz w:val="24"/>
                <w:szCs w:val="24"/>
                <w:color w:val="auto"/>
              </w:rPr>
            </w:pPr>
          </w:p>
        </w:tc>
        <w:tc>
          <w:tcPr>
            <w:tcW w:w="1180" w:type="dxa"/>
            <w:vAlign w:val="bottom"/>
            <w:shd w:val="clear" w:color="auto" w:fill="1D2758"/>
          </w:tcPr>
          <w:p>
            <w:pPr>
              <w:jc w:val="center"/>
              <w:ind w:right="314"/>
              <w:spacing w:after="0"/>
              <w:rPr>
                <w:sz w:val="20"/>
                <w:szCs w:val="20"/>
                <w:color w:val="auto"/>
              </w:rPr>
            </w:pPr>
            <w:r>
              <w:rPr>
                <w:rFonts w:ascii="Arial" w:cs="Arial" w:eastAsia="Arial" w:hAnsi="Arial"/>
                <w:sz w:val="13"/>
                <w:szCs w:val="13"/>
                <w:b w:val="1"/>
                <w:bCs w:val="1"/>
                <w:color w:val="FFFFFF"/>
                <w:w w:val="99"/>
              </w:rPr>
              <w:t>Facility Exit</w:t>
            </w:r>
          </w:p>
        </w:tc>
        <w:tc>
          <w:tcPr>
            <w:tcW w:w="820" w:type="dxa"/>
            <w:vAlign w:val="bottom"/>
            <w:vMerge w:val="restart"/>
            <w:shd w:val="clear" w:color="auto" w:fill="1D2758"/>
          </w:tcPr>
          <w:p>
            <w:pPr>
              <w:jc w:val="right"/>
              <w:ind w:right="314"/>
              <w:spacing w:after="0"/>
              <w:rPr>
                <w:sz w:val="20"/>
                <w:szCs w:val="20"/>
                <w:color w:val="auto"/>
              </w:rPr>
            </w:pPr>
            <w:r>
              <w:rPr>
                <w:rFonts w:ascii="Arial" w:cs="Arial" w:eastAsia="Arial" w:hAnsi="Arial"/>
                <w:sz w:val="13"/>
                <w:szCs w:val="13"/>
                <w:b w:val="1"/>
                <w:bCs w:val="1"/>
                <w:color w:val="FFFFFF"/>
              </w:rPr>
              <w:t>Total</w:t>
            </w:r>
          </w:p>
        </w:tc>
        <w:tc>
          <w:tcPr>
            <w:tcW w:w="1080" w:type="dxa"/>
            <w:vAlign w:val="bottom"/>
            <w:gridSpan w:val="2"/>
            <w:vMerge w:val="restart"/>
            <w:shd w:val="clear" w:color="auto" w:fill="1D2758"/>
          </w:tcPr>
          <w:p>
            <w:pPr>
              <w:ind w:left="40"/>
              <w:spacing w:after="0"/>
              <w:rPr>
                <w:sz w:val="20"/>
                <w:szCs w:val="20"/>
                <w:color w:val="auto"/>
              </w:rPr>
            </w:pPr>
            <w:r>
              <w:rPr>
                <w:rFonts w:ascii="Arial" w:cs="Arial" w:eastAsia="Arial" w:hAnsi="Arial"/>
                <w:sz w:val="13"/>
                <w:szCs w:val="13"/>
                <w:b w:val="1"/>
                <w:bCs w:val="1"/>
                <w:color w:val="FFFFFF"/>
              </w:rPr>
              <w:t>Employee Costs</w:t>
            </w:r>
          </w:p>
        </w:tc>
        <w:tc>
          <w:tcPr>
            <w:tcW w:w="120" w:type="dxa"/>
            <w:vAlign w:val="bottom"/>
            <w:shd w:val="clear" w:color="auto" w:fill="1D2758"/>
          </w:tcPr>
          <w:p>
            <w:pPr>
              <w:spacing w:after="0"/>
              <w:rPr>
                <w:sz w:val="24"/>
                <w:szCs w:val="24"/>
                <w:color w:val="auto"/>
              </w:rPr>
            </w:pPr>
          </w:p>
        </w:tc>
        <w:tc>
          <w:tcPr>
            <w:tcW w:w="940" w:type="dxa"/>
            <w:vAlign w:val="bottom"/>
            <w:shd w:val="clear" w:color="auto" w:fill="1D2758"/>
          </w:tcPr>
          <w:p>
            <w:pPr>
              <w:jc w:val="center"/>
              <w:ind w:right="54"/>
              <w:spacing w:after="0"/>
              <w:rPr>
                <w:sz w:val="20"/>
                <w:szCs w:val="20"/>
                <w:color w:val="auto"/>
              </w:rPr>
            </w:pPr>
            <w:r>
              <w:rPr>
                <w:rFonts w:ascii="Arial" w:cs="Arial" w:eastAsia="Arial" w:hAnsi="Arial"/>
                <w:sz w:val="13"/>
                <w:szCs w:val="13"/>
                <w:b w:val="1"/>
                <w:bCs w:val="1"/>
                <w:color w:val="FFFFFF"/>
              </w:rPr>
              <w:t>Facility Exit</w:t>
            </w:r>
          </w:p>
        </w:tc>
        <w:tc>
          <w:tcPr>
            <w:tcW w:w="240" w:type="dxa"/>
            <w:vAlign w:val="bottom"/>
            <w:shd w:val="clear" w:color="auto" w:fill="1D2758"/>
          </w:tcPr>
          <w:p>
            <w:pPr>
              <w:spacing w:after="0"/>
              <w:rPr>
                <w:sz w:val="24"/>
                <w:szCs w:val="24"/>
                <w:color w:val="auto"/>
              </w:rPr>
            </w:pPr>
          </w:p>
        </w:tc>
        <w:tc>
          <w:tcPr>
            <w:tcW w:w="860" w:type="dxa"/>
            <w:vAlign w:val="bottom"/>
            <w:vMerge w:val="restart"/>
            <w:shd w:val="clear" w:color="auto" w:fill="1D2758"/>
          </w:tcPr>
          <w:p>
            <w:pPr>
              <w:jc w:val="right"/>
              <w:ind w:right="334"/>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74"/>
        </w:trPr>
        <w:tc>
          <w:tcPr>
            <w:tcW w:w="2700" w:type="dxa"/>
            <w:vAlign w:val="bottom"/>
            <w:tcBorders>
              <w:bottom w:val="single" w:sz="8" w:color="DBDBDB"/>
            </w:tcBorders>
            <w:vMerge w:val="continue"/>
            <w:shd w:val="clear" w:color="auto" w:fill="1D2758"/>
          </w:tcPr>
          <w:p>
            <w:pPr>
              <w:spacing w:after="0"/>
              <w:rPr>
                <w:sz w:val="15"/>
                <w:szCs w:val="15"/>
                <w:color w:val="auto"/>
              </w:rPr>
            </w:pPr>
          </w:p>
        </w:tc>
        <w:tc>
          <w:tcPr>
            <w:tcW w:w="1060" w:type="dxa"/>
            <w:vAlign w:val="bottom"/>
            <w:tcBorders>
              <w:bottom w:val="single" w:sz="8" w:color="DBDBDB"/>
            </w:tcBorders>
            <w:gridSpan w:val="2"/>
            <w:vMerge w:val="continue"/>
            <w:shd w:val="clear" w:color="auto" w:fill="1D2758"/>
          </w:tcPr>
          <w:p>
            <w:pPr>
              <w:spacing w:after="0"/>
              <w:rPr>
                <w:sz w:val="15"/>
                <w:szCs w:val="15"/>
                <w:color w:val="auto"/>
              </w:rPr>
            </w:pPr>
          </w:p>
        </w:tc>
        <w:tc>
          <w:tcPr>
            <w:tcW w:w="260" w:type="dxa"/>
            <w:vAlign w:val="bottom"/>
            <w:tcBorders>
              <w:bottom w:val="single" w:sz="8" w:color="DBDBDB"/>
            </w:tcBorders>
            <w:shd w:val="clear" w:color="auto" w:fill="1D2758"/>
          </w:tcPr>
          <w:p>
            <w:pPr>
              <w:spacing w:after="0"/>
              <w:rPr>
                <w:sz w:val="15"/>
                <w:szCs w:val="15"/>
                <w:color w:val="auto"/>
              </w:rPr>
            </w:pPr>
          </w:p>
        </w:tc>
        <w:tc>
          <w:tcPr>
            <w:tcW w:w="820" w:type="dxa"/>
            <w:vAlign w:val="bottom"/>
            <w:tcBorders>
              <w:bottom w:val="single" w:sz="8" w:color="DBDBDB"/>
            </w:tcBorders>
            <w:vMerge w:val="continue"/>
            <w:shd w:val="clear" w:color="auto" w:fill="1D2758"/>
          </w:tcPr>
          <w:p>
            <w:pPr>
              <w:spacing w:after="0"/>
              <w:rPr>
                <w:sz w:val="15"/>
                <w:szCs w:val="15"/>
                <w:color w:val="auto"/>
              </w:rPr>
            </w:pPr>
          </w:p>
        </w:tc>
        <w:tc>
          <w:tcPr>
            <w:tcW w:w="1060" w:type="dxa"/>
            <w:vAlign w:val="bottom"/>
            <w:tcBorders>
              <w:bottom w:val="single" w:sz="8" w:color="DBDBDB"/>
            </w:tcBorders>
            <w:gridSpan w:val="2"/>
            <w:vMerge w:val="continue"/>
            <w:shd w:val="clear" w:color="auto" w:fill="1D2758"/>
          </w:tcPr>
          <w:p>
            <w:pPr>
              <w:spacing w:after="0"/>
              <w:rPr>
                <w:sz w:val="15"/>
                <w:szCs w:val="15"/>
                <w:color w:val="auto"/>
              </w:rPr>
            </w:pPr>
          </w:p>
        </w:tc>
        <w:tc>
          <w:tcPr>
            <w:tcW w:w="140" w:type="dxa"/>
            <w:vAlign w:val="bottom"/>
            <w:tcBorders>
              <w:bottom w:val="single" w:sz="8" w:color="DBDBDB"/>
            </w:tcBorders>
            <w:shd w:val="clear" w:color="auto" w:fill="1D2758"/>
          </w:tcPr>
          <w:p>
            <w:pPr>
              <w:spacing w:after="0"/>
              <w:rPr>
                <w:sz w:val="15"/>
                <w:szCs w:val="15"/>
                <w:color w:val="auto"/>
              </w:rPr>
            </w:pPr>
          </w:p>
        </w:tc>
        <w:tc>
          <w:tcPr>
            <w:tcW w:w="1180" w:type="dxa"/>
            <w:vAlign w:val="bottom"/>
            <w:tcBorders>
              <w:bottom w:val="single" w:sz="8" w:color="DBDBDB"/>
            </w:tcBorders>
            <w:shd w:val="clear" w:color="auto" w:fill="1D2758"/>
          </w:tcPr>
          <w:p>
            <w:pPr>
              <w:jc w:val="center"/>
              <w:ind w:right="314"/>
              <w:spacing w:after="0"/>
              <w:rPr>
                <w:sz w:val="20"/>
                <w:szCs w:val="20"/>
                <w:color w:val="auto"/>
              </w:rPr>
            </w:pPr>
            <w:r>
              <w:rPr>
                <w:rFonts w:ascii="Arial" w:cs="Arial" w:eastAsia="Arial" w:hAnsi="Arial"/>
                <w:sz w:val="13"/>
                <w:szCs w:val="13"/>
                <w:b w:val="1"/>
                <w:bCs w:val="1"/>
                <w:color w:val="FFFFFF"/>
                <w:w w:val="99"/>
              </w:rPr>
              <w:t>Costs</w:t>
            </w:r>
          </w:p>
        </w:tc>
        <w:tc>
          <w:tcPr>
            <w:tcW w:w="820" w:type="dxa"/>
            <w:vAlign w:val="bottom"/>
            <w:tcBorders>
              <w:bottom w:val="single" w:sz="8" w:color="DBDBDB"/>
            </w:tcBorders>
            <w:vMerge w:val="continue"/>
            <w:shd w:val="clear" w:color="auto" w:fill="1D2758"/>
          </w:tcPr>
          <w:p>
            <w:pPr>
              <w:spacing w:after="0"/>
              <w:rPr>
                <w:sz w:val="15"/>
                <w:szCs w:val="15"/>
                <w:color w:val="auto"/>
              </w:rPr>
            </w:pPr>
          </w:p>
        </w:tc>
        <w:tc>
          <w:tcPr>
            <w:tcW w:w="1080" w:type="dxa"/>
            <w:vAlign w:val="bottom"/>
            <w:tcBorders>
              <w:bottom w:val="single" w:sz="8" w:color="DBDBDB"/>
            </w:tcBorders>
            <w:gridSpan w:val="2"/>
            <w:vMerge w:val="continue"/>
            <w:shd w:val="clear" w:color="auto" w:fill="1D2758"/>
          </w:tcPr>
          <w:p>
            <w:pPr>
              <w:spacing w:after="0"/>
              <w:rPr>
                <w:sz w:val="15"/>
                <w:szCs w:val="15"/>
                <w:color w:val="auto"/>
              </w:rPr>
            </w:pPr>
          </w:p>
        </w:tc>
        <w:tc>
          <w:tcPr>
            <w:tcW w:w="120" w:type="dxa"/>
            <w:vAlign w:val="bottom"/>
            <w:tcBorders>
              <w:bottom w:val="single" w:sz="8" w:color="auto"/>
            </w:tcBorders>
            <w:shd w:val="clear" w:color="auto" w:fill="1D2758"/>
          </w:tcPr>
          <w:p>
            <w:pPr>
              <w:spacing w:after="0"/>
              <w:rPr>
                <w:sz w:val="15"/>
                <w:szCs w:val="15"/>
                <w:color w:val="auto"/>
              </w:rPr>
            </w:pPr>
          </w:p>
        </w:tc>
        <w:tc>
          <w:tcPr>
            <w:tcW w:w="940" w:type="dxa"/>
            <w:vAlign w:val="bottom"/>
            <w:tcBorders>
              <w:bottom w:val="single" w:sz="8" w:color="auto"/>
            </w:tcBorders>
            <w:shd w:val="clear" w:color="auto" w:fill="1D2758"/>
          </w:tcPr>
          <w:p>
            <w:pPr>
              <w:jc w:val="center"/>
              <w:ind w:right="34"/>
              <w:spacing w:after="0"/>
              <w:rPr>
                <w:sz w:val="20"/>
                <w:szCs w:val="20"/>
                <w:color w:val="auto"/>
              </w:rPr>
            </w:pPr>
            <w:r>
              <w:rPr>
                <w:rFonts w:ascii="Arial" w:cs="Arial" w:eastAsia="Arial" w:hAnsi="Arial"/>
                <w:sz w:val="13"/>
                <w:szCs w:val="13"/>
                <w:b w:val="1"/>
                <w:bCs w:val="1"/>
                <w:color w:val="FFFFFF"/>
                <w:w w:val="99"/>
              </w:rPr>
              <w:t>Costs</w:t>
            </w:r>
          </w:p>
        </w:tc>
        <w:tc>
          <w:tcPr>
            <w:tcW w:w="240" w:type="dxa"/>
            <w:vAlign w:val="bottom"/>
            <w:tcBorders>
              <w:bottom w:val="single" w:sz="8" w:color="auto"/>
            </w:tcBorders>
            <w:shd w:val="clear" w:color="auto" w:fill="1D2758"/>
          </w:tcPr>
          <w:p>
            <w:pPr>
              <w:spacing w:after="0"/>
              <w:rPr>
                <w:sz w:val="15"/>
                <w:szCs w:val="15"/>
                <w:color w:val="auto"/>
              </w:rPr>
            </w:pPr>
          </w:p>
        </w:tc>
        <w:tc>
          <w:tcPr>
            <w:tcW w:w="860" w:type="dxa"/>
            <w:vAlign w:val="bottom"/>
            <w:tcBorders>
              <w:bottom w:val="single" w:sz="8" w:color="auto"/>
            </w:tcBorders>
            <w:vMerge w:val="continue"/>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700" w:type="dxa"/>
            <w:vAlign w:val="bottom"/>
            <w:shd w:val="clear" w:color="auto" w:fill="DBDBDB"/>
          </w:tcPr>
          <w:p>
            <w:pPr>
              <w:ind w:left="20"/>
              <w:spacing w:after="0"/>
              <w:rPr>
                <w:sz w:val="20"/>
                <w:szCs w:val="20"/>
                <w:color w:val="auto"/>
              </w:rPr>
            </w:pPr>
            <w:r>
              <w:rPr>
                <w:rFonts w:ascii="Arial" w:cs="Arial" w:eastAsia="Arial" w:hAnsi="Arial"/>
                <w:sz w:val="13"/>
                <w:szCs w:val="13"/>
                <w:color w:val="auto"/>
              </w:rPr>
              <w:t>Beginning balance</w:t>
            </w:r>
          </w:p>
        </w:tc>
        <w:tc>
          <w:tcPr>
            <w:tcW w:w="340" w:type="dxa"/>
            <w:vAlign w:val="bottom"/>
            <w:shd w:val="clear" w:color="auto" w:fill="DBDBDB"/>
          </w:tcPr>
          <w:p>
            <w:pPr>
              <w:jc w:val="right"/>
              <w:ind w:right="194"/>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1,750</w:t>
            </w:r>
          </w:p>
        </w:tc>
        <w:tc>
          <w:tcPr>
            <w:tcW w:w="26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1,750</w:t>
            </w:r>
          </w:p>
        </w:tc>
        <w:tc>
          <w:tcPr>
            <w:tcW w:w="360" w:type="dxa"/>
            <w:vAlign w:val="bottom"/>
            <w:shd w:val="clear" w:color="auto" w:fill="DBDBDB"/>
          </w:tcPr>
          <w:p>
            <w:pPr>
              <w:ind w:lef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447</w:t>
            </w: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DBDBDB"/>
          </w:tcPr>
          <w:p>
            <w:pPr>
              <w:ind w:left="740"/>
              <w:spacing w:after="0"/>
              <w:rPr>
                <w:sz w:val="20"/>
                <w:szCs w:val="20"/>
                <w:color w:val="auto"/>
              </w:rPr>
            </w:pPr>
            <w:r>
              <w:rPr>
                <w:rFonts w:ascii="Arial" w:cs="Arial" w:eastAsia="Arial" w:hAnsi="Arial"/>
                <w:sz w:val="13"/>
                <w:szCs w:val="13"/>
                <w:color w:val="auto"/>
              </w:rPr>
              <w:t>— $</w:t>
            </w:r>
          </w:p>
        </w:tc>
        <w:tc>
          <w:tcPr>
            <w:tcW w:w="8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447</w:t>
            </w:r>
          </w:p>
        </w:tc>
        <w:tc>
          <w:tcPr>
            <w:tcW w:w="360" w:type="dxa"/>
            <w:vAlign w:val="bottom"/>
            <w:shd w:val="clear" w:color="auto" w:fill="DBDBDB"/>
          </w:tcPr>
          <w:p>
            <w:pPr>
              <w:ind w:lef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4,544</w:t>
            </w:r>
          </w:p>
        </w:tc>
        <w:tc>
          <w:tcPr>
            <w:tcW w:w="12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972</w:t>
            </w:r>
          </w:p>
        </w:tc>
        <w:tc>
          <w:tcPr>
            <w:tcW w:w="24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5,516</w:t>
            </w:r>
          </w:p>
        </w:tc>
        <w:tc>
          <w:tcPr>
            <w:tcW w:w="0" w:type="dxa"/>
            <w:vAlign w:val="bottom"/>
          </w:tcPr>
          <w:p>
            <w:pPr>
              <w:spacing w:after="0"/>
              <w:rPr>
                <w:sz w:val="1"/>
                <w:szCs w:val="1"/>
                <w:color w:val="auto"/>
              </w:rPr>
            </w:pPr>
          </w:p>
        </w:tc>
      </w:tr>
      <w:tr>
        <w:trPr>
          <w:trHeight w:val="131"/>
        </w:trPr>
        <w:tc>
          <w:tcPr>
            <w:tcW w:w="2700" w:type="dxa"/>
            <w:vAlign w:val="bottom"/>
          </w:tcPr>
          <w:p>
            <w:pPr>
              <w:ind w:left="200"/>
              <w:spacing w:after="0" w:line="131" w:lineRule="exact"/>
              <w:rPr>
                <w:sz w:val="20"/>
                <w:szCs w:val="20"/>
                <w:color w:val="auto"/>
              </w:rPr>
            </w:pPr>
            <w:r>
              <w:rPr>
                <w:rFonts w:ascii="Arial" w:cs="Arial" w:eastAsia="Arial" w:hAnsi="Arial"/>
                <w:sz w:val="13"/>
                <w:szCs w:val="13"/>
                <w:color w:val="auto"/>
              </w:rPr>
              <w:t>Reclassification of liability to operating</w:t>
            </w: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700" w:type="dxa"/>
            <w:vAlign w:val="bottom"/>
          </w:tcPr>
          <w:p>
            <w:pPr>
              <w:ind w:left="200"/>
              <w:spacing w:after="0" w:line="197" w:lineRule="exact"/>
              <w:rPr>
                <w:sz w:val="20"/>
                <w:szCs w:val="20"/>
                <w:color w:val="auto"/>
              </w:rPr>
            </w:pPr>
            <w:r>
              <w:rPr>
                <w:rFonts w:ascii="Arial" w:cs="Arial" w:eastAsia="Arial" w:hAnsi="Arial"/>
                <w:sz w:val="13"/>
                <w:szCs w:val="13"/>
                <w:color w:val="auto"/>
              </w:rPr>
              <w:t>lease asset at the adoption of ASC 842</w:t>
            </w:r>
            <w:r>
              <w:rPr>
                <w:rFonts w:ascii="Arial" w:cs="Arial" w:eastAsia="Arial" w:hAnsi="Arial"/>
                <w:sz w:val="22"/>
                <w:szCs w:val="22"/>
                <w:color w:val="auto"/>
                <w:vertAlign w:val="superscript"/>
              </w:rPr>
              <w:t>(a)</w:t>
            </w: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1180" w:type="dxa"/>
            <w:vAlign w:val="bottom"/>
          </w:tcPr>
          <w:p>
            <w:pPr>
              <w:ind w:left="74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(972)</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(972)</w:t>
            </w:r>
          </w:p>
        </w:tc>
        <w:tc>
          <w:tcPr>
            <w:tcW w:w="0" w:type="dxa"/>
            <w:vAlign w:val="bottom"/>
          </w:tcPr>
          <w:p>
            <w:pPr>
              <w:spacing w:after="0"/>
              <w:rPr>
                <w:sz w:val="1"/>
                <w:szCs w:val="1"/>
                <w:color w:val="auto"/>
              </w:rPr>
            </w:pPr>
          </w:p>
        </w:tc>
      </w:tr>
      <w:tr>
        <w:trPr>
          <w:trHeight w:val="175"/>
        </w:trPr>
        <w:tc>
          <w:tcPr>
            <w:tcW w:w="2700" w:type="dxa"/>
            <w:vAlign w:val="bottom"/>
            <w:shd w:val="clear" w:color="auto" w:fill="DBDBDB"/>
          </w:tcPr>
          <w:p>
            <w:pPr>
              <w:ind w:left="200"/>
              <w:spacing w:after="0"/>
              <w:rPr>
                <w:sz w:val="20"/>
                <w:szCs w:val="20"/>
                <w:color w:val="auto"/>
              </w:rPr>
            </w:pPr>
            <w:r>
              <w:rPr>
                <w:rFonts w:ascii="Arial" w:cs="Arial" w:eastAsia="Arial" w:hAnsi="Arial"/>
                <w:sz w:val="13"/>
                <w:szCs w:val="13"/>
                <w:color w:val="auto"/>
              </w:rPr>
              <w:t>Charges</w:t>
            </w:r>
          </w:p>
        </w:tc>
        <w:tc>
          <w:tcPr>
            <w:tcW w:w="340" w:type="dxa"/>
            <w:vAlign w:val="bottom"/>
            <w:shd w:val="clear" w:color="auto" w:fill="DBDBDB"/>
          </w:tcPr>
          <w:p>
            <w:pPr>
              <w:spacing w:after="0"/>
              <w:rPr>
                <w:sz w:val="15"/>
                <w:szCs w:val="15"/>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11,868</w:t>
            </w:r>
          </w:p>
        </w:tc>
        <w:tc>
          <w:tcPr>
            <w:tcW w:w="260" w:type="dxa"/>
            <w:vAlign w:val="bottom"/>
            <w:shd w:val="clear" w:color="auto" w:fill="DBDBDB"/>
          </w:tcPr>
          <w:p>
            <w:pPr>
              <w:spacing w:after="0"/>
              <w:rPr>
                <w:sz w:val="15"/>
                <w:szCs w:val="15"/>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11,868</w:t>
            </w:r>
          </w:p>
        </w:tc>
        <w:tc>
          <w:tcPr>
            <w:tcW w:w="360" w:type="dxa"/>
            <w:vAlign w:val="bottom"/>
            <w:shd w:val="clear" w:color="auto" w:fill="DBDBDB"/>
          </w:tcPr>
          <w:p>
            <w:pPr>
              <w:spacing w:after="0"/>
              <w:rPr>
                <w:sz w:val="15"/>
                <w:szCs w:val="15"/>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6,510</w:t>
            </w:r>
          </w:p>
        </w:tc>
        <w:tc>
          <w:tcPr>
            <w:tcW w:w="140" w:type="dxa"/>
            <w:vAlign w:val="bottom"/>
            <w:shd w:val="clear" w:color="auto" w:fill="DBDBDB"/>
          </w:tcPr>
          <w:p>
            <w:pPr>
              <w:spacing w:after="0"/>
              <w:rPr>
                <w:sz w:val="15"/>
                <w:szCs w:val="15"/>
                <w:color w:val="auto"/>
              </w:rPr>
            </w:pPr>
          </w:p>
        </w:tc>
        <w:tc>
          <w:tcPr>
            <w:tcW w:w="1180" w:type="dxa"/>
            <w:vAlign w:val="bottom"/>
            <w:shd w:val="clear" w:color="auto" w:fill="DBDBDB"/>
          </w:tcPr>
          <w:p>
            <w:pPr>
              <w:ind w:left="740"/>
              <w:spacing w:after="0"/>
              <w:rPr>
                <w:sz w:val="20"/>
                <w:szCs w:val="20"/>
                <w:color w:val="auto"/>
              </w:rPr>
            </w:pPr>
            <w:r>
              <w:rPr>
                <w:rFonts w:ascii="Arial" w:cs="Arial" w:eastAsia="Arial" w:hAnsi="Arial"/>
                <w:sz w:val="13"/>
                <w:szCs w:val="13"/>
                <w:color w:val="auto"/>
              </w:rPr>
              <w:t>17</w:t>
            </w:r>
          </w:p>
        </w:tc>
        <w:tc>
          <w:tcPr>
            <w:tcW w:w="8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6,527</w:t>
            </w:r>
          </w:p>
        </w:tc>
        <w:tc>
          <w:tcPr>
            <w:tcW w:w="360" w:type="dxa"/>
            <w:vAlign w:val="bottom"/>
            <w:shd w:val="clear" w:color="auto" w:fill="DBDBDB"/>
          </w:tcPr>
          <w:p>
            <w:pPr>
              <w:spacing w:after="0"/>
              <w:rPr>
                <w:sz w:val="15"/>
                <w:szCs w:val="15"/>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1,955</w:t>
            </w:r>
          </w:p>
        </w:tc>
        <w:tc>
          <w:tcPr>
            <w:tcW w:w="120" w:type="dxa"/>
            <w:vAlign w:val="bottom"/>
            <w:shd w:val="clear" w:color="auto" w:fill="DBDBDB"/>
          </w:tcPr>
          <w:p>
            <w:pPr>
              <w:spacing w:after="0"/>
              <w:rPr>
                <w:sz w:val="15"/>
                <w:szCs w:val="15"/>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1,800</w:t>
            </w:r>
          </w:p>
        </w:tc>
        <w:tc>
          <w:tcPr>
            <w:tcW w:w="240" w:type="dxa"/>
            <w:vAlign w:val="bottom"/>
            <w:shd w:val="clear" w:color="auto" w:fill="DBDBDB"/>
          </w:tcPr>
          <w:p>
            <w:pPr>
              <w:spacing w:after="0"/>
              <w:rPr>
                <w:sz w:val="15"/>
                <w:szCs w:val="15"/>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3,755</w:t>
            </w:r>
          </w:p>
        </w:tc>
        <w:tc>
          <w:tcPr>
            <w:tcW w:w="0" w:type="dxa"/>
            <w:vAlign w:val="bottom"/>
          </w:tcPr>
          <w:p>
            <w:pPr>
              <w:spacing w:after="0"/>
              <w:rPr>
                <w:sz w:val="1"/>
                <w:szCs w:val="1"/>
                <w:color w:val="auto"/>
              </w:rPr>
            </w:pPr>
          </w:p>
        </w:tc>
      </w:tr>
      <w:tr>
        <w:trPr>
          <w:trHeight w:val="172"/>
        </w:trPr>
        <w:tc>
          <w:tcPr>
            <w:tcW w:w="2700" w:type="dxa"/>
            <w:vAlign w:val="bottom"/>
          </w:tcPr>
          <w:p>
            <w:pPr>
              <w:ind w:left="200"/>
              <w:spacing w:after="0"/>
              <w:rPr>
                <w:sz w:val="20"/>
                <w:szCs w:val="20"/>
                <w:color w:val="auto"/>
              </w:rPr>
            </w:pPr>
            <w:r>
              <w:rPr>
                <w:rFonts w:ascii="Arial" w:cs="Arial" w:eastAsia="Arial" w:hAnsi="Arial"/>
                <w:sz w:val="13"/>
                <w:szCs w:val="13"/>
                <w:color w:val="auto"/>
              </w:rPr>
              <w:t>Cash payments</w:t>
            </w: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(5,943)</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(5,943)</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(5,356)</w:t>
            </w:r>
          </w:p>
        </w:tc>
        <w:tc>
          <w:tcPr>
            <w:tcW w:w="140" w:type="dxa"/>
            <w:vAlign w:val="bottom"/>
          </w:tcPr>
          <w:p>
            <w:pPr>
              <w:spacing w:after="0"/>
              <w:rPr>
                <w:sz w:val="14"/>
                <w:szCs w:val="14"/>
                <w:color w:val="auto"/>
              </w:rPr>
            </w:pPr>
          </w:p>
        </w:tc>
        <w:tc>
          <w:tcPr>
            <w:tcW w:w="1180" w:type="dxa"/>
            <w:vAlign w:val="bottom"/>
          </w:tcPr>
          <w:p>
            <w:pPr>
              <w:ind w:left="74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(5,356)</w:t>
            </w: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(5,694)</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(5,694)</w:t>
            </w:r>
          </w:p>
        </w:tc>
        <w:tc>
          <w:tcPr>
            <w:tcW w:w="0" w:type="dxa"/>
            <w:vAlign w:val="bottom"/>
          </w:tcPr>
          <w:p>
            <w:pPr>
              <w:spacing w:after="0"/>
              <w:rPr>
                <w:sz w:val="1"/>
                <w:szCs w:val="1"/>
                <w:color w:val="auto"/>
              </w:rPr>
            </w:pPr>
          </w:p>
        </w:tc>
      </w:tr>
      <w:tr>
        <w:trPr>
          <w:trHeight w:val="178"/>
        </w:trPr>
        <w:tc>
          <w:tcPr>
            <w:tcW w:w="2700" w:type="dxa"/>
            <w:vAlign w:val="bottom"/>
            <w:shd w:val="clear" w:color="auto" w:fill="DBDBDB"/>
          </w:tcPr>
          <w:p>
            <w:pPr>
              <w:ind w:left="200"/>
              <w:spacing w:after="0"/>
              <w:rPr>
                <w:sz w:val="20"/>
                <w:szCs w:val="20"/>
                <w:color w:val="auto"/>
              </w:rPr>
            </w:pPr>
            <w:r>
              <w:rPr>
                <w:rFonts w:ascii="Arial" w:cs="Arial" w:eastAsia="Arial" w:hAnsi="Arial"/>
                <w:sz w:val="13"/>
                <w:szCs w:val="13"/>
                <w:color w:val="auto"/>
              </w:rPr>
              <w:t>Foreign currency translation</w:t>
            </w:r>
          </w:p>
        </w:tc>
        <w:tc>
          <w:tcPr>
            <w:tcW w:w="340" w:type="dxa"/>
            <w:vAlign w:val="bottom"/>
            <w:shd w:val="clear" w:color="auto" w:fill="DBDBDB"/>
          </w:tcPr>
          <w:p>
            <w:pPr>
              <w:spacing w:after="0"/>
              <w:rPr>
                <w:sz w:val="15"/>
                <w:szCs w:val="15"/>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DBDBDB"/>
          </w:tcPr>
          <w:p>
            <w:pPr>
              <w:spacing w:after="0"/>
              <w:rPr>
                <w:sz w:val="15"/>
                <w:szCs w:val="15"/>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360" w:type="dxa"/>
            <w:vAlign w:val="bottom"/>
            <w:shd w:val="clear" w:color="auto" w:fill="DBDBDB"/>
          </w:tcPr>
          <w:p>
            <w:pPr>
              <w:spacing w:after="0"/>
              <w:rPr>
                <w:sz w:val="15"/>
                <w:szCs w:val="15"/>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30</w:t>
            </w:r>
          </w:p>
        </w:tc>
        <w:tc>
          <w:tcPr>
            <w:tcW w:w="140" w:type="dxa"/>
            <w:vAlign w:val="bottom"/>
            <w:shd w:val="clear" w:color="auto" w:fill="DBDBDB"/>
          </w:tcPr>
          <w:p>
            <w:pPr>
              <w:spacing w:after="0"/>
              <w:rPr>
                <w:sz w:val="15"/>
                <w:szCs w:val="15"/>
                <w:color w:val="auto"/>
              </w:rPr>
            </w:pPr>
          </w:p>
        </w:tc>
        <w:tc>
          <w:tcPr>
            <w:tcW w:w="1180" w:type="dxa"/>
            <w:vAlign w:val="bottom"/>
            <w:shd w:val="clear" w:color="auto" w:fill="DBDBDB"/>
          </w:tcPr>
          <w:p>
            <w:pPr>
              <w:ind w:left="740"/>
              <w:spacing w:after="0"/>
              <w:rPr>
                <w:sz w:val="20"/>
                <w:szCs w:val="20"/>
                <w:color w:val="auto"/>
              </w:rPr>
            </w:pPr>
            <w:r>
              <w:rPr>
                <w:rFonts w:ascii="Arial" w:cs="Arial" w:eastAsia="Arial" w:hAnsi="Arial"/>
                <w:sz w:val="13"/>
                <w:szCs w:val="13"/>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30</w:t>
            </w:r>
          </w:p>
        </w:tc>
        <w:tc>
          <w:tcPr>
            <w:tcW w:w="360" w:type="dxa"/>
            <w:vAlign w:val="bottom"/>
            <w:shd w:val="clear" w:color="auto" w:fill="DBDBDB"/>
          </w:tcPr>
          <w:p>
            <w:pPr>
              <w:spacing w:after="0"/>
              <w:rPr>
                <w:sz w:val="15"/>
                <w:szCs w:val="15"/>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(136)</w:t>
            </w:r>
          </w:p>
        </w:tc>
        <w:tc>
          <w:tcPr>
            <w:tcW w:w="120" w:type="dxa"/>
            <w:vAlign w:val="bottom"/>
            <w:shd w:val="clear" w:color="auto" w:fill="DBDBDB"/>
          </w:tcPr>
          <w:p>
            <w:pPr>
              <w:spacing w:after="0"/>
              <w:rPr>
                <w:sz w:val="15"/>
                <w:szCs w:val="15"/>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DBDBDB"/>
          </w:tcPr>
          <w:p>
            <w:pPr>
              <w:spacing w:after="0"/>
              <w:rPr>
                <w:sz w:val="15"/>
                <w:szCs w:val="15"/>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(136)</w:t>
            </w:r>
          </w:p>
        </w:tc>
        <w:tc>
          <w:tcPr>
            <w:tcW w:w="0" w:type="dxa"/>
            <w:vAlign w:val="bottom"/>
          </w:tcPr>
          <w:p>
            <w:pPr>
              <w:spacing w:after="0"/>
              <w:rPr>
                <w:sz w:val="1"/>
                <w:szCs w:val="1"/>
                <w:color w:val="auto"/>
              </w:rPr>
            </w:pPr>
          </w:p>
        </w:tc>
      </w:tr>
      <w:tr>
        <w:trPr>
          <w:trHeight w:val="172"/>
        </w:trPr>
        <w:tc>
          <w:tcPr>
            <w:tcW w:w="2700" w:type="dxa"/>
            <w:vAlign w:val="bottom"/>
            <w:tcBorders>
              <w:bottom w:val="single" w:sz="8" w:color="DBDBDB"/>
            </w:tcBorders>
          </w:tcPr>
          <w:p>
            <w:pPr>
              <w:ind w:left="200"/>
              <w:spacing w:after="0"/>
              <w:rPr>
                <w:sz w:val="20"/>
                <w:szCs w:val="20"/>
                <w:color w:val="auto"/>
              </w:rPr>
            </w:pPr>
            <w:r>
              <w:rPr>
                <w:rFonts w:ascii="Arial" w:cs="Arial" w:eastAsia="Arial" w:hAnsi="Arial"/>
                <w:sz w:val="13"/>
                <w:szCs w:val="13"/>
                <w:color w:val="auto"/>
              </w:rPr>
              <w:t>Non-cash movements</w:t>
            </w: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(7,200)</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(7,200)</w:t>
            </w:r>
          </w:p>
        </w:tc>
        <w:tc>
          <w:tcPr>
            <w:tcW w:w="3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w:t>
            </w: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ind w:left="680"/>
              <w:spacing w:after="0"/>
              <w:rPr>
                <w:sz w:val="20"/>
                <w:szCs w:val="20"/>
                <w:color w:val="auto"/>
              </w:rPr>
            </w:pPr>
            <w:r>
              <w:rPr>
                <w:rFonts w:ascii="Arial" w:cs="Arial" w:eastAsia="Arial" w:hAnsi="Arial"/>
                <w:sz w:val="13"/>
                <w:szCs w:val="13"/>
                <w:color w:val="auto"/>
              </w:rPr>
              <w:t>(17)</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w:t>
            </w: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(222)</w:t>
            </w: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(1,800)</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(2,022)</w:t>
            </w:r>
          </w:p>
        </w:tc>
        <w:tc>
          <w:tcPr>
            <w:tcW w:w="0" w:type="dxa"/>
            <w:vAlign w:val="bottom"/>
          </w:tcPr>
          <w:p>
            <w:pPr>
              <w:spacing w:after="0"/>
              <w:rPr>
                <w:sz w:val="1"/>
                <w:szCs w:val="1"/>
                <w:color w:val="auto"/>
              </w:rPr>
            </w:pPr>
          </w:p>
        </w:tc>
      </w:tr>
      <w:tr>
        <w:trPr>
          <w:trHeight w:val="194"/>
        </w:trPr>
        <w:tc>
          <w:tcPr>
            <w:tcW w:w="2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Ending balance</w:t>
            </w:r>
          </w:p>
        </w:tc>
        <w:tc>
          <w:tcPr>
            <w:tcW w:w="340" w:type="dxa"/>
            <w:vAlign w:val="bottom"/>
            <w:tcBorders>
              <w:bottom w:val="single" w:sz="8" w:color="auto"/>
            </w:tcBorders>
            <w:shd w:val="clear" w:color="auto" w:fill="DBDBDB"/>
          </w:tcPr>
          <w:p>
            <w:pPr>
              <w:jc w:val="right"/>
              <w:ind w:right="194"/>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475</w:t>
            </w:r>
          </w:p>
        </w:tc>
        <w:tc>
          <w:tcPr>
            <w:tcW w:w="260" w:type="dxa"/>
            <w:vAlign w:val="bottom"/>
            <w:tcBorders>
              <w:bottom w:val="single" w:sz="8" w:color="auto"/>
            </w:tcBorders>
            <w:shd w:val="clear" w:color="auto" w:fill="DBDBDB"/>
          </w:tcPr>
          <w:p>
            <w:pPr>
              <w:jc w:val="right"/>
              <w:ind w:right="94"/>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475</w:t>
            </w:r>
          </w:p>
        </w:tc>
        <w:tc>
          <w:tcPr>
            <w:tcW w:w="3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1,750</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shd w:val="clear" w:color="auto" w:fill="DBDBDB"/>
          </w:tcPr>
          <w:p>
            <w:pPr>
              <w:ind w:left="740"/>
              <w:spacing w:after="0"/>
              <w:rPr>
                <w:sz w:val="20"/>
                <w:szCs w:val="20"/>
                <w:color w:val="auto"/>
              </w:rPr>
            </w:pPr>
            <w:r>
              <w:rPr>
                <w:rFonts w:ascii="Arial" w:cs="Arial" w:eastAsia="Arial" w:hAnsi="Arial"/>
                <w:sz w:val="13"/>
                <w:szCs w:val="13"/>
                <w:color w:val="auto"/>
              </w:rPr>
              <w:t>— $</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1,750</w:t>
            </w:r>
          </w:p>
        </w:tc>
        <w:tc>
          <w:tcPr>
            <w:tcW w:w="3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447</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gridSpan w:val="2"/>
            <w:shd w:val="clear" w:color="auto" w:fill="DBDBDB"/>
          </w:tcPr>
          <w:p>
            <w:pPr>
              <w:jc w:val="right"/>
              <w:ind w:right="74"/>
              <w:spacing w:after="0"/>
              <w:rPr>
                <w:sz w:val="20"/>
                <w:szCs w:val="20"/>
                <w:color w:val="auto"/>
              </w:rPr>
            </w:pPr>
            <w:r>
              <w:rPr>
                <w:rFonts w:ascii="Arial" w:cs="Arial" w:eastAsia="Arial" w:hAnsi="Arial"/>
                <w:sz w:val="13"/>
                <w:szCs w:val="13"/>
                <w:color w:val="auto"/>
              </w:rPr>
              <w:t>— $</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447</w:t>
            </w:r>
          </w:p>
        </w:tc>
        <w:tc>
          <w:tcPr>
            <w:tcW w:w="0" w:type="dxa"/>
            <w:vAlign w:val="bottom"/>
          </w:tcPr>
          <w:p>
            <w:pPr>
              <w:spacing w:after="0"/>
              <w:rPr>
                <w:sz w:val="1"/>
                <w:szCs w:val="1"/>
                <w:color w:val="auto"/>
              </w:rPr>
            </w:pPr>
          </w:p>
        </w:tc>
      </w:tr>
      <w:tr>
        <w:trPr>
          <w:trHeight w:val="20"/>
        </w:trPr>
        <w:tc>
          <w:tcPr>
            <w:tcW w:w="27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720" w:type="dxa"/>
            <w:vAlign w:val="bottom"/>
            <w:tcBorders>
              <w:top w:val="single" w:sz="8" w:color="DBDBDB"/>
              <w:bottom w:val="single" w:sz="8" w:color="auto"/>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70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7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4" w:lineRule="exact"/>
        <w:rPr>
          <w:sz w:val="20"/>
          <w:szCs w:val="20"/>
          <w:color w:val="auto"/>
        </w:rPr>
      </w:pPr>
    </w:p>
    <w:p>
      <w:pPr>
        <w:ind w:firstLine="7"/>
        <w:spacing w:after="0" w:line="235" w:lineRule="auto"/>
        <w:tabs>
          <w:tab w:leader="none" w:pos="177" w:val="left"/>
        </w:tabs>
        <w:numPr>
          <w:ilvl w:val="0"/>
          <w:numId w:val="35"/>
        </w:numPr>
        <w:rPr>
          <w:rFonts w:ascii="Arial" w:cs="Arial" w:eastAsia="Arial" w:hAnsi="Arial"/>
          <w:sz w:val="12"/>
          <w:szCs w:val="12"/>
          <w:color w:val="auto"/>
        </w:rPr>
      </w:pPr>
      <w:r>
        <w:rPr>
          <w:rFonts w:ascii="Arial" w:cs="Arial" w:eastAsia="Arial" w:hAnsi="Arial"/>
          <w:sz w:val="12"/>
          <w:szCs w:val="12"/>
          <w:color w:val="auto"/>
        </w:rPr>
        <w:t>As a result of the adoption of ASC 842, the January 1, 2019 restructuring liability attributable to “cease-use” locations was reclassified to operating lease assets and 2019 costs related to the termination of leases for duplicative branches and corporate facilities are now recorded in lease impairment charges and other related costs.</w:t>
      </w:r>
    </w:p>
    <w:p>
      <w:pPr>
        <w:spacing w:after="0" w:line="66" w:lineRule="exact"/>
        <w:rPr>
          <w:sz w:val="20"/>
          <w:szCs w:val="20"/>
          <w:color w:val="auto"/>
        </w:rPr>
      </w:pPr>
    </w:p>
    <w:p>
      <w:pPr>
        <w:jc w:val="both"/>
        <w:ind w:firstLine="524"/>
        <w:spacing w:after="0" w:line="232" w:lineRule="auto"/>
        <w:rPr>
          <w:sz w:val="20"/>
          <w:szCs w:val="20"/>
          <w:color w:val="auto"/>
        </w:rPr>
      </w:pPr>
      <w:r>
        <w:rPr>
          <w:rFonts w:ascii="Arial" w:cs="Arial" w:eastAsia="Arial" w:hAnsi="Arial"/>
          <w:sz w:val="13"/>
          <w:szCs w:val="13"/>
          <w:color w:val="auto"/>
        </w:rPr>
        <w:t>The restructuring charges for the year ended December 31, 2021 are driven by employee termination costs as a result of the elimination of positions due to the Merger. The restructuring charges for the year ended December 31, 2020, are driven by termination costs as a result of elimination of positions due to the Merger and reductions in force as a result of COVID-19. The restructuring charges in 2019 relate to the Company initiating certain restructuring plans associated with previous acquisitions in order to capture operating synergies as a result of integrating the acquirees into WillScot. The restructuring activities primarily include the termination of employees in connection with the consolidation of overlapping facilities and functions within our existing business.</w:t>
      </w:r>
    </w:p>
    <w:p>
      <w:pPr>
        <w:spacing w:after="0" w:line="42"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The restructuring non-cash movements for the year ended December 31, 2021 primarily represent stock compensation costs recognized as a result of the modification of certain equity awards associated with the Transition, Separation and Release Agreement entered into on February 25, 2021 with the Company's former President and Chief Operating Officer.</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Segments </w:t>
      </w:r>
      <w:r>
        <w:rPr>
          <w:rFonts w:ascii="Arial" w:cs="Arial" w:eastAsia="Arial" w:hAnsi="Arial"/>
          <w:sz w:val="13"/>
          <w:szCs w:val="13"/>
          <w:color w:val="auto"/>
        </w:rPr>
        <w:t>(as defined in Note 18)</w:t>
      </w:r>
    </w:p>
    <w:p>
      <w:pPr>
        <w:spacing w:after="0" w:line="63"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The $11.9 million of restructuring charges for the year ended December 31, 2021 included: $1.4 million of charges pertaining to the NA Modular segment; $3.3 million of charges related to the NA Storage segment; and $7.2 million of unallocated charges.</w:t>
      </w:r>
    </w:p>
    <w:p>
      <w:pPr>
        <w:spacing w:after="0" w:line="31"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The $6.5 million of restructuring charges for the year ended December 31, 2020 included: $2.1 million of charges pertaining to the NA Modular Segment; $4.0 million of charges related to the NA Storage Segment; and $0.4 million of charges related to the UK Storage Segment.</w:t>
      </w:r>
    </w:p>
    <w:p>
      <w:pPr>
        <w:spacing w:after="0" w:line="31"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$3.8 million of restructuring charges for the year ended December 31, 2019 included charges pertaining to the NA Modular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07" w:name="page108"/>
    <w:bookmarkEnd w:id="107"/>
    <w:p>
      <w:pPr>
        <w:spacing w:after="0"/>
        <w:rPr>
          <w:sz w:val="20"/>
          <w:szCs w:val="20"/>
          <w:color w:val="auto"/>
        </w:rPr>
      </w:pPr>
      <w:r>
        <w:rPr>
          <w:rFonts w:ascii="Arial" w:cs="Arial" w:eastAsia="Arial" w:hAnsi="Arial"/>
          <w:sz w:val="19"/>
          <w:szCs w:val="19"/>
          <w:color w:val="1D2758"/>
        </w:rPr>
        <w:t>NOTE 16 - Stock-Based Compensation</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Restricted Stock Awards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80" w:type="dxa"/>
            <w:vAlign w:val="bottom"/>
          </w:tcPr>
          <w:p>
            <w:pPr>
              <w:ind w:left="540"/>
              <w:spacing w:after="0"/>
              <w:rPr>
                <w:sz w:val="20"/>
                <w:szCs w:val="20"/>
                <w:color w:val="auto"/>
              </w:rPr>
            </w:pPr>
            <w:r>
              <w:rPr>
                <w:rFonts w:ascii="Arial" w:cs="Arial" w:eastAsia="Arial" w:hAnsi="Arial"/>
                <w:sz w:val="13"/>
                <w:szCs w:val="13"/>
                <w:color w:val="auto"/>
              </w:rPr>
              <w:t>The</w:t>
            </w:r>
          </w:p>
        </w:tc>
        <w:tc>
          <w:tcPr>
            <w:tcW w:w="760" w:type="dxa"/>
            <w:vAlign w:val="bottom"/>
          </w:tcPr>
          <w:p>
            <w:pPr>
              <w:ind w:left="140"/>
              <w:spacing w:after="0"/>
              <w:rPr>
                <w:sz w:val="20"/>
                <w:szCs w:val="20"/>
                <w:color w:val="auto"/>
              </w:rPr>
            </w:pPr>
            <w:r>
              <w:rPr>
                <w:rFonts w:ascii="Arial" w:cs="Arial" w:eastAsia="Arial" w:hAnsi="Arial"/>
                <w:sz w:val="13"/>
                <w:szCs w:val="13"/>
                <w:color w:val="auto"/>
              </w:rPr>
              <w:t>following</w:t>
            </w:r>
          </w:p>
        </w:tc>
        <w:tc>
          <w:tcPr>
            <w:tcW w:w="640" w:type="dxa"/>
            <w:vAlign w:val="bottom"/>
          </w:tcPr>
          <w:p>
            <w:pPr>
              <w:ind w:left="140"/>
              <w:spacing w:after="0"/>
              <w:rPr>
                <w:sz w:val="20"/>
                <w:szCs w:val="20"/>
                <w:color w:val="auto"/>
              </w:rPr>
            </w:pPr>
            <w:r>
              <w:rPr>
                <w:rFonts w:ascii="Arial" w:cs="Arial" w:eastAsia="Arial" w:hAnsi="Arial"/>
                <w:sz w:val="13"/>
                <w:szCs w:val="13"/>
                <w:color w:val="auto"/>
              </w:rPr>
              <w:t>table</w:t>
            </w:r>
          </w:p>
        </w:tc>
        <w:tc>
          <w:tcPr>
            <w:tcW w:w="880" w:type="dxa"/>
            <w:vAlign w:val="bottom"/>
          </w:tcPr>
          <w:p>
            <w:pPr>
              <w:ind w:left="40"/>
              <w:spacing w:after="0"/>
              <w:rPr>
                <w:sz w:val="20"/>
                <w:szCs w:val="20"/>
                <w:color w:val="auto"/>
              </w:rPr>
            </w:pPr>
            <w:r>
              <w:rPr>
                <w:rFonts w:ascii="Arial" w:cs="Arial" w:eastAsia="Arial" w:hAnsi="Arial"/>
                <w:sz w:val="13"/>
                <w:szCs w:val="13"/>
                <w:color w:val="auto"/>
              </w:rPr>
              <w:t>summarizes</w:t>
            </w:r>
          </w:p>
        </w:tc>
        <w:tc>
          <w:tcPr>
            <w:tcW w:w="420" w:type="dxa"/>
            <w:vAlign w:val="bottom"/>
          </w:tcPr>
          <w:p>
            <w:pPr>
              <w:ind w:left="120"/>
              <w:spacing w:after="0"/>
              <w:rPr>
                <w:sz w:val="20"/>
                <w:szCs w:val="20"/>
                <w:color w:val="auto"/>
              </w:rPr>
            </w:pPr>
            <w:r>
              <w:rPr>
                <w:rFonts w:ascii="Arial" w:cs="Arial" w:eastAsia="Arial" w:hAnsi="Arial"/>
                <w:sz w:val="13"/>
                <w:szCs w:val="13"/>
                <w:color w:val="auto"/>
              </w:rPr>
              <w:t>the</w:t>
            </w:r>
          </w:p>
        </w:tc>
        <w:tc>
          <w:tcPr>
            <w:tcW w:w="920" w:type="dxa"/>
            <w:vAlign w:val="bottom"/>
          </w:tcPr>
          <w:p>
            <w:pPr>
              <w:ind w:left="140"/>
              <w:spacing w:after="0"/>
              <w:rPr>
                <w:sz w:val="20"/>
                <w:szCs w:val="20"/>
                <w:color w:val="auto"/>
              </w:rPr>
            </w:pPr>
            <w:r>
              <w:rPr>
                <w:rFonts w:ascii="Arial" w:cs="Arial" w:eastAsia="Arial" w:hAnsi="Arial"/>
                <w:sz w:val="13"/>
                <w:szCs w:val="13"/>
                <w:color w:val="auto"/>
              </w:rPr>
              <w:t>Company's</w:t>
            </w:r>
          </w:p>
        </w:tc>
        <w:tc>
          <w:tcPr>
            <w:tcW w:w="520" w:type="dxa"/>
            <w:vAlign w:val="bottom"/>
          </w:tcPr>
          <w:p>
            <w:pPr>
              <w:ind w:left="120"/>
              <w:spacing w:after="0"/>
              <w:rPr>
                <w:sz w:val="20"/>
                <w:szCs w:val="20"/>
                <w:color w:val="auto"/>
              </w:rPr>
            </w:pPr>
            <w:r>
              <w:rPr>
                <w:rFonts w:ascii="Arial" w:cs="Arial" w:eastAsia="Arial" w:hAnsi="Arial"/>
                <w:sz w:val="13"/>
                <w:szCs w:val="13"/>
                <w:color w:val="auto"/>
              </w:rPr>
              <w:t>RSA</w:t>
            </w:r>
          </w:p>
        </w:tc>
        <w:tc>
          <w:tcPr>
            <w:tcW w:w="660" w:type="dxa"/>
            <w:vAlign w:val="bottom"/>
          </w:tcPr>
          <w:p>
            <w:pPr>
              <w:ind w:left="120"/>
              <w:spacing w:after="0"/>
              <w:rPr>
                <w:sz w:val="20"/>
                <w:szCs w:val="20"/>
                <w:color w:val="auto"/>
              </w:rPr>
            </w:pPr>
            <w:r>
              <w:rPr>
                <w:rFonts w:ascii="Arial" w:cs="Arial" w:eastAsia="Arial" w:hAnsi="Arial"/>
                <w:sz w:val="13"/>
                <w:szCs w:val="13"/>
                <w:color w:val="auto"/>
              </w:rPr>
              <w:t>activity</w:t>
            </w:r>
          </w:p>
        </w:tc>
        <w:tc>
          <w:tcPr>
            <w:tcW w:w="620" w:type="dxa"/>
            <w:vAlign w:val="bottom"/>
          </w:tcPr>
          <w:p>
            <w:pPr>
              <w:ind w:left="120"/>
              <w:spacing w:after="0"/>
              <w:rPr>
                <w:sz w:val="20"/>
                <w:szCs w:val="20"/>
                <w:color w:val="auto"/>
              </w:rPr>
            </w:pPr>
            <w:r>
              <w:rPr>
                <w:rFonts w:ascii="Arial" w:cs="Arial" w:eastAsia="Arial" w:hAnsi="Arial"/>
                <w:sz w:val="13"/>
                <w:szCs w:val="13"/>
                <w:color w:val="auto"/>
              </w:rPr>
              <w:t>during</w:t>
            </w:r>
          </w:p>
        </w:tc>
        <w:tc>
          <w:tcPr>
            <w:tcW w:w="440" w:type="dxa"/>
            <w:vAlign w:val="bottom"/>
          </w:tcPr>
          <w:p>
            <w:pPr>
              <w:ind w:left="120"/>
              <w:spacing w:after="0"/>
              <w:rPr>
                <w:sz w:val="20"/>
                <w:szCs w:val="20"/>
                <w:color w:val="auto"/>
              </w:rPr>
            </w:pPr>
            <w:r>
              <w:rPr>
                <w:rFonts w:ascii="Arial" w:cs="Arial" w:eastAsia="Arial" w:hAnsi="Arial"/>
                <w:sz w:val="13"/>
                <w:szCs w:val="13"/>
                <w:color w:val="auto"/>
              </w:rPr>
              <w:t>the</w:t>
            </w:r>
          </w:p>
        </w:tc>
        <w:tc>
          <w:tcPr>
            <w:tcW w:w="620" w:type="dxa"/>
            <w:vAlign w:val="bottom"/>
          </w:tcPr>
          <w:p>
            <w:pPr>
              <w:ind w:left="120"/>
              <w:spacing w:after="0"/>
              <w:rPr>
                <w:sz w:val="20"/>
                <w:szCs w:val="20"/>
                <w:color w:val="auto"/>
              </w:rPr>
            </w:pPr>
            <w:r>
              <w:rPr>
                <w:rFonts w:ascii="Arial" w:cs="Arial" w:eastAsia="Arial" w:hAnsi="Arial"/>
                <w:sz w:val="13"/>
                <w:szCs w:val="13"/>
                <w:color w:val="auto"/>
              </w:rPr>
              <w:t>years</w:t>
            </w:r>
          </w:p>
        </w:tc>
        <w:tc>
          <w:tcPr>
            <w:tcW w:w="520" w:type="dxa"/>
            <w:vAlign w:val="bottom"/>
          </w:tcPr>
          <w:p>
            <w:pPr>
              <w:ind w:left="80"/>
              <w:spacing w:after="0"/>
              <w:rPr>
                <w:sz w:val="20"/>
                <w:szCs w:val="20"/>
                <w:color w:val="auto"/>
              </w:rPr>
            </w:pPr>
            <w:r>
              <w:rPr>
                <w:rFonts w:ascii="Arial" w:cs="Arial" w:eastAsia="Arial" w:hAnsi="Arial"/>
                <w:sz w:val="13"/>
                <w:szCs w:val="13"/>
                <w:color w:val="auto"/>
              </w:rPr>
              <w:t>ended</w:t>
            </w:r>
          </w:p>
        </w:tc>
        <w:tc>
          <w:tcPr>
            <w:tcW w:w="980" w:type="dxa"/>
            <w:vAlign w:val="bottom"/>
          </w:tcPr>
          <w:p>
            <w:pPr>
              <w:ind w:left="180"/>
              <w:spacing w:after="0"/>
              <w:rPr>
                <w:sz w:val="20"/>
                <w:szCs w:val="20"/>
                <w:color w:val="auto"/>
              </w:rPr>
            </w:pPr>
            <w:r>
              <w:rPr>
                <w:rFonts w:ascii="Arial" w:cs="Arial" w:eastAsia="Arial" w:hAnsi="Arial"/>
                <w:sz w:val="13"/>
                <w:szCs w:val="13"/>
                <w:color w:val="auto"/>
              </w:rPr>
              <w:t>December</w:t>
            </w: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rPr>
              <w:t>31,</w:t>
            </w:r>
          </w:p>
        </w:tc>
        <w:tc>
          <w:tcPr>
            <w:tcW w:w="500" w:type="dxa"/>
            <w:vAlign w:val="bottom"/>
          </w:tcPr>
          <w:p>
            <w:pPr>
              <w:jc w:val="right"/>
              <w:spacing w:after="0"/>
              <w:rPr>
                <w:sz w:val="20"/>
                <w:szCs w:val="20"/>
                <w:color w:val="auto"/>
              </w:rPr>
            </w:pPr>
            <w:r>
              <w:rPr>
                <w:rFonts w:ascii="Arial" w:cs="Arial" w:eastAsia="Arial" w:hAnsi="Arial"/>
                <w:sz w:val="13"/>
                <w:szCs w:val="13"/>
                <w:color w:val="auto"/>
              </w:rPr>
              <w:t>2021,</w:t>
            </w:r>
          </w:p>
        </w:tc>
        <w:tc>
          <w:tcPr>
            <w:tcW w:w="640" w:type="dxa"/>
            <w:vAlign w:val="bottom"/>
          </w:tcPr>
          <w:p>
            <w:pPr>
              <w:jc w:val="right"/>
              <w:ind w:right="74"/>
              <w:spacing w:after="0"/>
              <w:rPr>
                <w:sz w:val="20"/>
                <w:szCs w:val="20"/>
                <w:color w:val="auto"/>
              </w:rPr>
            </w:pPr>
            <w:r>
              <w:rPr>
                <w:rFonts w:ascii="Arial" w:cs="Arial" w:eastAsia="Arial" w:hAnsi="Arial"/>
                <w:sz w:val="13"/>
                <w:szCs w:val="13"/>
                <w:color w:val="auto"/>
              </w:rPr>
              <w:t>2020</w:t>
            </w:r>
          </w:p>
        </w:tc>
        <w:tc>
          <w:tcPr>
            <w:tcW w:w="440" w:type="dxa"/>
            <w:vAlign w:val="bottom"/>
          </w:tcPr>
          <w:p>
            <w:pPr>
              <w:ind w:left="120"/>
              <w:spacing w:after="0"/>
              <w:rPr>
                <w:sz w:val="20"/>
                <w:szCs w:val="20"/>
                <w:color w:val="auto"/>
              </w:rPr>
            </w:pPr>
            <w:r>
              <w:rPr>
                <w:rFonts w:ascii="Arial" w:cs="Arial" w:eastAsia="Arial" w:hAnsi="Arial"/>
                <w:sz w:val="13"/>
                <w:szCs w:val="13"/>
                <w:color w:val="auto"/>
              </w:rPr>
              <w:t>and</w:t>
            </w:r>
          </w:p>
        </w:tc>
        <w:tc>
          <w:tcPr>
            <w:tcW w:w="480" w:type="dxa"/>
            <w:vAlign w:val="bottom"/>
          </w:tcPr>
          <w:p>
            <w:pPr>
              <w:jc w:val="right"/>
              <w:spacing w:after="0"/>
              <w:rPr>
                <w:sz w:val="20"/>
                <w:szCs w:val="20"/>
                <w:color w:val="auto"/>
              </w:rPr>
            </w:pPr>
            <w:r>
              <w:rPr>
                <w:rFonts w:ascii="Arial" w:cs="Arial" w:eastAsia="Arial" w:hAnsi="Arial"/>
                <w:sz w:val="13"/>
                <w:szCs w:val="13"/>
                <w:color w:val="auto"/>
              </w:rPr>
              <w:t>2019:</w:t>
            </w:r>
          </w:p>
        </w:tc>
      </w:tr>
      <w:tr>
        <w:trPr>
          <w:trHeight w:val="139"/>
        </w:trPr>
        <w:tc>
          <w:tcPr>
            <w:tcW w:w="880" w:type="dxa"/>
            <w:vAlign w:val="bottom"/>
            <w:shd w:val="clear" w:color="auto" w:fill="1D2758"/>
          </w:tcPr>
          <w:p>
            <w:pPr>
              <w:spacing w:after="0"/>
              <w:rPr>
                <w:sz w:val="12"/>
                <w:szCs w:val="12"/>
                <w:color w:val="auto"/>
              </w:rPr>
            </w:pPr>
          </w:p>
        </w:tc>
        <w:tc>
          <w:tcPr>
            <w:tcW w:w="760" w:type="dxa"/>
            <w:vAlign w:val="bottom"/>
            <w:shd w:val="clear" w:color="auto" w:fill="1D2758"/>
          </w:tcPr>
          <w:p>
            <w:pPr>
              <w:spacing w:after="0"/>
              <w:rPr>
                <w:sz w:val="12"/>
                <w:szCs w:val="12"/>
                <w:color w:val="auto"/>
              </w:rPr>
            </w:pPr>
          </w:p>
        </w:tc>
        <w:tc>
          <w:tcPr>
            <w:tcW w:w="640" w:type="dxa"/>
            <w:vAlign w:val="bottom"/>
            <w:shd w:val="clear" w:color="auto" w:fill="1D2758"/>
          </w:tcPr>
          <w:p>
            <w:pPr>
              <w:spacing w:after="0"/>
              <w:rPr>
                <w:sz w:val="12"/>
                <w:szCs w:val="12"/>
                <w:color w:val="auto"/>
              </w:rPr>
            </w:pPr>
          </w:p>
        </w:tc>
        <w:tc>
          <w:tcPr>
            <w:tcW w:w="880" w:type="dxa"/>
            <w:vAlign w:val="bottom"/>
            <w:shd w:val="clear" w:color="auto" w:fill="1D2758"/>
          </w:tcPr>
          <w:p>
            <w:pPr>
              <w:spacing w:after="0"/>
              <w:rPr>
                <w:sz w:val="12"/>
                <w:szCs w:val="12"/>
                <w:color w:val="auto"/>
              </w:rPr>
            </w:pPr>
          </w:p>
        </w:tc>
        <w:tc>
          <w:tcPr>
            <w:tcW w:w="420" w:type="dxa"/>
            <w:vAlign w:val="bottom"/>
            <w:shd w:val="clear" w:color="auto" w:fill="1D2758"/>
          </w:tcPr>
          <w:p>
            <w:pPr>
              <w:spacing w:after="0"/>
              <w:rPr>
                <w:sz w:val="12"/>
                <w:szCs w:val="12"/>
                <w:color w:val="auto"/>
              </w:rPr>
            </w:pPr>
          </w:p>
        </w:tc>
        <w:tc>
          <w:tcPr>
            <w:tcW w:w="920" w:type="dxa"/>
            <w:vAlign w:val="bottom"/>
            <w:shd w:val="clear" w:color="auto" w:fill="1D2758"/>
          </w:tcPr>
          <w:p>
            <w:pPr>
              <w:spacing w:after="0"/>
              <w:rPr>
                <w:sz w:val="12"/>
                <w:szCs w:val="12"/>
                <w:color w:val="auto"/>
              </w:rPr>
            </w:pPr>
          </w:p>
        </w:tc>
        <w:tc>
          <w:tcPr>
            <w:tcW w:w="520" w:type="dxa"/>
            <w:vAlign w:val="bottom"/>
            <w:shd w:val="clear" w:color="auto" w:fill="1D2758"/>
          </w:tcPr>
          <w:p>
            <w:pPr>
              <w:spacing w:after="0"/>
              <w:rPr>
                <w:sz w:val="12"/>
                <w:szCs w:val="12"/>
                <w:color w:val="auto"/>
              </w:rPr>
            </w:pPr>
          </w:p>
        </w:tc>
        <w:tc>
          <w:tcPr>
            <w:tcW w:w="660" w:type="dxa"/>
            <w:vAlign w:val="bottom"/>
            <w:shd w:val="clear" w:color="auto" w:fill="1D2758"/>
          </w:tcPr>
          <w:p>
            <w:pPr>
              <w:spacing w:after="0"/>
              <w:rPr>
                <w:sz w:val="12"/>
                <w:szCs w:val="12"/>
                <w:color w:val="auto"/>
              </w:rPr>
            </w:pPr>
          </w:p>
        </w:tc>
        <w:tc>
          <w:tcPr>
            <w:tcW w:w="620" w:type="dxa"/>
            <w:vAlign w:val="bottom"/>
            <w:shd w:val="clear" w:color="auto" w:fill="1D2758"/>
          </w:tcPr>
          <w:p>
            <w:pPr>
              <w:spacing w:after="0"/>
              <w:rPr>
                <w:sz w:val="12"/>
                <w:szCs w:val="12"/>
                <w:color w:val="auto"/>
              </w:rPr>
            </w:pPr>
          </w:p>
        </w:tc>
        <w:tc>
          <w:tcPr>
            <w:tcW w:w="440" w:type="dxa"/>
            <w:vAlign w:val="bottom"/>
            <w:shd w:val="clear" w:color="auto" w:fill="1D2758"/>
          </w:tcPr>
          <w:p>
            <w:pPr>
              <w:spacing w:after="0"/>
              <w:rPr>
                <w:sz w:val="12"/>
                <w:szCs w:val="12"/>
                <w:color w:val="auto"/>
              </w:rPr>
            </w:pPr>
          </w:p>
        </w:tc>
        <w:tc>
          <w:tcPr>
            <w:tcW w:w="620" w:type="dxa"/>
            <w:vAlign w:val="bottom"/>
            <w:shd w:val="clear" w:color="auto" w:fill="1D2758"/>
          </w:tcPr>
          <w:p>
            <w:pPr>
              <w:spacing w:after="0"/>
              <w:rPr>
                <w:sz w:val="12"/>
                <w:szCs w:val="12"/>
                <w:color w:val="auto"/>
              </w:rPr>
            </w:pPr>
          </w:p>
        </w:tc>
        <w:tc>
          <w:tcPr>
            <w:tcW w:w="520" w:type="dxa"/>
            <w:vAlign w:val="bottom"/>
            <w:shd w:val="clear" w:color="auto" w:fill="1D2758"/>
          </w:tcPr>
          <w:p>
            <w:pPr>
              <w:spacing w:after="0"/>
              <w:rPr>
                <w:sz w:val="12"/>
                <w:szCs w:val="12"/>
                <w:color w:val="auto"/>
              </w:rPr>
            </w:pPr>
          </w:p>
        </w:tc>
        <w:tc>
          <w:tcPr>
            <w:tcW w:w="980" w:type="dxa"/>
            <w:vAlign w:val="bottom"/>
            <w:shd w:val="clear" w:color="auto" w:fill="1D2758"/>
          </w:tcPr>
          <w:p>
            <w:pPr>
              <w:ind w:left="260"/>
              <w:spacing w:after="0" w:line="139" w:lineRule="exact"/>
              <w:rPr>
                <w:sz w:val="20"/>
                <w:szCs w:val="20"/>
                <w:color w:val="auto"/>
              </w:rPr>
            </w:pPr>
            <w:r>
              <w:rPr>
                <w:rFonts w:ascii="Arial" w:cs="Arial" w:eastAsia="Arial" w:hAnsi="Arial"/>
                <w:sz w:val="13"/>
                <w:szCs w:val="13"/>
                <w:b w:val="1"/>
                <w:bCs w:val="1"/>
                <w:color w:val="FFFFFF"/>
              </w:rPr>
              <w:t>Number of</w:t>
            </w:r>
          </w:p>
        </w:tc>
        <w:tc>
          <w:tcPr>
            <w:tcW w:w="180" w:type="dxa"/>
            <w:vAlign w:val="bottom"/>
            <w:shd w:val="clear" w:color="auto" w:fill="1D2758"/>
          </w:tcPr>
          <w:p>
            <w:pPr>
              <w:spacing w:after="0"/>
              <w:rPr>
                <w:sz w:val="12"/>
                <w:szCs w:val="12"/>
                <w:color w:val="auto"/>
              </w:rPr>
            </w:pPr>
          </w:p>
        </w:tc>
        <w:tc>
          <w:tcPr>
            <w:tcW w:w="180" w:type="dxa"/>
            <w:vAlign w:val="bottom"/>
            <w:shd w:val="clear" w:color="auto" w:fill="1D2758"/>
          </w:tcPr>
          <w:p>
            <w:pPr>
              <w:spacing w:after="0"/>
              <w:rPr>
                <w:sz w:val="12"/>
                <w:szCs w:val="12"/>
                <w:color w:val="auto"/>
              </w:rPr>
            </w:pPr>
          </w:p>
        </w:tc>
        <w:tc>
          <w:tcPr>
            <w:tcW w:w="2060" w:type="dxa"/>
            <w:vAlign w:val="bottom"/>
            <w:gridSpan w:val="4"/>
            <w:shd w:val="clear" w:color="auto" w:fill="1D2758"/>
          </w:tcPr>
          <w:p>
            <w:pPr>
              <w:jc w:val="right"/>
              <w:spacing w:after="0" w:line="139" w:lineRule="exact"/>
              <w:rPr>
                <w:sz w:val="20"/>
                <w:szCs w:val="20"/>
                <w:color w:val="auto"/>
              </w:rPr>
            </w:pPr>
            <w:r>
              <w:rPr>
                <w:rFonts w:ascii="Arial" w:cs="Arial" w:eastAsia="Arial" w:hAnsi="Arial"/>
                <w:sz w:val="13"/>
                <w:szCs w:val="13"/>
                <w:b w:val="1"/>
                <w:bCs w:val="1"/>
                <w:color w:val="FFFFFF"/>
              </w:rPr>
              <w:t>Weighted-Average Grant</w:t>
            </w:r>
          </w:p>
        </w:tc>
      </w:tr>
      <w:tr>
        <w:trPr>
          <w:trHeight w:val="175"/>
        </w:trPr>
        <w:tc>
          <w:tcPr>
            <w:tcW w:w="880" w:type="dxa"/>
            <w:vAlign w:val="bottom"/>
            <w:shd w:val="clear" w:color="auto" w:fill="1D2758"/>
          </w:tcPr>
          <w:p>
            <w:pPr>
              <w:spacing w:after="0"/>
              <w:rPr>
                <w:sz w:val="15"/>
                <w:szCs w:val="15"/>
                <w:color w:val="auto"/>
              </w:rPr>
            </w:pPr>
          </w:p>
        </w:tc>
        <w:tc>
          <w:tcPr>
            <w:tcW w:w="760" w:type="dxa"/>
            <w:vAlign w:val="bottom"/>
            <w:shd w:val="clear" w:color="auto" w:fill="1D2758"/>
          </w:tcPr>
          <w:p>
            <w:pPr>
              <w:spacing w:after="0"/>
              <w:rPr>
                <w:sz w:val="15"/>
                <w:szCs w:val="15"/>
                <w:color w:val="auto"/>
              </w:rPr>
            </w:pPr>
          </w:p>
        </w:tc>
        <w:tc>
          <w:tcPr>
            <w:tcW w:w="640" w:type="dxa"/>
            <w:vAlign w:val="bottom"/>
            <w:shd w:val="clear" w:color="auto" w:fill="1D2758"/>
          </w:tcPr>
          <w:p>
            <w:pPr>
              <w:spacing w:after="0"/>
              <w:rPr>
                <w:sz w:val="15"/>
                <w:szCs w:val="15"/>
                <w:color w:val="auto"/>
              </w:rPr>
            </w:pPr>
          </w:p>
        </w:tc>
        <w:tc>
          <w:tcPr>
            <w:tcW w:w="880" w:type="dxa"/>
            <w:vAlign w:val="bottom"/>
            <w:shd w:val="clear" w:color="auto" w:fill="1D2758"/>
          </w:tcPr>
          <w:p>
            <w:pPr>
              <w:spacing w:after="0"/>
              <w:rPr>
                <w:sz w:val="15"/>
                <w:szCs w:val="15"/>
                <w:color w:val="auto"/>
              </w:rPr>
            </w:pPr>
          </w:p>
        </w:tc>
        <w:tc>
          <w:tcPr>
            <w:tcW w:w="420" w:type="dxa"/>
            <w:vAlign w:val="bottom"/>
            <w:shd w:val="clear" w:color="auto" w:fill="1D2758"/>
          </w:tcPr>
          <w:p>
            <w:pPr>
              <w:spacing w:after="0"/>
              <w:rPr>
                <w:sz w:val="15"/>
                <w:szCs w:val="15"/>
                <w:color w:val="auto"/>
              </w:rPr>
            </w:pPr>
          </w:p>
        </w:tc>
        <w:tc>
          <w:tcPr>
            <w:tcW w:w="920" w:type="dxa"/>
            <w:vAlign w:val="bottom"/>
            <w:shd w:val="clear" w:color="auto" w:fill="1D2758"/>
          </w:tcPr>
          <w:p>
            <w:pPr>
              <w:spacing w:after="0"/>
              <w:rPr>
                <w:sz w:val="15"/>
                <w:szCs w:val="15"/>
                <w:color w:val="auto"/>
              </w:rPr>
            </w:pPr>
          </w:p>
        </w:tc>
        <w:tc>
          <w:tcPr>
            <w:tcW w:w="520" w:type="dxa"/>
            <w:vAlign w:val="bottom"/>
            <w:shd w:val="clear" w:color="auto" w:fill="1D2758"/>
          </w:tcPr>
          <w:p>
            <w:pPr>
              <w:spacing w:after="0"/>
              <w:rPr>
                <w:sz w:val="15"/>
                <w:szCs w:val="15"/>
                <w:color w:val="auto"/>
              </w:rPr>
            </w:pPr>
          </w:p>
        </w:tc>
        <w:tc>
          <w:tcPr>
            <w:tcW w:w="660" w:type="dxa"/>
            <w:vAlign w:val="bottom"/>
            <w:shd w:val="clear" w:color="auto" w:fill="1D2758"/>
          </w:tcPr>
          <w:p>
            <w:pPr>
              <w:spacing w:after="0"/>
              <w:rPr>
                <w:sz w:val="15"/>
                <w:szCs w:val="15"/>
                <w:color w:val="auto"/>
              </w:rPr>
            </w:pPr>
          </w:p>
        </w:tc>
        <w:tc>
          <w:tcPr>
            <w:tcW w:w="620" w:type="dxa"/>
            <w:vAlign w:val="bottom"/>
            <w:shd w:val="clear" w:color="auto" w:fill="1D2758"/>
          </w:tcPr>
          <w:p>
            <w:pPr>
              <w:spacing w:after="0"/>
              <w:rPr>
                <w:sz w:val="15"/>
                <w:szCs w:val="15"/>
                <w:color w:val="auto"/>
              </w:rPr>
            </w:pPr>
          </w:p>
        </w:tc>
        <w:tc>
          <w:tcPr>
            <w:tcW w:w="440" w:type="dxa"/>
            <w:vAlign w:val="bottom"/>
            <w:shd w:val="clear" w:color="auto" w:fill="1D2758"/>
          </w:tcPr>
          <w:p>
            <w:pPr>
              <w:spacing w:after="0"/>
              <w:rPr>
                <w:sz w:val="15"/>
                <w:szCs w:val="15"/>
                <w:color w:val="auto"/>
              </w:rPr>
            </w:pPr>
          </w:p>
        </w:tc>
        <w:tc>
          <w:tcPr>
            <w:tcW w:w="620" w:type="dxa"/>
            <w:vAlign w:val="bottom"/>
            <w:shd w:val="clear" w:color="auto" w:fill="1D2758"/>
          </w:tcPr>
          <w:p>
            <w:pPr>
              <w:spacing w:after="0"/>
              <w:rPr>
                <w:sz w:val="15"/>
                <w:szCs w:val="15"/>
                <w:color w:val="auto"/>
              </w:rPr>
            </w:pPr>
          </w:p>
        </w:tc>
        <w:tc>
          <w:tcPr>
            <w:tcW w:w="520" w:type="dxa"/>
            <w:vAlign w:val="bottom"/>
            <w:shd w:val="clear" w:color="auto" w:fill="1D2758"/>
          </w:tcPr>
          <w:p>
            <w:pPr>
              <w:spacing w:after="0"/>
              <w:rPr>
                <w:sz w:val="15"/>
                <w:szCs w:val="15"/>
                <w:color w:val="auto"/>
              </w:rPr>
            </w:pPr>
          </w:p>
        </w:tc>
        <w:tc>
          <w:tcPr>
            <w:tcW w:w="980" w:type="dxa"/>
            <w:vAlign w:val="bottom"/>
            <w:shd w:val="clear" w:color="auto" w:fill="1D2758"/>
          </w:tcPr>
          <w:p>
            <w:pPr>
              <w:ind w:left="100"/>
              <w:spacing w:after="0"/>
              <w:rPr>
                <w:sz w:val="20"/>
                <w:szCs w:val="20"/>
                <w:color w:val="auto"/>
              </w:rPr>
            </w:pPr>
            <w:r>
              <w:rPr>
                <w:rFonts w:ascii="Arial" w:cs="Arial" w:eastAsia="Arial" w:hAnsi="Arial"/>
                <w:sz w:val="13"/>
                <w:szCs w:val="13"/>
                <w:b w:val="1"/>
                <w:bCs w:val="1"/>
                <w:color w:val="FFFFFF"/>
              </w:rPr>
              <w:t>Shares</w:t>
            </w:r>
          </w:p>
        </w:tc>
        <w:tc>
          <w:tcPr>
            <w:tcW w:w="180" w:type="dxa"/>
            <w:vAlign w:val="bottom"/>
            <w:shd w:val="clear" w:color="auto" w:fill="1D2758"/>
          </w:tcPr>
          <w:p>
            <w:pPr>
              <w:spacing w:after="0"/>
              <w:rPr>
                <w:sz w:val="15"/>
                <w:szCs w:val="15"/>
                <w:color w:val="auto"/>
              </w:rPr>
            </w:pPr>
          </w:p>
        </w:tc>
        <w:tc>
          <w:tcPr>
            <w:tcW w:w="180" w:type="dxa"/>
            <w:vAlign w:val="bottom"/>
            <w:shd w:val="clear" w:color="auto" w:fill="1D2758"/>
          </w:tcPr>
          <w:p>
            <w:pPr>
              <w:spacing w:after="0"/>
              <w:rPr>
                <w:sz w:val="15"/>
                <w:szCs w:val="15"/>
                <w:color w:val="auto"/>
              </w:rPr>
            </w:pPr>
          </w:p>
        </w:tc>
        <w:tc>
          <w:tcPr>
            <w:tcW w:w="500" w:type="dxa"/>
            <w:vAlign w:val="bottom"/>
            <w:shd w:val="clear" w:color="auto" w:fill="1D2758"/>
          </w:tcPr>
          <w:p>
            <w:pPr>
              <w:spacing w:after="0"/>
              <w:rPr>
                <w:sz w:val="15"/>
                <w:szCs w:val="15"/>
                <w:color w:val="auto"/>
              </w:rPr>
            </w:pPr>
          </w:p>
        </w:tc>
        <w:tc>
          <w:tcPr>
            <w:tcW w:w="1080" w:type="dxa"/>
            <w:vAlign w:val="bottom"/>
            <w:gridSpan w:val="2"/>
            <w:shd w:val="clear" w:color="auto" w:fill="1D2758"/>
          </w:tcPr>
          <w:p>
            <w:pPr>
              <w:spacing w:after="0"/>
              <w:rPr>
                <w:sz w:val="20"/>
                <w:szCs w:val="20"/>
                <w:color w:val="auto"/>
              </w:rPr>
            </w:pPr>
            <w:r>
              <w:rPr>
                <w:rFonts w:ascii="Arial" w:cs="Arial" w:eastAsia="Arial" w:hAnsi="Arial"/>
                <w:sz w:val="13"/>
                <w:szCs w:val="13"/>
                <w:b w:val="1"/>
                <w:bCs w:val="1"/>
                <w:color w:val="FFFFFF"/>
              </w:rPr>
              <w:t>Date Fair Value</w:t>
            </w:r>
          </w:p>
        </w:tc>
        <w:tc>
          <w:tcPr>
            <w:tcW w:w="480" w:type="dxa"/>
            <w:vAlign w:val="bottom"/>
            <w:shd w:val="clear" w:color="auto" w:fill="1D2758"/>
          </w:tcPr>
          <w:p>
            <w:pPr>
              <w:spacing w:after="0"/>
              <w:rPr>
                <w:sz w:val="15"/>
                <w:szCs w:val="15"/>
                <w:color w:val="auto"/>
              </w:rPr>
            </w:pPr>
          </w:p>
        </w:tc>
      </w:tr>
      <w:tr>
        <w:trPr>
          <w:trHeight w:val="175"/>
        </w:trPr>
        <w:tc>
          <w:tcPr>
            <w:tcW w:w="2280" w:type="dxa"/>
            <w:vAlign w:val="bottom"/>
            <w:gridSpan w:val="3"/>
            <w:shd w:val="clear" w:color="auto" w:fill="DDDDDD"/>
          </w:tcPr>
          <w:p>
            <w:pPr>
              <w:ind w:left="540"/>
              <w:spacing w:after="0"/>
              <w:rPr>
                <w:sz w:val="20"/>
                <w:szCs w:val="20"/>
                <w:color w:val="auto"/>
              </w:rPr>
            </w:pPr>
            <w:r>
              <w:rPr>
                <w:rFonts w:ascii="Arial" w:cs="Arial" w:eastAsia="Arial" w:hAnsi="Arial"/>
                <w:sz w:val="13"/>
                <w:szCs w:val="13"/>
                <w:color w:val="auto"/>
              </w:rPr>
              <w:t>Balance, December 31, 2018</w:t>
            </w:r>
          </w:p>
        </w:tc>
        <w:tc>
          <w:tcPr>
            <w:tcW w:w="880" w:type="dxa"/>
            <w:vAlign w:val="bottom"/>
            <w:shd w:val="clear" w:color="auto" w:fill="DDDDDD"/>
          </w:tcPr>
          <w:p>
            <w:pPr>
              <w:spacing w:after="0"/>
              <w:rPr>
                <w:sz w:val="15"/>
                <w:szCs w:val="15"/>
                <w:color w:val="auto"/>
              </w:rPr>
            </w:pPr>
          </w:p>
        </w:tc>
        <w:tc>
          <w:tcPr>
            <w:tcW w:w="420" w:type="dxa"/>
            <w:vAlign w:val="bottom"/>
            <w:shd w:val="clear" w:color="auto" w:fill="DDDDDD"/>
          </w:tcPr>
          <w:p>
            <w:pPr>
              <w:spacing w:after="0"/>
              <w:rPr>
                <w:sz w:val="15"/>
                <w:szCs w:val="15"/>
                <w:color w:val="auto"/>
              </w:rPr>
            </w:pPr>
          </w:p>
        </w:tc>
        <w:tc>
          <w:tcPr>
            <w:tcW w:w="920" w:type="dxa"/>
            <w:vAlign w:val="bottom"/>
            <w:shd w:val="clear" w:color="auto" w:fill="DDDDDD"/>
          </w:tcPr>
          <w:p>
            <w:pPr>
              <w:spacing w:after="0"/>
              <w:rPr>
                <w:sz w:val="15"/>
                <w:szCs w:val="15"/>
                <w:color w:val="auto"/>
              </w:rPr>
            </w:pPr>
          </w:p>
        </w:tc>
        <w:tc>
          <w:tcPr>
            <w:tcW w:w="520" w:type="dxa"/>
            <w:vAlign w:val="bottom"/>
            <w:shd w:val="clear" w:color="auto" w:fill="DDDDDD"/>
          </w:tcPr>
          <w:p>
            <w:pPr>
              <w:spacing w:after="0"/>
              <w:rPr>
                <w:sz w:val="15"/>
                <w:szCs w:val="15"/>
                <w:color w:val="auto"/>
              </w:rPr>
            </w:pPr>
          </w:p>
        </w:tc>
        <w:tc>
          <w:tcPr>
            <w:tcW w:w="660" w:type="dxa"/>
            <w:vAlign w:val="bottom"/>
            <w:shd w:val="clear" w:color="auto" w:fill="DDDDDD"/>
          </w:tcPr>
          <w:p>
            <w:pPr>
              <w:spacing w:after="0"/>
              <w:rPr>
                <w:sz w:val="15"/>
                <w:szCs w:val="15"/>
                <w:color w:val="auto"/>
              </w:rPr>
            </w:pPr>
          </w:p>
        </w:tc>
        <w:tc>
          <w:tcPr>
            <w:tcW w:w="620" w:type="dxa"/>
            <w:vAlign w:val="bottom"/>
            <w:shd w:val="clear" w:color="auto" w:fill="DDDDDD"/>
          </w:tcPr>
          <w:p>
            <w:pPr>
              <w:spacing w:after="0"/>
              <w:rPr>
                <w:sz w:val="15"/>
                <w:szCs w:val="15"/>
                <w:color w:val="auto"/>
              </w:rPr>
            </w:pPr>
          </w:p>
        </w:tc>
        <w:tc>
          <w:tcPr>
            <w:tcW w:w="440" w:type="dxa"/>
            <w:vAlign w:val="bottom"/>
            <w:shd w:val="clear" w:color="auto" w:fill="DDDDDD"/>
          </w:tcPr>
          <w:p>
            <w:pPr>
              <w:spacing w:after="0"/>
              <w:rPr>
                <w:sz w:val="15"/>
                <w:szCs w:val="15"/>
                <w:color w:val="auto"/>
              </w:rPr>
            </w:pPr>
          </w:p>
        </w:tc>
        <w:tc>
          <w:tcPr>
            <w:tcW w:w="620" w:type="dxa"/>
            <w:vAlign w:val="bottom"/>
            <w:shd w:val="clear" w:color="auto" w:fill="DDDDDD"/>
          </w:tcPr>
          <w:p>
            <w:pPr>
              <w:spacing w:after="0"/>
              <w:rPr>
                <w:sz w:val="15"/>
                <w:szCs w:val="15"/>
                <w:color w:val="auto"/>
              </w:rPr>
            </w:pPr>
          </w:p>
        </w:tc>
        <w:tc>
          <w:tcPr>
            <w:tcW w:w="520" w:type="dxa"/>
            <w:vAlign w:val="bottom"/>
            <w:shd w:val="clear" w:color="auto" w:fill="DBDBDB"/>
          </w:tcPr>
          <w:p>
            <w:pPr>
              <w:spacing w:after="0"/>
              <w:rPr>
                <w:sz w:val="15"/>
                <w:szCs w:val="15"/>
                <w:color w:val="auto"/>
              </w:rPr>
            </w:pPr>
          </w:p>
        </w:tc>
        <w:tc>
          <w:tcPr>
            <w:tcW w:w="116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72,053</w:t>
            </w:r>
          </w:p>
        </w:tc>
        <w:tc>
          <w:tcPr>
            <w:tcW w:w="180" w:type="dxa"/>
            <w:vAlign w:val="bottom"/>
            <w:shd w:val="clear" w:color="auto" w:fill="DBDBDB"/>
          </w:tcPr>
          <w:p>
            <w:pPr>
              <w:spacing w:after="0"/>
              <w:rPr>
                <w:sz w:val="15"/>
                <w:szCs w:val="15"/>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15.57</w:t>
            </w:r>
          </w:p>
        </w:tc>
      </w:tr>
      <w:tr>
        <w:trPr>
          <w:trHeight w:val="172"/>
        </w:trPr>
        <w:tc>
          <w:tcPr>
            <w:tcW w:w="1640" w:type="dxa"/>
            <w:vAlign w:val="bottom"/>
            <w:gridSpan w:val="2"/>
          </w:tcPr>
          <w:p>
            <w:pPr>
              <w:ind w:left="720"/>
              <w:spacing w:after="0"/>
              <w:rPr>
                <w:sz w:val="20"/>
                <w:szCs w:val="20"/>
                <w:color w:val="auto"/>
              </w:rPr>
            </w:pPr>
            <w:r>
              <w:rPr>
                <w:rFonts w:ascii="Arial" w:cs="Arial" w:eastAsia="Arial" w:hAnsi="Arial"/>
                <w:sz w:val="13"/>
                <w:szCs w:val="13"/>
                <w:color w:val="auto"/>
              </w:rPr>
              <w:t>Granted</w:t>
            </w: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52,755</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14.69</w:t>
            </w:r>
          </w:p>
        </w:tc>
      </w:tr>
      <w:tr>
        <w:trPr>
          <w:trHeight w:val="178"/>
        </w:trPr>
        <w:tc>
          <w:tcPr>
            <w:tcW w:w="1640" w:type="dxa"/>
            <w:vAlign w:val="bottom"/>
            <w:gridSpan w:val="2"/>
            <w:shd w:val="clear" w:color="auto" w:fill="DDDDDD"/>
          </w:tcPr>
          <w:p>
            <w:pPr>
              <w:ind w:left="720"/>
              <w:spacing w:after="0"/>
              <w:rPr>
                <w:sz w:val="20"/>
                <w:szCs w:val="20"/>
                <w:color w:val="auto"/>
              </w:rPr>
            </w:pPr>
            <w:r>
              <w:rPr>
                <w:rFonts w:ascii="Arial" w:cs="Arial" w:eastAsia="Arial" w:hAnsi="Arial"/>
                <w:sz w:val="13"/>
                <w:szCs w:val="13"/>
                <w:color w:val="auto"/>
              </w:rPr>
              <w:t>Vested</w:t>
            </w:r>
          </w:p>
        </w:tc>
        <w:tc>
          <w:tcPr>
            <w:tcW w:w="640" w:type="dxa"/>
            <w:vAlign w:val="bottom"/>
            <w:shd w:val="clear" w:color="auto" w:fill="DDDDDD"/>
          </w:tcPr>
          <w:p>
            <w:pPr>
              <w:spacing w:after="0"/>
              <w:rPr>
                <w:sz w:val="15"/>
                <w:szCs w:val="15"/>
                <w:color w:val="auto"/>
              </w:rPr>
            </w:pPr>
          </w:p>
        </w:tc>
        <w:tc>
          <w:tcPr>
            <w:tcW w:w="880" w:type="dxa"/>
            <w:vAlign w:val="bottom"/>
            <w:shd w:val="clear" w:color="auto" w:fill="DDDDDD"/>
          </w:tcPr>
          <w:p>
            <w:pPr>
              <w:spacing w:after="0"/>
              <w:rPr>
                <w:sz w:val="15"/>
                <w:szCs w:val="15"/>
                <w:color w:val="auto"/>
              </w:rPr>
            </w:pPr>
          </w:p>
        </w:tc>
        <w:tc>
          <w:tcPr>
            <w:tcW w:w="420" w:type="dxa"/>
            <w:vAlign w:val="bottom"/>
            <w:shd w:val="clear" w:color="auto" w:fill="DDDDDD"/>
          </w:tcPr>
          <w:p>
            <w:pPr>
              <w:spacing w:after="0"/>
              <w:rPr>
                <w:sz w:val="15"/>
                <w:szCs w:val="15"/>
                <w:color w:val="auto"/>
              </w:rPr>
            </w:pPr>
          </w:p>
        </w:tc>
        <w:tc>
          <w:tcPr>
            <w:tcW w:w="920" w:type="dxa"/>
            <w:vAlign w:val="bottom"/>
            <w:shd w:val="clear" w:color="auto" w:fill="DDDDDD"/>
          </w:tcPr>
          <w:p>
            <w:pPr>
              <w:spacing w:after="0"/>
              <w:rPr>
                <w:sz w:val="15"/>
                <w:szCs w:val="15"/>
                <w:color w:val="auto"/>
              </w:rPr>
            </w:pPr>
          </w:p>
        </w:tc>
        <w:tc>
          <w:tcPr>
            <w:tcW w:w="520" w:type="dxa"/>
            <w:vAlign w:val="bottom"/>
            <w:shd w:val="clear" w:color="auto" w:fill="DDDDDD"/>
          </w:tcPr>
          <w:p>
            <w:pPr>
              <w:spacing w:after="0"/>
              <w:rPr>
                <w:sz w:val="15"/>
                <w:szCs w:val="15"/>
                <w:color w:val="auto"/>
              </w:rPr>
            </w:pPr>
          </w:p>
        </w:tc>
        <w:tc>
          <w:tcPr>
            <w:tcW w:w="660" w:type="dxa"/>
            <w:vAlign w:val="bottom"/>
            <w:shd w:val="clear" w:color="auto" w:fill="DDDDDD"/>
          </w:tcPr>
          <w:p>
            <w:pPr>
              <w:spacing w:after="0"/>
              <w:rPr>
                <w:sz w:val="15"/>
                <w:szCs w:val="15"/>
                <w:color w:val="auto"/>
              </w:rPr>
            </w:pPr>
          </w:p>
        </w:tc>
        <w:tc>
          <w:tcPr>
            <w:tcW w:w="620" w:type="dxa"/>
            <w:vAlign w:val="bottom"/>
            <w:shd w:val="clear" w:color="auto" w:fill="DDDDDD"/>
          </w:tcPr>
          <w:p>
            <w:pPr>
              <w:spacing w:after="0"/>
              <w:rPr>
                <w:sz w:val="15"/>
                <w:szCs w:val="15"/>
                <w:color w:val="auto"/>
              </w:rPr>
            </w:pPr>
          </w:p>
        </w:tc>
        <w:tc>
          <w:tcPr>
            <w:tcW w:w="440" w:type="dxa"/>
            <w:vAlign w:val="bottom"/>
            <w:shd w:val="clear" w:color="auto" w:fill="DDDDDD"/>
          </w:tcPr>
          <w:p>
            <w:pPr>
              <w:spacing w:after="0"/>
              <w:rPr>
                <w:sz w:val="15"/>
                <w:szCs w:val="15"/>
                <w:color w:val="auto"/>
              </w:rPr>
            </w:pPr>
          </w:p>
        </w:tc>
        <w:tc>
          <w:tcPr>
            <w:tcW w:w="620" w:type="dxa"/>
            <w:vAlign w:val="bottom"/>
            <w:shd w:val="clear" w:color="auto" w:fill="DDDDDD"/>
          </w:tcPr>
          <w:p>
            <w:pPr>
              <w:spacing w:after="0"/>
              <w:rPr>
                <w:sz w:val="15"/>
                <w:szCs w:val="15"/>
                <w:color w:val="auto"/>
              </w:rPr>
            </w:pPr>
          </w:p>
        </w:tc>
        <w:tc>
          <w:tcPr>
            <w:tcW w:w="520" w:type="dxa"/>
            <w:vAlign w:val="bottom"/>
            <w:tcBorders>
              <w:bottom w:val="single" w:sz="8" w:color="auto"/>
            </w:tcBorders>
            <w:shd w:val="clear" w:color="auto" w:fill="DBDBDB"/>
          </w:tcPr>
          <w:p>
            <w:pPr>
              <w:spacing w:after="0"/>
              <w:rPr>
                <w:sz w:val="15"/>
                <w:szCs w:val="15"/>
                <w:color w:val="auto"/>
              </w:rPr>
            </w:pPr>
          </w:p>
        </w:tc>
        <w:tc>
          <w:tcPr>
            <w:tcW w:w="116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3"/>
                <w:szCs w:val="13"/>
                <w:color w:val="auto"/>
              </w:rPr>
              <w:t>(72,053)</w:t>
            </w:r>
          </w:p>
        </w:tc>
        <w:tc>
          <w:tcPr>
            <w:tcW w:w="180" w:type="dxa"/>
            <w:vAlign w:val="bottom"/>
            <w:shd w:val="clear" w:color="auto" w:fill="DBDBDB"/>
          </w:tcPr>
          <w:p>
            <w:pPr>
              <w:spacing w:after="0"/>
              <w:rPr>
                <w:sz w:val="15"/>
                <w:szCs w:val="15"/>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15.57</w:t>
            </w:r>
          </w:p>
        </w:tc>
      </w:tr>
      <w:tr>
        <w:trPr>
          <w:trHeight w:val="163"/>
        </w:trPr>
        <w:tc>
          <w:tcPr>
            <w:tcW w:w="2280" w:type="dxa"/>
            <w:vAlign w:val="bottom"/>
            <w:gridSpan w:val="3"/>
          </w:tcPr>
          <w:p>
            <w:pPr>
              <w:ind w:left="540"/>
              <w:spacing w:after="0"/>
              <w:rPr>
                <w:sz w:val="20"/>
                <w:szCs w:val="20"/>
                <w:color w:val="auto"/>
              </w:rPr>
            </w:pPr>
            <w:r>
              <w:rPr>
                <w:rFonts w:ascii="Arial" w:cs="Arial" w:eastAsia="Arial" w:hAnsi="Arial"/>
                <w:sz w:val="13"/>
                <w:szCs w:val="13"/>
                <w:color w:val="auto"/>
              </w:rPr>
              <w:t>Balance December 31, 2019</w:t>
            </w: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52,755</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14.69</w:t>
            </w:r>
          </w:p>
        </w:tc>
      </w:tr>
      <w:tr>
        <w:trPr>
          <w:trHeight w:val="178"/>
        </w:trPr>
        <w:tc>
          <w:tcPr>
            <w:tcW w:w="1640" w:type="dxa"/>
            <w:vAlign w:val="bottom"/>
            <w:gridSpan w:val="2"/>
            <w:shd w:val="clear" w:color="auto" w:fill="DDDDDD"/>
          </w:tcPr>
          <w:p>
            <w:pPr>
              <w:ind w:left="720"/>
              <w:spacing w:after="0"/>
              <w:rPr>
                <w:sz w:val="20"/>
                <w:szCs w:val="20"/>
                <w:color w:val="auto"/>
              </w:rPr>
            </w:pPr>
            <w:r>
              <w:rPr>
                <w:rFonts w:ascii="Arial" w:cs="Arial" w:eastAsia="Arial" w:hAnsi="Arial"/>
                <w:sz w:val="13"/>
                <w:szCs w:val="13"/>
                <w:color w:val="auto"/>
              </w:rPr>
              <w:t>Granted</w:t>
            </w:r>
          </w:p>
        </w:tc>
        <w:tc>
          <w:tcPr>
            <w:tcW w:w="640" w:type="dxa"/>
            <w:vAlign w:val="bottom"/>
            <w:shd w:val="clear" w:color="auto" w:fill="DDDDDD"/>
          </w:tcPr>
          <w:p>
            <w:pPr>
              <w:spacing w:after="0"/>
              <w:rPr>
                <w:sz w:val="15"/>
                <w:szCs w:val="15"/>
                <w:color w:val="auto"/>
              </w:rPr>
            </w:pPr>
          </w:p>
        </w:tc>
        <w:tc>
          <w:tcPr>
            <w:tcW w:w="880" w:type="dxa"/>
            <w:vAlign w:val="bottom"/>
            <w:shd w:val="clear" w:color="auto" w:fill="DDDDDD"/>
          </w:tcPr>
          <w:p>
            <w:pPr>
              <w:spacing w:after="0"/>
              <w:rPr>
                <w:sz w:val="15"/>
                <w:szCs w:val="15"/>
                <w:color w:val="auto"/>
              </w:rPr>
            </w:pPr>
          </w:p>
        </w:tc>
        <w:tc>
          <w:tcPr>
            <w:tcW w:w="420" w:type="dxa"/>
            <w:vAlign w:val="bottom"/>
            <w:shd w:val="clear" w:color="auto" w:fill="DDDDDD"/>
          </w:tcPr>
          <w:p>
            <w:pPr>
              <w:spacing w:after="0"/>
              <w:rPr>
                <w:sz w:val="15"/>
                <w:szCs w:val="15"/>
                <w:color w:val="auto"/>
              </w:rPr>
            </w:pPr>
          </w:p>
        </w:tc>
        <w:tc>
          <w:tcPr>
            <w:tcW w:w="920" w:type="dxa"/>
            <w:vAlign w:val="bottom"/>
            <w:shd w:val="clear" w:color="auto" w:fill="DDDDDD"/>
          </w:tcPr>
          <w:p>
            <w:pPr>
              <w:spacing w:after="0"/>
              <w:rPr>
                <w:sz w:val="15"/>
                <w:szCs w:val="15"/>
                <w:color w:val="auto"/>
              </w:rPr>
            </w:pPr>
          </w:p>
        </w:tc>
        <w:tc>
          <w:tcPr>
            <w:tcW w:w="520" w:type="dxa"/>
            <w:vAlign w:val="bottom"/>
            <w:shd w:val="clear" w:color="auto" w:fill="DDDDDD"/>
          </w:tcPr>
          <w:p>
            <w:pPr>
              <w:spacing w:after="0"/>
              <w:rPr>
                <w:sz w:val="15"/>
                <w:szCs w:val="15"/>
                <w:color w:val="auto"/>
              </w:rPr>
            </w:pPr>
          </w:p>
        </w:tc>
        <w:tc>
          <w:tcPr>
            <w:tcW w:w="660" w:type="dxa"/>
            <w:vAlign w:val="bottom"/>
            <w:shd w:val="clear" w:color="auto" w:fill="DDDDDD"/>
          </w:tcPr>
          <w:p>
            <w:pPr>
              <w:spacing w:after="0"/>
              <w:rPr>
                <w:sz w:val="15"/>
                <w:szCs w:val="15"/>
                <w:color w:val="auto"/>
              </w:rPr>
            </w:pPr>
          </w:p>
        </w:tc>
        <w:tc>
          <w:tcPr>
            <w:tcW w:w="620" w:type="dxa"/>
            <w:vAlign w:val="bottom"/>
            <w:shd w:val="clear" w:color="auto" w:fill="DDDDDD"/>
          </w:tcPr>
          <w:p>
            <w:pPr>
              <w:spacing w:after="0"/>
              <w:rPr>
                <w:sz w:val="15"/>
                <w:szCs w:val="15"/>
                <w:color w:val="auto"/>
              </w:rPr>
            </w:pPr>
          </w:p>
        </w:tc>
        <w:tc>
          <w:tcPr>
            <w:tcW w:w="440" w:type="dxa"/>
            <w:vAlign w:val="bottom"/>
            <w:shd w:val="clear" w:color="auto" w:fill="DDDDDD"/>
          </w:tcPr>
          <w:p>
            <w:pPr>
              <w:spacing w:after="0"/>
              <w:rPr>
                <w:sz w:val="15"/>
                <w:szCs w:val="15"/>
                <w:color w:val="auto"/>
              </w:rPr>
            </w:pPr>
          </w:p>
        </w:tc>
        <w:tc>
          <w:tcPr>
            <w:tcW w:w="620" w:type="dxa"/>
            <w:vAlign w:val="bottom"/>
            <w:shd w:val="clear" w:color="auto" w:fill="DDDDDD"/>
          </w:tcPr>
          <w:p>
            <w:pPr>
              <w:spacing w:after="0"/>
              <w:rPr>
                <w:sz w:val="15"/>
                <w:szCs w:val="15"/>
                <w:color w:val="auto"/>
              </w:rPr>
            </w:pPr>
          </w:p>
        </w:tc>
        <w:tc>
          <w:tcPr>
            <w:tcW w:w="520" w:type="dxa"/>
            <w:vAlign w:val="bottom"/>
            <w:shd w:val="clear" w:color="auto" w:fill="DBDBDB"/>
          </w:tcPr>
          <w:p>
            <w:pPr>
              <w:spacing w:after="0"/>
              <w:rPr>
                <w:sz w:val="15"/>
                <w:szCs w:val="15"/>
                <w:color w:val="auto"/>
              </w:rPr>
            </w:pPr>
          </w:p>
        </w:tc>
        <w:tc>
          <w:tcPr>
            <w:tcW w:w="116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65,959</w:t>
            </w:r>
          </w:p>
        </w:tc>
        <w:tc>
          <w:tcPr>
            <w:tcW w:w="180" w:type="dxa"/>
            <w:vAlign w:val="bottom"/>
            <w:shd w:val="clear" w:color="auto" w:fill="DBDBDB"/>
          </w:tcPr>
          <w:p>
            <w:pPr>
              <w:spacing w:after="0"/>
              <w:rPr>
                <w:sz w:val="15"/>
                <w:szCs w:val="15"/>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11.75</w:t>
            </w:r>
          </w:p>
        </w:tc>
      </w:tr>
      <w:tr>
        <w:trPr>
          <w:trHeight w:val="172"/>
        </w:trPr>
        <w:tc>
          <w:tcPr>
            <w:tcW w:w="1640" w:type="dxa"/>
            <w:vAlign w:val="bottom"/>
            <w:tcBorders>
              <w:bottom w:val="single" w:sz="8" w:color="DDDDDD"/>
            </w:tcBorders>
            <w:gridSpan w:val="2"/>
          </w:tcPr>
          <w:p>
            <w:pPr>
              <w:ind w:left="720"/>
              <w:spacing w:after="0"/>
              <w:rPr>
                <w:sz w:val="20"/>
                <w:szCs w:val="20"/>
                <w:color w:val="auto"/>
              </w:rPr>
            </w:pPr>
            <w:r>
              <w:rPr>
                <w:rFonts w:ascii="Arial" w:cs="Arial" w:eastAsia="Arial" w:hAnsi="Arial"/>
                <w:sz w:val="13"/>
                <w:szCs w:val="13"/>
                <w:color w:val="auto"/>
              </w:rPr>
              <w:t>Vested</w:t>
            </w:r>
          </w:p>
        </w:tc>
        <w:tc>
          <w:tcPr>
            <w:tcW w:w="640" w:type="dxa"/>
            <w:vAlign w:val="bottom"/>
            <w:tcBorders>
              <w:bottom w:val="single" w:sz="8" w:color="DDDDDD"/>
            </w:tcBorders>
          </w:tcPr>
          <w:p>
            <w:pPr>
              <w:spacing w:after="0"/>
              <w:rPr>
                <w:sz w:val="14"/>
                <w:szCs w:val="14"/>
                <w:color w:val="auto"/>
              </w:rPr>
            </w:pPr>
          </w:p>
        </w:tc>
        <w:tc>
          <w:tcPr>
            <w:tcW w:w="880" w:type="dxa"/>
            <w:vAlign w:val="bottom"/>
            <w:tcBorders>
              <w:bottom w:val="single" w:sz="8" w:color="DDDDDD"/>
            </w:tcBorders>
          </w:tcPr>
          <w:p>
            <w:pPr>
              <w:spacing w:after="0"/>
              <w:rPr>
                <w:sz w:val="14"/>
                <w:szCs w:val="14"/>
                <w:color w:val="auto"/>
              </w:rPr>
            </w:pPr>
          </w:p>
        </w:tc>
        <w:tc>
          <w:tcPr>
            <w:tcW w:w="420" w:type="dxa"/>
            <w:vAlign w:val="bottom"/>
            <w:tcBorders>
              <w:bottom w:val="single" w:sz="8" w:color="DDDDDD"/>
            </w:tcBorders>
          </w:tcPr>
          <w:p>
            <w:pPr>
              <w:spacing w:after="0"/>
              <w:rPr>
                <w:sz w:val="14"/>
                <w:szCs w:val="14"/>
                <w:color w:val="auto"/>
              </w:rPr>
            </w:pPr>
          </w:p>
        </w:tc>
        <w:tc>
          <w:tcPr>
            <w:tcW w:w="920" w:type="dxa"/>
            <w:vAlign w:val="bottom"/>
            <w:tcBorders>
              <w:bottom w:val="single" w:sz="8" w:color="DDDDDD"/>
            </w:tcBorders>
          </w:tcPr>
          <w:p>
            <w:pPr>
              <w:spacing w:after="0"/>
              <w:rPr>
                <w:sz w:val="14"/>
                <w:szCs w:val="14"/>
                <w:color w:val="auto"/>
              </w:rPr>
            </w:pPr>
          </w:p>
        </w:tc>
        <w:tc>
          <w:tcPr>
            <w:tcW w:w="520" w:type="dxa"/>
            <w:vAlign w:val="bottom"/>
            <w:tcBorders>
              <w:bottom w:val="single" w:sz="8" w:color="DDDDDD"/>
            </w:tcBorders>
          </w:tcPr>
          <w:p>
            <w:pPr>
              <w:spacing w:after="0"/>
              <w:rPr>
                <w:sz w:val="14"/>
                <w:szCs w:val="14"/>
                <w:color w:val="auto"/>
              </w:rPr>
            </w:pPr>
          </w:p>
        </w:tc>
        <w:tc>
          <w:tcPr>
            <w:tcW w:w="660" w:type="dxa"/>
            <w:vAlign w:val="bottom"/>
            <w:tcBorders>
              <w:bottom w:val="single" w:sz="8" w:color="DDDDDD"/>
            </w:tcBorders>
          </w:tcPr>
          <w:p>
            <w:pPr>
              <w:spacing w:after="0"/>
              <w:rPr>
                <w:sz w:val="14"/>
                <w:szCs w:val="14"/>
                <w:color w:val="auto"/>
              </w:rPr>
            </w:pPr>
          </w:p>
        </w:tc>
        <w:tc>
          <w:tcPr>
            <w:tcW w:w="620" w:type="dxa"/>
            <w:vAlign w:val="bottom"/>
            <w:tcBorders>
              <w:bottom w:val="single" w:sz="8" w:color="DDDDDD"/>
            </w:tcBorders>
          </w:tcPr>
          <w:p>
            <w:pPr>
              <w:spacing w:after="0"/>
              <w:rPr>
                <w:sz w:val="14"/>
                <w:szCs w:val="14"/>
                <w:color w:val="auto"/>
              </w:rPr>
            </w:pPr>
          </w:p>
        </w:tc>
        <w:tc>
          <w:tcPr>
            <w:tcW w:w="440" w:type="dxa"/>
            <w:vAlign w:val="bottom"/>
            <w:tcBorders>
              <w:bottom w:val="single" w:sz="8" w:color="DDDDDD"/>
            </w:tcBorders>
          </w:tcPr>
          <w:p>
            <w:pPr>
              <w:spacing w:after="0"/>
              <w:rPr>
                <w:sz w:val="14"/>
                <w:szCs w:val="14"/>
                <w:color w:val="auto"/>
              </w:rPr>
            </w:pPr>
          </w:p>
        </w:tc>
        <w:tc>
          <w:tcPr>
            <w:tcW w:w="620" w:type="dxa"/>
            <w:vAlign w:val="bottom"/>
            <w:tcBorders>
              <w:bottom w:val="single" w:sz="8" w:color="DDDDDD"/>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(61,266)</w:t>
            </w:r>
          </w:p>
        </w:tc>
        <w:tc>
          <w:tcPr>
            <w:tcW w:w="180" w:type="dxa"/>
            <w:vAlign w:val="bottom"/>
            <w:tcBorders>
              <w:bottom w:val="single" w:sz="8" w:color="DBDBDB"/>
            </w:tcBorders>
          </w:tcPr>
          <w:p>
            <w:pPr>
              <w:spacing w:after="0"/>
              <w:rPr>
                <w:sz w:val="14"/>
                <w:szCs w:val="14"/>
                <w:color w:val="auto"/>
              </w:rPr>
            </w:pPr>
          </w:p>
        </w:tc>
        <w:tc>
          <w:tcPr>
            <w:tcW w:w="500" w:type="dxa"/>
            <w:vAlign w:val="bottom"/>
            <w:tcBorders>
              <w:bottom w:val="single" w:sz="8" w:color="DBDBDB"/>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DBDBDB"/>
            </w:tcBorders>
          </w:tcPr>
          <w:p>
            <w:pPr>
              <w:spacing w:after="0"/>
              <w:rPr>
                <w:sz w:val="14"/>
                <w:szCs w:val="14"/>
                <w:color w:val="auto"/>
              </w:rPr>
            </w:pPr>
          </w:p>
        </w:tc>
        <w:tc>
          <w:tcPr>
            <w:tcW w:w="440" w:type="dxa"/>
            <w:vAlign w:val="bottom"/>
            <w:tcBorders>
              <w:bottom w:val="single" w:sz="8" w:color="DBDBDB"/>
            </w:tcBorders>
          </w:tcPr>
          <w:p>
            <w:pPr>
              <w:spacing w:after="0"/>
              <w:rPr>
                <w:sz w:val="14"/>
                <w:szCs w:val="14"/>
                <w:color w:val="auto"/>
              </w:rPr>
            </w:pPr>
          </w:p>
        </w:tc>
        <w:tc>
          <w:tcPr>
            <w:tcW w:w="480" w:type="dxa"/>
            <w:vAlign w:val="bottom"/>
            <w:tcBorders>
              <w:bottom w:val="single" w:sz="8" w:color="DBDBDB"/>
            </w:tcBorders>
          </w:tcPr>
          <w:p>
            <w:pPr>
              <w:jc w:val="right"/>
              <w:spacing w:after="0"/>
              <w:rPr>
                <w:sz w:val="20"/>
                <w:szCs w:val="20"/>
                <w:color w:val="auto"/>
              </w:rPr>
            </w:pPr>
            <w:r>
              <w:rPr>
                <w:rFonts w:ascii="Arial" w:cs="Arial" w:eastAsia="Arial" w:hAnsi="Arial"/>
                <w:sz w:val="13"/>
                <w:szCs w:val="13"/>
                <w:color w:val="auto"/>
              </w:rPr>
              <w:t>14.28</w:t>
            </w:r>
          </w:p>
        </w:tc>
      </w:tr>
      <w:tr>
        <w:trPr>
          <w:trHeight w:val="169"/>
        </w:trPr>
        <w:tc>
          <w:tcPr>
            <w:tcW w:w="2280" w:type="dxa"/>
            <w:vAlign w:val="bottom"/>
            <w:gridSpan w:val="3"/>
            <w:shd w:val="clear" w:color="auto" w:fill="DDDDDD"/>
          </w:tcPr>
          <w:p>
            <w:pPr>
              <w:ind w:left="540"/>
              <w:spacing w:after="0"/>
              <w:rPr>
                <w:sz w:val="20"/>
                <w:szCs w:val="20"/>
                <w:color w:val="auto"/>
              </w:rPr>
            </w:pPr>
            <w:r>
              <w:rPr>
                <w:rFonts w:ascii="Arial" w:cs="Arial" w:eastAsia="Arial" w:hAnsi="Arial"/>
                <w:sz w:val="13"/>
                <w:szCs w:val="13"/>
                <w:color w:val="auto"/>
              </w:rPr>
              <w:t>Balance December 31, 2020</w:t>
            </w:r>
          </w:p>
        </w:tc>
        <w:tc>
          <w:tcPr>
            <w:tcW w:w="880" w:type="dxa"/>
            <w:vAlign w:val="bottom"/>
            <w:shd w:val="clear" w:color="auto" w:fill="DDDDDD"/>
          </w:tcPr>
          <w:p>
            <w:pPr>
              <w:spacing w:after="0"/>
              <w:rPr>
                <w:sz w:val="14"/>
                <w:szCs w:val="14"/>
                <w:color w:val="auto"/>
              </w:rPr>
            </w:pPr>
          </w:p>
        </w:tc>
        <w:tc>
          <w:tcPr>
            <w:tcW w:w="420" w:type="dxa"/>
            <w:vAlign w:val="bottom"/>
            <w:shd w:val="clear" w:color="auto" w:fill="DDDDDD"/>
          </w:tcPr>
          <w:p>
            <w:pPr>
              <w:spacing w:after="0"/>
              <w:rPr>
                <w:sz w:val="14"/>
                <w:szCs w:val="14"/>
                <w:color w:val="auto"/>
              </w:rPr>
            </w:pPr>
          </w:p>
        </w:tc>
        <w:tc>
          <w:tcPr>
            <w:tcW w:w="920" w:type="dxa"/>
            <w:vAlign w:val="bottom"/>
            <w:shd w:val="clear" w:color="auto" w:fill="DDDDDD"/>
          </w:tcPr>
          <w:p>
            <w:pPr>
              <w:spacing w:after="0"/>
              <w:rPr>
                <w:sz w:val="14"/>
                <w:szCs w:val="14"/>
                <w:color w:val="auto"/>
              </w:rPr>
            </w:pPr>
          </w:p>
        </w:tc>
        <w:tc>
          <w:tcPr>
            <w:tcW w:w="520" w:type="dxa"/>
            <w:vAlign w:val="bottom"/>
            <w:shd w:val="clear" w:color="auto" w:fill="DDDDDD"/>
          </w:tcPr>
          <w:p>
            <w:pPr>
              <w:spacing w:after="0"/>
              <w:rPr>
                <w:sz w:val="14"/>
                <w:szCs w:val="14"/>
                <w:color w:val="auto"/>
              </w:rPr>
            </w:pPr>
          </w:p>
        </w:tc>
        <w:tc>
          <w:tcPr>
            <w:tcW w:w="660" w:type="dxa"/>
            <w:vAlign w:val="bottom"/>
            <w:shd w:val="clear" w:color="auto" w:fill="DDDDDD"/>
          </w:tcPr>
          <w:p>
            <w:pPr>
              <w:spacing w:after="0"/>
              <w:rPr>
                <w:sz w:val="14"/>
                <w:szCs w:val="14"/>
                <w:color w:val="auto"/>
              </w:rPr>
            </w:pPr>
          </w:p>
        </w:tc>
        <w:tc>
          <w:tcPr>
            <w:tcW w:w="620" w:type="dxa"/>
            <w:vAlign w:val="bottom"/>
            <w:shd w:val="clear" w:color="auto" w:fill="DDDDDD"/>
          </w:tcPr>
          <w:p>
            <w:pPr>
              <w:spacing w:after="0"/>
              <w:rPr>
                <w:sz w:val="14"/>
                <w:szCs w:val="14"/>
                <w:color w:val="auto"/>
              </w:rPr>
            </w:pPr>
          </w:p>
        </w:tc>
        <w:tc>
          <w:tcPr>
            <w:tcW w:w="440" w:type="dxa"/>
            <w:vAlign w:val="bottom"/>
            <w:shd w:val="clear" w:color="auto" w:fill="DDDDDD"/>
          </w:tcPr>
          <w:p>
            <w:pPr>
              <w:spacing w:after="0"/>
              <w:rPr>
                <w:sz w:val="14"/>
                <w:szCs w:val="14"/>
                <w:color w:val="auto"/>
              </w:rPr>
            </w:pPr>
          </w:p>
        </w:tc>
        <w:tc>
          <w:tcPr>
            <w:tcW w:w="620" w:type="dxa"/>
            <w:vAlign w:val="bottom"/>
            <w:shd w:val="clear" w:color="auto" w:fill="DDDDDD"/>
          </w:tcPr>
          <w:p>
            <w:pPr>
              <w:spacing w:after="0"/>
              <w:rPr>
                <w:sz w:val="14"/>
                <w:szCs w:val="14"/>
                <w:color w:val="auto"/>
              </w:rPr>
            </w:pPr>
          </w:p>
        </w:tc>
        <w:tc>
          <w:tcPr>
            <w:tcW w:w="520" w:type="dxa"/>
            <w:vAlign w:val="bottom"/>
            <w:shd w:val="clear" w:color="auto" w:fill="DBDBDB"/>
          </w:tcPr>
          <w:p>
            <w:pPr>
              <w:spacing w:after="0"/>
              <w:rPr>
                <w:sz w:val="14"/>
                <w:szCs w:val="14"/>
                <w:color w:val="auto"/>
              </w:rPr>
            </w:pPr>
          </w:p>
        </w:tc>
        <w:tc>
          <w:tcPr>
            <w:tcW w:w="116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57,448</w:t>
            </w:r>
          </w:p>
        </w:tc>
        <w:tc>
          <w:tcPr>
            <w:tcW w:w="180" w:type="dxa"/>
            <w:vAlign w:val="bottom"/>
            <w:shd w:val="clear" w:color="auto" w:fill="DBDBDB"/>
          </w:tcPr>
          <w:p>
            <w:pPr>
              <w:spacing w:after="0"/>
              <w:rPr>
                <w:sz w:val="14"/>
                <w:szCs w:val="14"/>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DBDBDB"/>
          </w:tcPr>
          <w:p>
            <w:pPr>
              <w:spacing w:after="0"/>
              <w:rPr>
                <w:sz w:val="14"/>
                <w:szCs w:val="14"/>
                <w:color w:val="auto"/>
              </w:rPr>
            </w:pPr>
          </w:p>
        </w:tc>
        <w:tc>
          <w:tcPr>
            <w:tcW w:w="440" w:type="dxa"/>
            <w:vAlign w:val="bottom"/>
            <w:shd w:val="clear" w:color="auto" w:fill="DBDBDB"/>
          </w:tcPr>
          <w:p>
            <w:pPr>
              <w:spacing w:after="0"/>
              <w:rPr>
                <w:sz w:val="14"/>
                <w:szCs w:val="14"/>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11.75</w:t>
            </w:r>
          </w:p>
        </w:tc>
      </w:tr>
      <w:tr>
        <w:trPr>
          <w:trHeight w:val="172"/>
        </w:trPr>
        <w:tc>
          <w:tcPr>
            <w:tcW w:w="1640" w:type="dxa"/>
            <w:vAlign w:val="bottom"/>
            <w:gridSpan w:val="2"/>
          </w:tcPr>
          <w:p>
            <w:pPr>
              <w:ind w:left="720"/>
              <w:spacing w:after="0"/>
              <w:rPr>
                <w:sz w:val="20"/>
                <w:szCs w:val="20"/>
                <w:color w:val="auto"/>
              </w:rPr>
            </w:pPr>
            <w:r>
              <w:rPr>
                <w:rFonts w:ascii="Arial" w:cs="Arial" w:eastAsia="Arial" w:hAnsi="Arial"/>
                <w:sz w:val="13"/>
                <w:szCs w:val="13"/>
                <w:color w:val="auto"/>
              </w:rPr>
              <w:t>Granted</w:t>
            </w: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44,708</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29.30</w:t>
            </w:r>
          </w:p>
        </w:tc>
      </w:tr>
      <w:tr>
        <w:trPr>
          <w:trHeight w:val="178"/>
        </w:trPr>
        <w:tc>
          <w:tcPr>
            <w:tcW w:w="1640" w:type="dxa"/>
            <w:vAlign w:val="bottom"/>
            <w:gridSpan w:val="2"/>
            <w:shd w:val="clear" w:color="auto" w:fill="DDDDDD"/>
          </w:tcPr>
          <w:p>
            <w:pPr>
              <w:ind w:left="720"/>
              <w:spacing w:after="0"/>
              <w:rPr>
                <w:sz w:val="20"/>
                <w:szCs w:val="20"/>
                <w:color w:val="auto"/>
              </w:rPr>
            </w:pPr>
            <w:r>
              <w:rPr>
                <w:rFonts w:ascii="Arial" w:cs="Arial" w:eastAsia="Arial" w:hAnsi="Arial"/>
                <w:sz w:val="13"/>
                <w:szCs w:val="13"/>
                <w:color w:val="auto"/>
              </w:rPr>
              <w:t>Forfeited</w:t>
            </w:r>
          </w:p>
        </w:tc>
        <w:tc>
          <w:tcPr>
            <w:tcW w:w="640" w:type="dxa"/>
            <w:vAlign w:val="bottom"/>
            <w:shd w:val="clear" w:color="auto" w:fill="DDDDDD"/>
          </w:tcPr>
          <w:p>
            <w:pPr>
              <w:spacing w:after="0"/>
              <w:rPr>
                <w:sz w:val="15"/>
                <w:szCs w:val="15"/>
                <w:color w:val="auto"/>
              </w:rPr>
            </w:pPr>
          </w:p>
        </w:tc>
        <w:tc>
          <w:tcPr>
            <w:tcW w:w="880" w:type="dxa"/>
            <w:vAlign w:val="bottom"/>
            <w:shd w:val="clear" w:color="auto" w:fill="DDDDDD"/>
          </w:tcPr>
          <w:p>
            <w:pPr>
              <w:spacing w:after="0"/>
              <w:rPr>
                <w:sz w:val="15"/>
                <w:szCs w:val="15"/>
                <w:color w:val="auto"/>
              </w:rPr>
            </w:pPr>
          </w:p>
        </w:tc>
        <w:tc>
          <w:tcPr>
            <w:tcW w:w="420" w:type="dxa"/>
            <w:vAlign w:val="bottom"/>
            <w:shd w:val="clear" w:color="auto" w:fill="DDDDDD"/>
          </w:tcPr>
          <w:p>
            <w:pPr>
              <w:spacing w:after="0"/>
              <w:rPr>
                <w:sz w:val="15"/>
                <w:szCs w:val="15"/>
                <w:color w:val="auto"/>
              </w:rPr>
            </w:pPr>
          </w:p>
        </w:tc>
        <w:tc>
          <w:tcPr>
            <w:tcW w:w="920" w:type="dxa"/>
            <w:vAlign w:val="bottom"/>
            <w:shd w:val="clear" w:color="auto" w:fill="DDDDDD"/>
          </w:tcPr>
          <w:p>
            <w:pPr>
              <w:spacing w:after="0"/>
              <w:rPr>
                <w:sz w:val="15"/>
                <w:szCs w:val="15"/>
                <w:color w:val="auto"/>
              </w:rPr>
            </w:pPr>
          </w:p>
        </w:tc>
        <w:tc>
          <w:tcPr>
            <w:tcW w:w="520" w:type="dxa"/>
            <w:vAlign w:val="bottom"/>
            <w:shd w:val="clear" w:color="auto" w:fill="DDDDDD"/>
          </w:tcPr>
          <w:p>
            <w:pPr>
              <w:spacing w:after="0"/>
              <w:rPr>
                <w:sz w:val="15"/>
                <w:szCs w:val="15"/>
                <w:color w:val="auto"/>
              </w:rPr>
            </w:pPr>
          </w:p>
        </w:tc>
        <w:tc>
          <w:tcPr>
            <w:tcW w:w="660" w:type="dxa"/>
            <w:vAlign w:val="bottom"/>
            <w:shd w:val="clear" w:color="auto" w:fill="DDDDDD"/>
          </w:tcPr>
          <w:p>
            <w:pPr>
              <w:spacing w:after="0"/>
              <w:rPr>
                <w:sz w:val="15"/>
                <w:szCs w:val="15"/>
                <w:color w:val="auto"/>
              </w:rPr>
            </w:pPr>
          </w:p>
        </w:tc>
        <w:tc>
          <w:tcPr>
            <w:tcW w:w="620" w:type="dxa"/>
            <w:vAlign w:val="bottom"/>
            <w:shd w:val="clear" w:color="auto" w:fill="DDDDDD"/>
          </w:tcPr>
          <w:p>
            <w:pPr>
              <w:spacing w:after="0"/>
              <w:rPr>
                <w:sz w:val="15"/>
                <w:szCs w:val="15"/>
                <w:color w:val="auto"/>
              </w:rPr>
            </w:pPr>
          </w:p>
        </w:tc>
        <w:tc>
          <w:tcPr>
            <w:tcW w:w="440" w:type="dxa"/>
            <w:vAlign w:val="bottom"/>
            <w:shd w:val="clear" w:color="auto" w:fill="DDDDDD"/>
          </w:tcPr>
          <w:p>
            <w:pPr>
              <w:spacing w:after="0"/>
              <w:rPr>
                <w:sz w:val="15"/>
                <w:szCs w:val="15"/>
                <w:color w:val="auto"/>
              </w:rPr>
            </w:pPr>
          </w:p>
        </w:tc>
        <w:tc>
          <w:tcPr>
            <w:tcW w:w="620" w:type="dxa"/>
            <w:vAlign w:val="bottom"/>
            <w:shd w:val="clear" w:color="auto" w:fill="DDDDDD"/>
          </w:tcPr>
          <w:p>
            <w:pPr>
              <w:spacing w:after="0"/>
              <w:rPr>
                <w:sz w:val="15"/>
                <w:szCs w:val="15"/>
                <w:color w:val="auto"/>
              </w:rPr>
            </w:pPr>
          </w:p>
        </w:tc>
        <w:tc>
          <w:tcPr>
            <w:tcW w:w="520" w:type="dxa"/>
            <w:vAlign w:val="bottom"/>
            <w:shd w:val="clear" w:color="auto" w:fill="DBDBDB"/>
          </w:tcPr>
          <w:p>
            <w:pPr>
              <w:spacing w:after="0"/>
              <w:rPr>
                <w:sz w:val="15"/>
                <w:szCs w:val="15"/>
                <w:color w:val="auto"/>
              </w:rPr>
            </w:pPr>
          </w:p>
        </w:tc>
        <w:tc>
          <w:tcPr>
            <w:tcW w:w="116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(8,532)</w:t>
            </w:r>
          </w:p>
        </w:tc>
        <w:tc>
          <w:tcPr>
            <w:tcW w:w="180" w:type="dxa"/>
            <w:vAlign w:val="bottom"/>
            <w:shd w:val="clear" w:color="auto" w:fill="DBDBDB"/>
          </w:tcPr>
          <w:p>
            <w:pPr>
              <w:spacing w:after="0"/>
              <w:rPr>
                <w:sz w:val="15"/>
                <w:szCs w:val="15"/>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29.30</w:t>
            </w:r>
          </w:p>
        </w:tc>
      </w:tr>
      <w:tr>
        <w:trPr>
          <w:trHeight w:val="172"/>
        </w:trPr>
        <w:tc>
          <w:tcPr>
            <w:tcW w:w="1640" w:type="dxa"/>
            <w:vAlign w:val="bottom"/>
            <w:tcBorders>
              <w:bottom w:val="single" w:sz="8" w:color="DDDDDD"/>
            </w:tcBorders>
            <w:gridSpan w:val="2"/>
          </w:tcPr>
          <w:p>
            <w:pPr>
              <w:ind w:left="720"/>
              <w:spacing w:after="0"/>
              <w:rPr>
                <w:sz w:val="20"/>
                <w:szCs w:val="20"/>
                <w:color w:val="auto"/>
              </w:rPr>
            </w:pPr>
            <w:r>
              <w:rPr>
                <w:rFonts w:ascii="Arial" w:cs="Arial" w:eastAsia="Arial" w:hAnsi="Arial"/>
                <w:sz w:val="13"/>
                <w:szCs w:val="13"/>
                <w:color w:val="auto"/>
              </w:rPr>
              <w:t>Vested</w:t>
            </w:r>
          </w:p>
        </w:tc>
        <w:tc>
          <w:tcPr>
            <w:tcW w:w="640" w:type="dxa"/>
            <w:vAlign w:val="bottom"/>
            <w:tcBorders>
              <w:bottom w:val="single" w:sz="8" w:color="DDDDDD"/>
            </w:tcBorders>
          </w:tcPr>
          <w:p>
            <w:pPr>
              <w:spacing w:after="0"/>
              <w:rPr>
                <w:sz w:val="14"/>
                <w:szCs w:val="14"/>
                <w:color w:val="auto"/>
              </w:rPr>
            </w:pPr>
          </w:p>
        </w:tc>
        <w:tc>
          <w:tcPr>
            <w:tcW w:w="880" w:type="dxa"/>
            <w:vAlign w:val="bottom"/>
            <w:tcBorders>
              <w:bottom w:val="single" w:sz="8" w:color="DDDDDD"/>
            </w:tcBorders>
          </w:tcPr>
          <w:p>
            <w:pPr>
              <w:spacing w:after="0"/>
              <w:rPr>
                <w:sz w:val="14"/>
                <w:szCs w:val="14"/>
                <w:color w:val="auto"/>
              </w:rPr>
            </w:pPr>
          </w:p>
        </w:tc>
        <w:tc>
          <w:tcPr>
            <w:tcW w:w="420" w:type="dxa"/>
            <w:vAlign w:val="bottom"/>
            <w:tcBorders>
              <w:bottom w:val="single" w:sz="8" w:color="DDDDDD"/>
            </w:tcBorders>
          </w:tcPr>
          <w:p>
            <w:pPr>
              <w:spacing w:after="0"/>
              <w:rPr>
                <w:sz w:val="14"/>
                <w:szCs w:val="14"/>
                <w:color w:val="auto"/>
              </w:rPr>
            </w:pPr>
          </w:p>
        </w:tc>
        <w:tc>
          <w:tcPr>
            <w:tcW w:w="920" w:type="dxa"/>
            <w:vAlign w:val="bottom"/>
            <w:tcBorders>
              <w:bottom w:val="single" w:sz="8" w:color="DDDDDD"/>
            </w:tcBorders>
          </w:tcPr>
          <w:p>
            <w:pPr>
              <w:spacing w:after="0"/>
              <w:rPr>
                <w:sz w:val="14"/>
                <w:szCs w:val="14"/>
                <w:color w:val="auto"/>
              </w:rPr>
            </w:pPr>
          </w:p>
        </w:tc>
        <w:tc>
          <w:tcPr>
            <w:tcW w:w="520" w:type="dxa"/>
            <w:vAlign w:val="bottom"/>
            <w:tcBorders>
              <w:bottom w:val="single" w:sz="8" w:color="DDDDDD"/>
            </w:tcBorders>
          </w:tcPr>
          <w:p>
            <w:pPr>
              <w:spacing w:after="0"/>
              <w:rPr>
                <w:sz w:val="14"/>
                <w:szCs w:val="14"/>
                <w:color w:val="auto"/>
              </w:rPr>
            </w:pPr>
          </w:p>
        </w:tc>
        <w:tc>
          <w:tcPr>
            <w:tcW w:w="660" w:type="dxa"/>
            <w:vAlign w:val="bottom"/>
            <w:tcBorders>
              <w:bottom w:val="single" w:sz="8" w:color="DDDDDD"/>
            </w:tcBorders>
          </w:tcPr>
          <w:p>
            <w:pPr>
              <w:spacing w:after="0"/>
              <w:rPr>
                <w:sz w:val="14"/>
                <w:szCs w:val="14"/>
                <w:color w:val="auto"/>
              </w:rPr>
            </w:pPr>
          </w:p>
        </w:tc>
        <w:tc>
          <w:tcPr>
            <w:tcW w:w="620" w:type="dxa"/>
            <w:vAlign w:val="bottom"/>
            <w:tcBorders>
              <w:bottom w:val="single" w:sz="8" w:color="DDDDDD"/>
            </w:tcBorders>
          </w:tcPr>
          <w:p>
            <w:pPr>
              <w:spacing w:after="0"/>
              <w:rPr>
                <w:sz w:val="14"/>
                <w:szCs w:val="14"/>
                <w:color w:val="auto"/>
              </w:rPr>
            </w:pPr>
          </w:p>
        </w:tc>
        <w:tc>
          <w:tcPr>
            <w:tcW w:w="440" w:type="dxa"/>
            <w:vAlign w:val="bottom"/>
            <w:tcBorders>
              <w:bottom w:val="single" w:sz="8" w:color="DDDDDD"/>
            </w:tcBorders>
          </w:tcPr>
          <w:p>
            <w:pPr>
              <w:spacing w:after="0"/>
              <w:rPr>
                <w:sz w:val="14"/>
                <w:szCs w:val="14"/>
                <w:color w:val="auto"/>
              </w:rPr>
            </w:pPr>
          </w:p>
        </w:tc>
        <w:tc>
          <w:tcPr>
            <w:tcW w:w="620" w:type="dxa"/>
            <w:vAlign w:val="bottom"/>
            <w:tcBorders>
              <w:bottom w:val="single" w:sz="8" w:color="DDDDDD"/>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(57,448)</w:t>
            </w:r>
          </w:p>
        </w:tc>
        <w:tc>
          <w:tcPr>
            <w:tcW w:w="180" w:type="dxa"/>
            <w:vAlign w:val="bottom"/>
            <w:tcBorders>
              <w:bottom w:val="single" w:sz="8" w:color="DBDBDB"/>
            </w:tcBorders>
          </w:tcPr>
          <w:p>
            <w:pPr>
              <w:spacing w:after="0"/>
              <w:rPr>
                <w:sz w:val="14"/>
                <w:szCs w:val="14"/>
                <w:color w:val="auto"/>
              </w:rPr>
            </w:pPr>
          </w:p>
        </w:tc>
        <w:tc>
          <w:tcPr>
            <w:tcW w:w="500" w:type="dxa"/>
            <w:vAlign w:val="bottom"/>
            <w:tcBorders>
              <w:bottom w:val="single" w:sz="8" w:color="DBDBDB"/>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DBDBDB"/>
            </w:tcBorders>
          </w:tcPr>
          <w:p>
            <w:pPr>
              <w:spacing w:after="0"/>
              <w:rPr>
                <w:sz w:val="14"/>
                <w:szCs w:val="14"/>
                <w:color w:val="auto"/>
              </w:rPr>
            </w:pPr>
          </w:p>
        </w:tc>
        <w:tc>
          <w:tcPr>
            <w:tcW w:w="440" w:type="dxa"/>
            <w:vAlign w:val="bottom"/>
            <w:tcBorders>
              <w:bottom w:val="single" w:sz="8" w:color="DBDBDB"/>
            </w:tcBorders>
          </w:tcPr>
          <w:p>
            <w:pPr>
              <w:spacing w:after="0"/>
              <w:rPr>
                <w:sz w:val="14"/>
                <w:szCs w:val="14"/>
                <w:color w:val="auto"/>
              </w:rPr>
            </w:pPr>
          </w:p>
        </w:tc>
        <w:tc>
          <w:tcPr>
            <w:tcW w:w="480" w:type="dxa"/>
            <w:vAlign w:val="bottom"/>
            <w:tcBorders>
              <w:bottom w:val="single" w:sz="8" w:color="DBDBDB"/>
            </w:tcBorders>
          </w:tcPr>
          <w:p>
            <w:pPr>
              <w:jc w:val="right"/>
              <w:spacing w:after="0"/>
              <w:rPr>
                <w:sz w:val="20"/>
                <w:szCs w:val="20"/>
                <w:color w:val="auto"/>
              </w:rPr>
            </w:pPr>
            <w:r>
              <w:rPr>
                <w:rFonts w:ascii="Arial" w:cs="Arial" w:eastAsia="Arial" w:hAnsi="Arial"/>
                <w:sz w:val="13"/>
                <w:szCs w:val="13"/>
                <w:color w:val="auto"/>
              </w:rPr>
              <w:t>11.75</w:t>
            </w:r>
          </w:p>
        </w:tc>
      </w:tr>
      <w:tr>
        <w:trPr>
          <w:trHeight w:val="191"/>
        </w:trPr>
        <w:tc>
          <w:tcPr>
            <w:tcW w:w="2280" w:type="dxa"/>
            <w:vAlign w:val="bottom"/>
            <w:tcBorders>
              <w:bottom w:val="single" w:sz="8" w:color="DDDDDD"/>
            </w:tcBorders>
            <w:gridSpan w:val="3"/>
            <w:shd w:val="clear" w:color="auto" w:fill="DDDDDD"/>
          </w:tcPr>
          <w:p>
            <w:pPr>
              <w:ind w:left="540"/>
              <w:spacing w:after="0"/>
              <w:rPr>
                <w:sz w:val="20"/>
                <w:szCs w:val="20"/>
                <w:color w:val="auto"/>
              </w:rPr>
            </w:pPr>
            <w:r>
              <w:rPr>
                <w:rFonts w:ascii="Arial" w:cs="Arial" w:eastAsia="Arial" w:hAnsi="Arial"/>
                <w:sz w:val="13"/>
                <w:szCs w:val="13"/>
                <w:color w:val="auto"/>
              </w:rPr>
              <w:t>Balance December 31, 2021</w:t>
            </w:r>
          </w:p>
        </w:tc>
        <w:tc>
          <w:tcPr>
            <w:tcW w:w="880" w:type="dxa"/>
            <w:vAlign w:val="bottom"/>
            <w:tcBorders>
              <w:bottom w:val="single" w:sz="8" w:color="DDDDDD"/>
            </w:tcBorders>
            <w:shd w:val="clear" w:color="auto" w:fill="DDDDDD"/>
          </w:tcPr>
          <w:p>
            <w:pPr>
              <w:spacing w:after="0"/>
              <w:rPr>
                <w:sz w:val="16"/>
                <w:szCs w:val="16"/>
                <w:color w:val="auto"/>
              </w:rPr>
            </w:pPr>
          </w:p>
        </w:tc>
        <w:tc>
          <w:tcPr>
            <w:tcW w:w="420" w:type="dxa"/>
            <w:vAlign w:val="bottom"/>
            <w:tcBorders>
              <w:bottom w:val="single" w:sz="8" w:color="DDDDDD"/>
            </w:tcBorders>
            <w:shd w:val="clear" w:color="auto" w:fill="DDDDDD"/>
          </w:tcPr>
          <w:p>
            <w:pPr>
              <w:spacing w:after="0"/>
              <w:rPr>
                <w:sz w:val="16"/>
                <w:szCs w:val="16"/>
                <w:color w:val="auto"/>
              </w:rPr>
            </w:pPr>
          </w:p>
        </w:tc>
        <w:tc>
          <w:tcPr>
            <w:tcW w:w="920" w:type="dxa"/>
            <w:vAlign w:val="bottom"/>
            <w:tcBorders>
              <w:bottom w:val="single" w:sz="8" w:color="DDDDDD"/>
            </w:tcBorders>
            <w:shd w:val="clear" w:color="auto" w:fill="DDDDDD"/>
          </w:tcPr>
          <w:p>
            <w:pPr>
              <w:spacing w:after="0"/>
              <w:rPr>
                <w:sz w:val="16"/>
                <w:szCs w:val="16"/>
                <w:color w:val="auto"/>
              </w:rPr>
            </w:pPr>
          </w:p>
        </w:tc>
        <w:tc>
          <w:tcPr>
            <w:tcW w:w="520" w:type="dxa"/>
            <w:vAlign w:val="bottom"/>
            <w:tcBorders>
              <w:bottom w:val="single" w:sz="8" w:color="DDDDDD"/>
            </w:tcBorders>
            <w:shd w:val="clear" w:color="auto" w:fill="DDDDDD"/>
          </w:tcPr>
          <w:p>
            <w:pPr>
              <w:spacing w:after="0"/>
              <w:rPr>
                <w:sz w:val="16"/>
                <w:szCs w:val="16"/>
                <w:color w:val="auto"/>
              </w:rPr>
            </w:pPr>
          </w:p>
        </w:tc>
        <w:tc>
          <w:tcPr>
            <w:tcW w:w="660" w:type="dxa"/>
            <w:vAlign w:val="bottom"/>
            <w:tcBorders>
              <w:bottom w:val="single" w:sz="8" w:color="DDDDDD"/>
            </w:tcBorders>
            <w:shd w:val="clear" w:color="auto" w:fill="DDDDDD"/>
          </w:tcPr>
          <w:p>
            <w:pPr>
              <w:spacing w:after="0"/>
              <w:rPr>
                <w:sz w:val="16"/>
                <w:szCs w:val="16"/>
                <w:color w:val="auto"/>
              </w:rPr>
            </w:pPr>
          </w:p>
        </w:tc>
        <w:tc>
          <w:tcPr>
            <w:tcW w:w="620" w:type="dxa"/>
            <w:vAlign w:val="bottom"/>
            <w:tcBorders>
              <w:bottom w:val="single" w:sz="8" w:color="DDDDDD"/>
            </w:tcBorders>
            <w:shd w:val="clear" w:color="auto" w:fill="DDDDDD"/>
          </w:tcPr>
          <w:p>
            <w:pPr>
              <w:spacing w:after="0"/>
              <w:rPr>
                <w:sz w:val="16"/>
                <w:szCs w:val="16"/>
                <w:color w:val="auto"/>
              </w:rPr>
            </w:pPr>
          </w:p>
        </w:tc>
        <w:tc>
          <w:tcPr>
            <w:tcW w:w="440" w:type="dxa"/>
            <w:vAlign w:val="bottom"/>
            <w:tcBorders>
              <w:bottom w:val="single" w:sz="8" w:color="DDDDDD"/>
            </w:tcBorders>
            <w:shd w:val="clear" w:color="auto" w:fill="DDDDDD"/>
          </w:tcPr>
          <w:p>
            <w:pPr>
              <w:spacing w:after="0"/>
              <w:rPr>
                <w:sz w:val="16"/>
                <w:szCs w:val="16"/>
                <w:color w:val="auto"/>
              </w:rPr>
            </w:pPr>
          </w:p>
        </w:tc>
        <w:tc>
          <w:tcPr>
            <w:tcW w:w="620" w:type="dxa"/>
            <w:vAlign w:val="bottom"/>
            <w:tcBorders>
              <w:bottom w:val="single" w:sz="8" w:color="DDDDDD"/>
            </w:tcBorders>
            <w:shd w:val="clear" w:color="auto" w:fill="DDDDDD"/>
          </w:tcPr>
          <w:p>
            <w:pPr>
              <w:spacing w:after="0"/>
              <w:rPr>
                <w:sz w:val="16"/>
                <w:szCs w:val="16"/>
                <w:color w:val="auto"/>
              </w:rPr>
            </w:pPr>
          </w:p>
        </w:tc>
        <w:tc>
          <w:tcPr>
            <w:tcW w:w="520" w:type="dxa"/>
            <w:vAlign w:val="bottom"/>
            <w:tcBorders>
              <w:bottom w:val="single" w:sz="8" w:color="auto"/>
            </w:tcBorders>
            <w:shd w:val="clear" w:color="auto" w:fill="DBDBDB"/>
          </w:tcPr>
          <w:p>
            <w:pPr>
              <w:spacing w:after="0"/>
              <w:rPr>
                <w:sz w:val="16"/>
                <w:szCs w:val="16"/>
                <w:color w:val="auto"/>
              </w:rPr>
            </w:pPr>
          </w:p>
        </w:tc>
        <w:tc>
          <w:tcPr>
            <w:tcW w:w="116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3"/>
                <w:szCs w:val="13"/>
                <w:color w:val="auto"/>
              </w:rPr>
              <w:t>36,176</w:t>
            </w:r>
          </w:p>
        </w:tc>
        <w:tc>
          <w:tcPr>
            <w:tcW w:w="180" w:type="dxa"/>
            <w:vAlign w:val="bottom"/>
            <w:tcBorders>
              <w:bottom w:val="single" w:sz="8" w:color="DBDBDB"/>
            </w:tcBorders>
            <w:shd w:val="clear" w:color="auto" w:fill="DBDBDB"/>
          </w:tcPr>
          <w:p>
            <w:pPr>
              <w:spacing w:after="0"/>
              <w:rPr>
                <w:sz w:val="16"/>
                <w:szCs w:val="16"/>
                <w:color w:val="auto"/>
              </w:rPr>
            </w:pPr>
          </w:p>
        </w:tc>
        <w:tc>
          <w:tcPr>
            <w:tcW w:w="5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DBDBDB"/>
            </w:tcBorders>
            <w:shd w:val="clear" w:color="auto" w:fill="DBDBDB"/>
          </w:tcPr>
          <w:p>
            <w:pPr>
              <w:spacing w:after="0"/>
              <w:rPr>
                <w:sz w:val="16"/>
                <w:szCs w:val="16"/>
                <w:color w:val="auto"/>
              </w:rPr>
            </w:pPr>
          </w:p>
        </w:tc>
        <w:tc>
          <w:tcPr>
            <w:tcW w:w="440" w:type="dxa"/>
            <w:vAlign w:val="bottom"/>
            <w:tcBorders>
              <w:bottom w:val="single" w:sz="8" w:color="DBDBDB"/>
            </w:tcBorders>
            <w:shd w:val="clear" w:color="auto" w:fill="DBDBDB"/>
          </w:tcPr>
          <w:p>
            <w:pPr>
              <w:spacing w:after="0"/>
              <w:rPr>
                <w:sz w:val="16"/>
                <w:szCs w:val="16"/>
                <w:color w:val="auto"/>
              </w:rPr>
            </w:pPr>
          </w:p>
        </w:tc>
        <w:tc>
          <w:tcPr>
            <w:tcW w:w="4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29.30</w:t>
            </w:r>
          </w:p>
        </w:tc>
      </w:tr>
      <w:tr>
        <w:trPr>
          <w:trHeight w:val="20"/>
        </w:trPr>
        <w:tc>
          <w:tcPr>
            <w:tcW w:w="880" w:type="dxa"/>
            <w:vAlign w:val="bottom"/>
            <w:tcBorders>
              <w:top w:val="single" w:sz="8" w:color="DDDDDD"/>
            </w:tcBorders>
          </w:tcPr>
          <w:p>
            <w:pPr>
              <w:spacing w:after="0" w:line="20" w:lineRule="exact"/>
              <w:rPr>
                <w:sz w:val="1"/>
                <w:szCs w:val="1"/>
                <w:color w:val="auto"/>
              </w:rPr>
            </w:pPr>
          </w:p>
        </w:tc>
        <w:tc>
          <w:tcPr>
            <w:tcW w:w="760" w:type="dxa"/>
            <w:vAlign w:val="bottom"/>
            <w:tcBorders>
              <w:top w:val="single" w:sz="8" w:color="DDDDDD"/>
            </w:tcBorders>
          </w:tcPr>
          <w:p>
            <w:pPr>
              <w:spacing w:after="0" w:line="20" w:lineRule="exact"/>
              <w:rPr>
                <w:sz w:val="1"/>
                <w:szCs w:val="1"/>
                <w:color w:val="auto"/>
              </w:rPr>
            </w:pPr>
          </w:p>
        </w:tc>
        <w:tc>
          <w:tcPr>
            <w:tcW w:w="640" w:type="dxa"/>
            <w:vAlign w:val="bottom"/>
            <w:tcBorders>
              <w:top w:val="single" w:sz="8" w:color="DDDDDD"/>
            </w:tcBorders>
          </w:tcPr>
          <w:p>
            <w:pPr>
              <w:spacing w:after="0" w:line="20" w:lineRule="exact"/>
              <w:rPr>
                <w:sz w:val="1"/>
                <w:szCs w:val="1"/>
                <w:color w:val="auto"/>
              </w:rPr>
            </w:pPr>
          </w:p>
        </w:tc>
        <w:tc>
          <w:tcPr>
            <w:tcW w:w="880" w:type="dxa"/>
            <w:vAlign w:val="bottom"/>
            <w:tcBorders>
              <w:top w:val="single" w:sz="8" w:color="DDDDDD"/>
            </w:tcBorders>
          </w:tcPr>
          <w:p>
            <w:pPr>
              <w:spacing w:after="0" w:line="20" w:lineRule="exact"/>
              <w:rPr>
                <w:sz w:val="1"/>
                <w:szCs w:val="1"/>
                <w:color w:val="auto"/>
              </w:rPr>
            </w:pPr>
          </w:p>
        </w:tc>
        <w:tc>
          <w:tcPr>
            <w:tcW w:w="420" w:type="dxa"/>
            <w:vAlign w:val="bottom"/>
            <w:tcBorders>
              <w:top w:val="single" w:sz="8" w:color="DDDDDD"/>
            </w:tcBorders>
          </w:tcPr>
          <w:p>
            <w:pPr>
              <w:spacing w:after="0" w:line="20" w:lineRule="exact"/>
              <w:rPr>
                <w:sz w:val="1"/>
                <w:szCs w:val="1"/>
                <w:color w:val="auto"/>
              </w:rPr>
            </w:pPr>
          </w:p>
        </w:tc>
        <w:tc>
          <w:tcPr>
            <w:tcW w:w="920" w:type="dxa"/>
            <w:vAlign w:val="bottom"/>
            <w:tcBorders>
              <w:top w:val="single" w:sz="8" w:color="DDDDDD"/>
            </w:tcBorders>
          </w:tcPr>
          <w:p>
            <w:pPr>
              <w:spacing w:after="0" w:line="20" w:lineRule="exact"/>
              <w:rPr>
                <w:sz w:val="1"/>
                <w:szCs w:val="1"/>
                <w:color w:val="auto"/>
              </w:rPr>
            </w:pPr>
          </w:p>
        </w:tc>
        <w:tc>
          <w:tcPr>
            <w:tcW w:w="520" w:type="dxa"/>
            <w:vAlign w:val="bottom"/>
            <w:tcBorders>
              <w:top w:val="single" w:sz="8" w:color="DDDDDD"/>
            </w:tcBorders>
          </w:tcPr>
          <w:p>
            <w:pPr>
              <w:spacing w:after="0" w:line="20" w:lineRule="exact"/>
              <w:rPr>
                <w:sz w:val="1"/>
                <w:szCs w:val="1"/>
                <w:color w:val="auto"/>
              </w:rPr>
            </w:pPr>
          </w:p>
        </w:tc>
        <w:tc>
          <w:tcPr>
            <w:tcW w:w="660" w:type="dxa"/>
            <w:vAlign w:val="bottom"/>
            <w:tcBorders>
              <w:top w:val="single" w:sz="8" w:color="DDDDDD"/>
            </w:tcBorders>
          </w:tcPr>
          <w:p>
            <w:pPr>
              <w:spacing w:after="0" w:line="20" w:lineRule="exact"/>
              <w:rPr>
                <w:sz w:val="1"/>
                <w:szCs w:val="1"/>
                <w:color w:val="auto"/>
              </w:rPr>
            </w:pPr>
          </w:p>
        </w:tc>
        <w:tc>
          <w:tcPr>
            <w:tcW w:w="620" w:type="dxa"/>
            <w:vAlign w:val="bottom"/>
            <w:tcBorders>
              <w:top w:val="single" w:sz="8" w:color="DDDDDD"/>
            </w:tcBorders>
          </w:tcPr>
          <w:p>
            <w:pPr>
              <w:spacing w:after="0" w:line="20" w:lineRule="exact"/>
              <w:rPr>
                <w:sz w:val="1"/>
                <w:szCs w:val="1"/>
                <w:color w:val="auto"/>
              </w:rPr>
            </w:pPr>
          </w:p>
        </w:tc>
        <w:tc>
          <w:tcPr>
            <w:tcW w:w="440" w:type="dxa"/>
            <w:vAlign w:val="bottom"/>
            <w:tcBorders>
              <w:top w:val="single" w:sz="8" w:color="DDDDDD"/>
            </w:tcBorders>
          </w:tcPr>
          <w:p>
            <w:pPr>
              <w:spacing w:after="0" w:line="20" w:lineRule="exact"/>
              <w:rPr>
                <w:sz w:val="1"/>
                <w:szCs w:val="1"/>
                <w:color w:val="auto"/>
              </w:rPr>
            </w:pPr>
          </w:p>
        </w:tc>
        <w:tc>
          <w:tcPr>
            <w:tcW w:w="620" w:type="dxa"/>
            <w:vAlign w:val="bottom"/>
            <w:tcBorders>
              <w:top w:val="single" w:sz="8" w:color="DDDDDD"/>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500" w:type="dxa"/>
            <w:vAlign w:val="bottom"/>
            <w:tcBorders>
              <w:top w:val="single" w:sz="8" w:color="DBDBDB"/>
            </w:tcBorders>
          </w:tcPr>
          <w:p>
            <w:pPr>
              <w:spacing w:after="0" w:line="20" w:lineRule="exact"/>
              <w:rPr>
                <w:sz w:val="1"/>
                <w:szCs w:val="1"/>
                <w:color w:val="auto"/>
              </w:rPr>
            </w:pPr>
          </w:p>
        </w:tc>
        <w:tc>
          <w:tcPr>
            <w:tcW w:w="64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DBDBDB"/>
            </w:tcBorders>
          </w:tcPr>
          <w:p>
            <w:pPr>
              <w:spacing w:after="0" w:line="20" w:lineRule="exact"/>
              <w:rPr>
                <w:sz w:val="1"/>
                <w:szCs w:val="1"/>
                <w:color w:val="auto"/>
              </w:rPr>
            </w:pPr>
          </w:p>
        </w:tc>
      </w:tr>
    </w:tbl>
    <w:p>
      <w:pPr>
        <w:spacing w:after="0" w:line="100"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Compensation expense for RSAs recognized in SG&amp;A expense in the consolidated statements of operations was $0.8 million, $0.9 million, and $1.0 million for the years ended December 31, 2021, 2020, and 2019, respectively. At December 31, 2021, there was $0.5 million of unrecognized compensation cost related to RSAs that was expected to be recognized over the remaining weighted average vesting period of 0.4 years. The total fair value of RSA's vested in 2021, 2020, and 2019 was $1.6 million, $0.9 million, and $0.9 million, respectively.</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Time-Based RSUs</w:t>
      </w:r>
    </w:p>
    <w:p>
      <w:pPr>
        <w:spacing w:after="0" w:line="110"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following table summarizes the Company's Time-Based RSU activity during the years ended December 31, 2021, 2020 and 2019:</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00" w:type="dxa"/>
            <w:vAlign w:val="bottom"/>
            <w:shd w:val="clear" w:color="auto" w:fill="1D2758"/>
          </w:tcPr>
          <w:p>
            <w:pPr>
              <w:spacing w:after="0"/>
              <w:rPr>
                <w:sz w:val="13"/>
                <w:szCs w:val="13"/>
                <w:color w:val="auto"/>
              </w:rPr>
            </w:pPr>
          </w:p>
        </w:tc>
        <w:tc>
          <w:tcPr>
            <w:tcW w:w="1700" w:type="dxa"/>
            <w:vAlign w:val="bottom"/>
            <w:vMerge w:val="restart"/>
            <w:shd w:val="clear" w:color="auto" w:fill="1D2758"/>
          </w:tcPr>
          <w:p>
            <w:pPr>
              <w:jc w:val="right"/>
              <w:ind w:right="214"/>
              <w:spacing w:after="0"/>
              <w:rPr>
                <w:sz w:val="20"/>
                <w:szCs w:val="20"/>
                <w:color w:val="auto"/>
              </w:rPr>
            </w:pPr>
            <w:r>
              <w:rPr>
                <w:rFonts w:ascii="Arial" w:cs="Arial" w:eastAsia="Arial" w:hAnsi="Arial"/>
                <w:sz w:val="13"/>
                <w:szCs w:val="13"/>
                <w:b w:val="1"/>
                <w:bCs w:val="1"/>
                <w:color w:val="FFFFFF"/>
              </w:rPr>
              <w:t>Number of Shares</w:t>
            </w:r>
          </w:p>
        </w:tc>
        <w:tc>
          <w:tcPr>
            <w:tcW w:w="1780" w:type="dxa"/>
            <w:vAlign w:val="bottom"/>
            <w:gridSpan w:val="2"/>
            <w:shd w:val="clear" w:color="auto" w:fill="1D2758"/>
          </w:tcPr>
          <w:p>
            <w:pPr>
              <w:jc w:val="right"/>
              <w:ind w:right="14"/>
              <w:spacing w:after="0"/>
              <w:rPr>
                <w:sz w:val="20"/>
                <w:szCs w:val="20"/>
                <w:color w:val="auto"/>
              </w:rPr>
            </w:pPr>
            <w:r>
              <w:rPr>
                <w:rFonts w:ascii="Arial" w:cs="Arial" w:eastAsia="Arial" w:hAnsi="Arial"/>
                <w:sz w:val="13"/>
                <w:szCs w:val="13"/>
                <w:b w:val="1"/>
                <w:bCs w:val="1"/>
                <w:color w:val="FFFFFF"/>
              </w:rPr>
              <w:t>Weighted-Average Grant</w:t>
            </w:r>
          </w:p>
        </w:tc>
        <w:tc>
          <w:tcPr>
            <w:tcW w:w="0" w:type="dxa"/>
            <w:vAlign w:val="bottom"/>
          </w:tcPr>
          <w:p>
            <w:pPr>
              <w:spacing w:after="0"/>
              <w:rPr>
                <w:sz w:val="1"/>
                <w:szCs w:val="1"/>
                <w:color w:val="auto"/>
              </w:rPr>
            </w:pPr>
          </w:p>
        </w:tc>
      </w:tr>
      <w:tr>
        <w:trPr>
          <w:trHeight w:val="175"/>
        </w:trPr>
        <w:tc>
          <w:tcPr>
            <w:tcW w:w="7800" w:type="dxa"/>
            <w:vAlign w:val="bottom"/>
            <w:shd w:val="clear" w:color="auto" w:fill="1D2758"/>
          </w:tcPr>
          <w:p>
            <w:pPr>
              <w:spacing w:after="0"/>
              <w:rPr>
                <w:sz w:val="15"/>
                <w:szCs w:val="15"/>
                <w:color w:val="auto"/>
              </w:rPr>
            </w:pPr>
          </w:p>
        </w:tc>
        <w:tc>
          <w:tcPr>
            <w:tcW w:w="1700" w:type="dxa"/>
            <w:vAlign w:val="bottom"/>
            <w:vMerge w:val="continue"/>
            <w:shd w:val="clear" w:color="auto" w:fill="1D2758"/>
          </w:tcPr>
          <w:p>
            <w:pPr>
              <w:spacing w:after="0"/>
              <w:rPr>
                <w:sz w:val="15"/>
                <w:szCs w:val="15"/>
                <w:color w:val="auto"/>
              </w:rPr>
            </w:pPr>
          </w:p>
        </w:tc>
        <w:tc>
          <w:tcPr>
            <w:tcW w:w="320" w:type="dxa"/>
            <w:vAlign w:val="bottom"/>
            <w:shd w:val="clear" w:color="auto" w:fill="1D2758"/>
          </w:tcPr>
          <w:p>
            <w:pPr>
              <w:spacing w:after="0"/>
              <w:rPr>
                <w:sz w:val="15"/>
                <w:szCs w:val="15"/>
                <w:color w:val="auto"/>
              </w:rPr>
            </w:pPr>
          </w:p>
        </w:tc>
        <w:tc>
          <w:tcPr>
            <w:tcW w:w="1460" w:type="dxa"/>
            <w:vAlign w:val="bottom"/>
            <w:shd w:val="clear" w:color="auto" w:fill="1D2758"/>
          </w:tcPr>
          <w:p>
            <w:pPr>
              <w:jc w:val="right"/>
              <w:ind w:right="314"/>
              <w:spacing w:after="0"/>
              <w:rPr>
                <w:sz w:val="20"/>
                <w:szCs w:val="20"/>
                <w:color w:val="auto"/>
              </w:rPr>
            </w:pPr>
            <w:r>
              <w:rPr>
                <w:rFonts w:ascii="Arial" w:cs="Arial" w:eastAsia="Arial" w:hAnsi="Arial"/>
                <w:sz w:val="13"/>
                <w:szCs w:val="13"/>
                <w:b w:val="1"/>
                <w:bCs w:val="1"/>
                <w:color w:val="FFFFFF"/>
              </w:rPr>
              <w:t>Date Fair Value</w:t>
            </w:r>
          </w:p>
        </w:tc>
        <w:tc>
          <w:tcPr>
            <w:tcW w:w="0" w:type="dxa"/>
            <w:vAlign w:val="bottom"/>
          </w:tcPr>
          <w:p>
            <w:pPr>
              <w:spacing w:after="0"/>
              <w:rPr>
                <w:sz w:val="1"/>
                <w:szCs w:val="1"/>
                <w:color w:val="auto"/>
              </w:rPr>
            </w:pPr>
          </w:p>
        </w:tc>
      </w:tr>
      <w:tr>
        <w:trPr>
          <w:trHeight w:val="175"/>
        </w:trPr>
        <w:tc>
          <w:tcPr>
            <w:tcW w:w="7800" w:type="dxa"/>
            <w:vAlign w:val="bottom"/>
            <w:shd w:val="clear" w:color="auto" w:fill="DBDBDB"/>
          </w:tcPr>
          <w:p>
            <w:pPr>
              <w:ind w:left="20"/>
              <w:spacing w:after="0"/>
              <w:rPr>
                <w:sz w:val="20"/>
                <w:szCs w:val="20"/>
                <w:color w:val="auto"/>
              </w:rPr>
            </w:pPr>
            <w:r>
              <w:rPr>
                <w:rFonts w:ascii="Arial" w:cs="Arial" w:eastAsia="Arial" w:hAnsi="Arial"/>
                <w:sz w:val="13"/>
                <w:szCs w:val="13"/>
                <w:color w:val="auto"/>
              </w:rPr>
              <w:t>Balance, December 31, 2018</w:t>
            </w:r>
          </w:p>
        </w:tc>
        <w:tc>
          <w:tcPr>
            <w:tcW w:w="1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852,733</w:t>
            </w:r>
          </w:p>
        </w:tc>
        <w:tc>
          <w:tcPr>
            <w:tcW w:w="32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13.60</w:t>
            </w:r>
          </w:p>
        </w:tc>
        <w:tc>
          <w:tcPr>
            <w:tcW w:w="0" w:type="dxa"/>
            <w:vAlign w:val="bottom"/>
          </w:tcPr>
          <w:p>
            <w:pPr>
              <w:spacing w:after="0"/>
              <w:rPr>
                <w:sz w:val="1"/>
                <w:szCs w:val="1"/>
                <w:color w:val="auto"/>
              </w:rPr>
            </w:pPr>
          </w:p>
        </w:tc>
      </w:tr>
      <w:tr>
        <w:trPr>
          <w:trHeight w:val="172"/>
        </w:trPr>
        <w:tc>
          <w:tcPr>
            <w:tcW w:w="7800" w:type="dxa"/>
            <w:vAlign w:val="bottom"/>
          </w:tcPr>
          <w:p>
            <w:pPr>
              <w:ind w:left="200"/>
              <w:spacing w:after="0"/>
              <w:rPr>
                <w:sz w:val="20"/>
                <w:szCs w:val="20"/>
                <w:color w:val="auto"/>
              </w:rPr>
            </w:pPr>
            <w:r>
              <w:rPr>
                <w:rFonts w:ascii="Arial" w:cs="Arial" w:eastAsia="Arial" w:hAnsi="Arial"/>
                <w:sz w:val="13"/>
                <w:szCs w:val="13"/>
                <w:color w:val="auto"/>
              </w:rPr>
              <w:t>Granted</w:t>
            </w:r>
          </w:p>
        </w:tc>
        <w:tc>
          <w:tcPr>
            <w:tcW w:w="1700" w:type="dxa"/>
            <w:vAlign w:val="bottom"/>
          </w:tcPr>
          <w:p>
            <w:pPr>
              <w:jc w:val="right"/>
              <w:spacing w:after="0"/>
              <w:rPr>
                <w:sz w:val="20"/>
                <w:szCs w:val="20"/>
                <w:color w:val="auto"/>
              </w:rPr>
            </w:pPr>
            <w:r>
              <w:rPr>
                <w:rFonts w:ascii="Arial" w:cs="Arial" w:eastAsia="Arial" w:hAnsi="Arial"/>
                <w:sz w:val="13"/>
                <w:szCs w:val="13"/>
                <w:color w:val="auto"/>
              </w:rPr>
              <w:t>478,400</w:t>
            </w:r>
          </w:p>
        </w:tc>
        <w:tc>
          <w:tcPr>
            <w:tcW w:w="32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11.69</w:t>
            </w:r>
          </w:p>
        </w:tc>
        <w:tc>
          <w:tcPr>
            <w:tcW w:w="0" w:type="dxa"/>
            <w:vAlign w:val="bottom"/>
          </w:tcPr>
          <w:p>
            <w:pPr>
              <w:spacing w:after="0"/>
              <w:rPr>
                <w:sz w:val="1"/>
                <w:szCs w:val="1"/>
                <w:color w:val="auto"/>
              </w:rPr>
            </w:pPr>
          </w:p>
        </w:tc>
      </w:tr>
      <w:tr>
        <w:trPr>
          <w:trHeight w:val="178"/>
        </w:trPr>
        <w:tc>
          <w:tcPr>
            <w:tcW w:w="7800" w:type="dxa"/>
            <w:vAlign w:val="bottom"/>
            <w:shd w:val="clear" w:color="auto" w:fill="DBDBDB"/>
          </w:tcPr>
          <w:p>
            <w:pPr>
              <w:ind w:left="200"/>
              <w:spacing w:after="0"/>
              <w:rPr>
                <w:sz w:val="20"/>
                <w:szCs w:val="20"/>
                <w:color w:val="auto"/>
              </w:rPr>
            </w:pPr>
            <w:r>
              <w:rPr>
                <w:rFonts w:ascii="Arial" w:cs="Arial" w:eastAsia="Arial" w:hAnsi="Arial"/>
                <w:sz w:val="13"/>
                <w:szCs w:val="13"/>
                <w:color w:val="auto"/>
              </w:rPr>
              <w:t>Forfeited</w:t>
            </w:r>
          </w:p>
        </w:tc>
        <w:tc>
          <w:tcPr>
            <w:tcW w:w="1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(52,648)</w:t>
            </w:r>
          </w:p>
        </w:tc>
        <w:tc>
          <w:tcPr>
            <w:tcW w:w="32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12.78</w:t>
            </w:r>
          </w:p>
        </w:tc>
        <w:tc>
          <w:tcPr>
            <w:tcW w:w="0" w:type="dxa"/>
            <w:vAlign w:val="bottom"/>
          </w:tcPr>
          <w:p>
            <w:pPr>
              <w:spacing w:after="0"/>
              <w:rPr>
                <w:sz w:val="1"/>
                <w:szCs w:val="1"/>
                <w:color w:val="auto"/>
              </w:rPr>
            </w:pPr>
          </w:p>
        </w:tc>
      </w:tr>
      <w:tr>
        <w:trPr>
          <w:trHeight w:val="172"/>
        </w:trPr>
        <w:tc>
          <w:tcPr>
            <w:tcW w:w="7800" w:type="dxa"/>
            <w:vAlign w:val="bottom"/>
            <w:tcBorders>
              <w:bottom w:val="single" w:sz="8" w:color="DBDBDB"/>
            </w:tcBorders>
          </w:tcPr>
          <w:p>
            <w:pPr>
              <w:ind w:left="200"/>
              <w:spacing w:after="0"/>
              <w:rPr>
                <w:sz w:val="20"/>
                <w:szCs w:val="20"/>
                <w:color w:val="auto"/>
              </w:rPr>
            </w:pPr>
            <w:r>
              <w:rPr>
                <w:rFonts w:ascii="Arial" w:cs="Arial" w:eastAsia="Arial" w:hAnsi="Arial"/>
                <w:sz w:val="13"/>
                <w:szCs w:val="13"/>
                <w:color w:val="auto"/>
              </w:rPr>
              <w:t>Vested</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(213,180)</w:t>
            </w:r>
          </w:p>
        </w:tc>
        <w:tc>
          <w:tcPr>
            <w:tcW w:w="320" w:type="dxa"/>
            <w:vAlign w:val="bottom"/>
            <w:tcBorders>
              <w:bottom w:val="single" w:sz="8" w:color="DBDBDB"/>
            </w:tcBorders>
          </w:tcPr>
          <w:p>
            <w:pPr>
              <w:jc w:val="right"/>
              <w:ind w:right="74"/>
              <w:spacing w:after="0"/>
              <w:rPr>
                <w:sz w:val="20"/>
                <w:szCs w:val="20"/>
                <w:color w:val="auto"/>
              </w:rPr>
            </w:pPr>
            <w:r>
              <w:rPr>
                <w:rFonts w:ascii="Arial" w:cs="Arial" w:eastAsia="Arial" w:hAnsi="Arial"/>
                <w:sz w:val="13"/>
                <w:szCs w:val="13"/>
                <w:color w:val="auto"/>
              </w:rPr>
              <w:t>$</w:t>
            </w:r>
          </w:p>
        </w:tc>
        <w:tc>
          <w:tcPr>
            <w:tcW w:w="1460" w:type="dxa"/>
            <w:vAlign w:val="bottom"/>
            <w:tcBorders>
              <w:bottom w:val="single" w:sz="8" w:color="DBDBDB"/>
            </w:tcBorders>
          </w:tcPr>
          <w:p>
            <w:pPr>
              <w:jc w:val="right"/>
              <w:spacing w:after="0"/>
              <w:rPr>
                <w:sz w:val="20"/>
                <w:szCs w:val="20"/>
                <w:color w:val="auto"/>
              </w:rPr>
            </w:pPr>
            <w:r>
              <w:rPr>
                <w:rFonts w:ascii="Arial" w:cs="Arial" w:eastAsia="Arial" w:hAnsi="Arial"/>
                <w:sz w:val="13"/>
                <w:szCs w:val="13"/>
                <w:color w:val="auto"/>
              </w:rPr>
              <w:t>12.78</w:t>
            </w:r>
          </w:p>
        </w:tc>
        <w:tc>
          <w:tcPr>
            <w:tcW w:w="0" w:type="dxa"/>
            <w:vAlign w:val="bottom"/>
          </w:tcPr>
          <w:p>
            <w:pPr>
              <w:spacing w:after="0"/>
              <w:rPr>
                <w:sz w:val="1"/>
                <w:szCs w:val="1"/>
                <w:color w:val="auto"/>
              </w:rPr>
            </w:pPr>
          </w:p>
        </w:tc>
      </w:tr>
      <w:tr>
        <w:trPr>
          <w:trHeight w:val="169"/>
        </w:trPr>
        <w:tc>
          <w:tcPr>
            <w:tcW w:w="7800" w:type="dxa"/>
            <w:vAlign w:val="bottom"/>
            <w:shd w:val="clear" w:color="auto" w:fill="DBDBDB"/>
          </w:tcPr>
          <w:p>
            <w:pPr>
              <w:ind w:left="20"/>
              <w:spacing w:after="0"/>
              <w:rPr>
                <w:sz w:val="20"/>
                <w:szCs w:val="20"/>
                <w:color w:val="auto"/>
              </w:rPr>
            </w:pPr>
            <w:r>
              <w:rPr>
                <w:rFonts w:ascii="Arial" w:cs="Arial" w:eastAsia="Arial" w:hAnsi="Arial"/>
                <w:sz w:val="13"/>
                <w:szCs w:val="13"/>
                <w:color w:val="auto"/>
              </w:rPr>
              <w:t>Balance December 31, 2019</w:t>
            </w:r>
          </w:p>
        </w:tc>
        <w:tc>
          <w:tcPr>
            <w:tcW w:w="1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1,065,305</w:t>
            </w:r>
          </w:p>
        </w:tc>
        <w:tc>
          <w:tcPr>
            <w:tcW w:w="32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12.78</w:t>
            </w:r>
          </w:p>
        </w:tc>
        <w:tc>
          <w:tcPr>
            <w:tcW w:w="0" w:type="dxa"/>
            <w:vAlign w:val="bottom"/>
          </w:tcPr>
          <w:p>
            <w:pPr>
              <w:spacing w:after="0"/>
              <w:rPr>
                <w:sz w:val="1"/>
                <w:szCs w:val="1"/>
                <w:color w:val="auto"/>
              </w:rPr>
            </w:pPr>
          </w:p>
        </w:tc>
      </w:tr>
      <w:tr>
        <w:trPr>
          <w:trHeight w:val="172"/>
        </w:trPr>
        <w:tc>
          <w:tcPr>
            <w:tcW w:w="7800" w:type="dxa"/>
            <w:vAlign w:val="bottom"/>
          </w:tcPr>
          <w:p>
            <w:pPr>
              <w:ind w:left="200"/>
              <w:spacing w:after="0"/>
              <w:rPr>
                <w:sz w:val="20"/>
                <w:szCs w:val="20"/>
                <w:color w:val="auto"/>
              </w:rPr>
            </w:pPr>
            <w:r>
              <w:rPr>
                <w:rFonts w:ascii="Arial" w:cs="Arial" w:eastAsia="Arial" w:hAnsi="Arial"/>
                <w:sz w:val="13"/>
                <w:szCs w:val="13"/>
                <w:color w:val="auto"/>
              </w:rPr>
              <w:t>Granted</w:t>
            </w:r>
          </w:p>
        </w:tc>
        <w:tc>
          <w:tcPr>
            <w:tcW w:w="1700" w:type="dxa"/>
            <w:vAlign w:val="bottom"/>
          </w:tcPr>
          <w:p>
            <w:pPr>
              <w:jc w:val="right"/>
              <w:spacing w:after="0"/>
              <w:rPr>
                <w:sz w:val="20"/>
                <w:szCs w:val="20"/>
                <w:color w:val="auto"/>
              </w:rPr>
            </w:pPr>
            <w:r>
              <w:rPr>
                <w:rFonts w:ascii="Arial" w:cs="Arial" w:eastAsia="Arial" w:hAnsi="Arial"/>
                <w:sz w:val="13"/>
                <w:szCs w:val="13"/>
                <w:color w:val="auto"/>
              </w:rPr>
              <w:t>632,864</w:t>
            </w:r>
          </w:p>
        </w:tc>
        <w:tc>
          <w:tcPr>
            <w:tcW w:w="32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14.37</w:t>
            </w:r>
          </w:p>
        </w:tc>
        <w:tc>
          <w:tcPr>
            <w:tcW w:w="0" w:type="dxa"/>
            <w:vAlign w:val="bottom"/>
          </w:tcPr>
          <w:p>
            <w:pPr>
              <w:spacing w:after="0"/>
              <w:rPr>
                <w:sz w:val="1"/>
                <w:szCs w:val="1"/>
                <w:color w:val="auto"/>
              </w:rPr>
            </w:pPr>
          </w:p>
        </w:tc>
      </w:tr>
      <w:tr>
        <w:trPr>
          <w:trHeight w:val="178"/>
        </w:trPr>
        <w:tc>
          <w:tcPr>
            <w:tcW w:w="7800" w:type="dxa"/>
            <w:vAlign w:val="bottom"/>
            <w:shd w:val="clear" w:color="auto" w:fill="DBDBDB"/>
          </w:tcPr>
          <w:p>
            <w:pPr>
              <w:ind w:left="200"/>
              <w:spacing w:after="0"/>
              <w:rPr>
                <w:sz w:val="20"/>
                <w:szCs w:val="20"/>
                <w:color w:val="auto"/>
              </w:rPr>
            </w:pPr>
            <w:r>
              <w:rPr>
                <w:rFonts w:ascii="Arial" w:cs="Arial" w:eastAsia="Arial" w:hAnsi="Arial"/>
                <w:sz w:val="13"/>
                <w:szCs w:val="13"/>
                <w:color w:val="auto"/>
              </w:rPr>
              <w:t>Forfeited</w:t>
            </w:r>
          </w:p>
        </w:tc>
        <w:tc>
          <w:tcPr>
            <w:tcW w:w="1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(33,558)</w:t>
            </w:r>
          </w:p>
        </w:tc>
        <w:tc>
          <w:tcPr>
            <w:tcW w:w="32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13.28</w:t>
            </w:r>
          </w:p>
        </w:tc>
        <w:tc>
          <w:tcPr>
            <w:tcW w:w="0" w:type="dxa"/>
            <w:vAlign w:val="bottom"/>
          </w:tcPr>
          <w:p>
            <w:pPr>
              <w:spacing w:after="0"/>
              <w:rPr>
                <w:sz w:val="1"/>
                <w:szCs w:val="1"/>
                <w:color w:val="auto"/>
              </w:rPr>
            </w:pPr>
          </w:p>
        </w:tc>
      </w:tr>
      <w:tr>
        <w:trPr>
          <w:trHeight w:val="172"/>
        </w:trPr>
        <w:tc>
          <w:tcPr>
            <w:tcW w:w="7800" w:type="dxa"/>
            <w:vAlign w:val="bottom"/>
            <w:tcBorders>
              <w:bottom w:val="single" w:sz="8" w:color="DBDBDB"/>
            </w:tcBorders>
          </w:tcPr>
          <w:p>
            <w:pPr>
              <w:ind w:left="200"/>
              <w:spacing w:after="0"/>
              <w:rPr>
                <w:sz w:val="20"/>
                <w:szCs w:val="20"/>
                <w:color w:val="auto"/>
              </w:rPr>
            </w:pPr>
            <w:r>
              <w:rPr>
                <w:rFonts w:ascii="Arial" w:cs="Arial" w:eastAsia="Arial" w:hAnsi="Arial"/>
                <w:sz w:val="13"/>
                <w:szCs w:val="13"/>
                <w:color w:val="auto"/>
              </w:rPr>
              <w:t>Vested</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(338,749)</w:t>
            </w:r>
          </w:p>
        </w:tc>
        <w:tc>
          <w:tcPr>
            <w:tcW w:w="320" w:type="dxa"/>
            <w:vAlign w:val="bottom"/>
            <w:tcBorders>
              <w:bottom w:val="single" w:sz="8" w:color="DBDBDB"/>
            </w:tcBorders>
          </w:tcPr>
          <w:p>
            <w:pPr>
              <w:jc w:val="right"/>
              <w:ind w:right="74"/>
              <w:spacing w:after="0"/>
              <w:rPr>
                <w:sz w:val="20"/>
                <w:szCs w:val="20"/>
                <w:color w:val="auto"/>
              </w:rPr>
            </w:pPr>
            <w:r>
              <w:rPr>
                <w:rFonts w:ascii="Arial" w:cs="Arial" w:eastAsia="Arial" w:hAnsi="Arial"/>
                <w:sz w:val="13"/>
                <w:szCs w:val="13"/>
                <w:color w:val="auto"/>
              </w:rPr>
              <w:t>$</w:t>
            </w:r>
          </w:p>
        </w:tc>
        <w:tc>
          <w:tcPr>
            <w:tcW w:w="1460" w:type="dxa"/>
            <w:vAlign w:val="bottom"/>
            <w:tcBorders>
              <w:bottom w:val="single" w:sz="8" w:color="DBDBDB"/>
            </w:tcBorders>
          </w:tcPr>
          <w:p>
            <w:pPr>
              <w:jc w:val="right"/>
              <w:spacing w:after="0"/>
              <w:rPr>
                <w:sz w:val="20"/>
                <w:szCs w:val="20"/>
                <w:color w:val="auto"/>
              </w:rPr>
            </w:pPr>
            <w:r>
              <w:rPr>
                <w:rFonts w:ascii="Arial" w:cs="Arial" w:eastAsia="Arial" w:hAnsi="Arial"/>
                <w:sz w:val="13"/>
                <w:szCs w:val="13"/>
                <w:color w:val="auto"/>
              </w:rPr>
              <w:t>13.02</w:t>
            </w:r>
          </w:p>
        </w:tc>
        <w:tc>
          <w:tcPr>
            <w:tcW w:w="0" w:type="dxa"/>
            <w:vAlign w:val="bottom"/>
          </w:tcPr>
          <w:p>
            <w:pPr>
              <w:spacing w:after="0"/>
              <w:rPr>
                <w:sz w:val="1"/>
                <w:szCs w:val="1"/>
                <w:color w:val="auto"/>
              </w:rPr>
            </w:pPr>
          </w:p>
        </w:tc>
      </w:tr>
      <w:tr>
        <w:trPr>
          <w:trHeight w:val="169"/>
        </w:trPr>
        <w:tc>
          <w:tcPr>
            <w:tcW w:w="7800" w:type="dxa"/>
            <w:vAlign w:val="bottom"/>
            <w:shd w:val="clear" w:color="auto" w:fill="DBDBDB"/>
          </w:tcPr>
          <w:p>
            <w:pPr>
              <w:ind w:left="20"/>
              <w:spacing w:after="0"/>
              <w:rPr>
                <w:sz w:val="20"/>
                <w:szCs w:val="20"/>
                <w:color w:val="auto"/>
              </w:rPr>
            </w:pPr>
            <w:r>
              <w:rPr>
                <w:rFonts w:ascii="Arial" w:cs="Arial" w:eastAsia="Arial" w:hAnsi="Arial"/>
                <w:sz w:val="13"/>
                <w:szCs w:val="13"/>
                <w:color w:val="auto"/>
              </w:rPr>
              <w:t>Balance December 31, 2020</w:t>
            </w:r>
          </w:p>
        </w:tc>
        <w:tc>
          <w:tcPr>
            <w:tcW w:w="1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1,325,862</w:t>
            </w:r>
          </w:p>
        </w:tc>
        <w:tc>
          <w:tcPr>
            <w:tcW w:w="32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13.46</w:t>
            </w:r>
          </w:p>
        </w:tc>
        <w:tc>
          <w:tcPr>
            <w:tcW w:w="0" w:type="dxa"/>
            <w:vAlign w:val="bottom"/>
          </w:tcPr>
          <w:p>
            <w:pPr>
              <w:spacing w:after="0"/>
              <w:rPr>
                <w:sz w:val="1"/>
                <w:szCs w:val="1"/>
                <w:color w:val="auto"/>
              </w:rPr>
            </w:pPr>
          </w:p>
        </w:tc>
      </w:tr>
      <w:tr>
        <w:trPr>
          <w:trHeight w:val="172"/>
        </w:trPr>
        <w:tc>
          <w:tcPr>
            <w:tcW w:w="7800" w:type="dxa"/>
            <w:vAlign w:val="bottom"/>
          </w:tcPr>
          <w:p>
            <w:pPr>
              <w:ind w:left="200"/>
              <w:spacing w:after="0"/>
              <w:rPr>
                <w:sz w:val="20"/>
                <w:szCs w:val="20"/>
                <w:color w:val="auto"/>
              </w:rPr>
            </w:pPr>
            <w:r>
              <w:rPr>
                <w:rFonts w:ascii="Arial" w:cs="Arial" w:eastAsia="Arial" w:hAnsi="Arial"/>
                <w:sz w:val="13"/>
                <w:szCs w:val="13"/>
                <w:color w:val="auto"/>
              </w:rPr>
              <w:t>Granted</w:t>
            </w:r>
          </w:p>
        </w:tc>
        <w:tc>
          <w:tcPr>
            <w:tcW w:w="1700" w:type="dxa"/>
            <w:vAlign w:val="bottom"/>
          </w:tcPr>
          <w:p>
            <w:pPr>
              <w:jc w:val="right"/>
              <w:spacing w:after="0"/>
              <w:rPr>
                <w:sz w:val="20"/>
                <w:szCs w:val="20"/>
                <w:color w:val="auto"/>
              </w:rPr>
            </w:pPr>
            <w:r>
              <w:rPr>
                <w:rFonts w:ascii="Arial" w:cs="Arial" w:eastAsia="Arial" w:hAnsi="Arial"/>
                <w:sz w:val="13"/>
                <w:szCs w:val="13"/>
                <w:color w:val="auto"/>
              </w:rPr>
              <w:t>415,737</w:t>
            </w:r>
          </w:p>
        </w:tc>
        <w:tc>
          <w:tcPr>
            <w:tcW w:w="32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27.25</w:t>
            </w:r>
          </w:p>
        </w:tc>
        <w:tc>
          <w:tcPr>
            <w:tcW w:w="0" w:type="dxa"/>
            <w:vAlign w:val="bottom"/>
          </w:tcPr>
          <w:p>
            <w:pPr>
              <w:spacing w:after="0"/>
              <w:rPr>
                <w:sz w:val="1"/>
                <w:szCs w:val="1"/>
                <w:color w:val="auto"/>
              </w:rPr>
            </w:pPr>
          </w:p>
        </w:tc>
      </w:tr>
      <w:tr>
        <w:trPr>
          <w:trHeight w:val="178"/>
        </w:trPr>
        <w:tc>
          <w:tcPr>
            <w:tcW w:w="7800" w:type="dxa"/>
            <w:vAlign w:val="bottom"/>
            <w:shd w:val="clear" w:color="auto" w:fill="DBDBDB"/>
          </w:tcPr>
          <w:p>
            <w:pPr>
              <w:ind w:left="200"/>
              <w:spacing w:after="0"/>
              <w:rPr>
                <w:sz w:val="20"/>
                <w:szCs w:val="20"/>
                <w:color w:val="auto"/>
              </w:rPr>
            </w:pPr>
            <w:r>
              <w:rPr>
                <w:rFonts w:ascii="Arial" w:cs="Arial" w:eastAsia="Arial" w:hAnsi="Arial"/>
                <w:sz w:val="13"/>
                <w:szCs w:val="13"/>
                <w:color w:val="auto"/>
              </w:rPr>
              <w:t>Forfeited</w:t>
            </w:r>
          </w:p>
        </w:tc>
        <w:tc>
          <w:tcPr>
            <w:tcW w:w="1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(72,505)</w:t>
            </w:r>
          </w:p>
        </w:tc>
        <w:tc>
          <w:tcPr>
            <w:tcW w:w="32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17.80</w:t>
            </w:r>
          </w:p>
        </w:tc>
        <w:tc>
          <w:tcPr>
            <w:tcW w:w="0" w:type="dxa"/>
            <w:vAlign w:val="bottom"/>
          </w:tcPr>
          <w:p>
            <w:pPr>
              <w:spacing w:after="0"/>
              <w:rPr>
                <w:sz w:val="1"/>
                <w:szCs w:val="1"/>
                <w:color w:val="auto"/>
              </w:rPr>
            </w:pPr>
          </w:p>
        </w:tc>
      </w:tr>
      <w:tr>
        <w:trPr>
          <w:trHeight w:val="172"/>
        </w:trPr>
        <w:tc>
          <w:tcPr>
            <w:tcW w:w="7800" w:type="dxa"/>
            <w:vAlign w:val="bottom"/>
            <w:tcBorders>
              <w:bottom w:val="single" w:sz="8" w:color="DBDBDB"/>
            </w:tcBorders>
          </w:tcPr>
          <w:p>
            <w:pPr>
              <w:ind w:left="200"/>
              <w:spacing w:after="0"/>
              <w:rPr>
                <w:sz w:val="20"/>
                <w:szCs w:val="20"/>
                <w:color w:val="auto"/>
              </w:rPr>
            </w:pPr>
            <w:r>
              <w:rPr>
                <w:rFonts w:ascii="Arial" w:cs="Arial" w:eastAsia="Arial" w:hAnsi="Arial"/>
                <w:sz w:val="13"/>
                <w:szCs w:val="13"/>
                <w:color w:val="auto"/>
              </w:rPr>
              <w:t>Vested</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(671,643)</w:t>
            </w:r>
          </w:p>
        </w:tc>
        <w:tc>
          <w:tcPr>
            <w:tcW w:w="320" w:type="dxa"/>
            <w:vAlign w:val="bottom"/>
            <w:tcBorders>
              <w:bottom w:val="single" w:sz="8" w:color="DBDBDB"/>
            </w:tcBorders>
          </w:tcPr>
          <w:p>
            <w:pPr>
              <w:jc w:val="right"/>
              <w:ind w:right="74"/>
              <w:spacing w:after="0"/>
              <w:rPr>
                <w:sz w:val="20"/>
                <w:szCs w:val="20"/>
                <w:color w:val="auto"/>
              </w:rPr>
            </w:pPr>
            <w:r>
              <w:rPr>
                <w:rFonts w:ascii="Arial" w:cs="Arial" w:eastAsia="Arial" w:hAnsi="Arial"/>
                <w:sz w:val="13"/>
                <w:szCs w:val="13"/>
                <w:color w:val="auto"/>
              </w:rPr>
              <w:t>$</w:t>
            </w:r>
          </w:p>
        </w:tc>
        <w:tc>
          <w:tcPr>
            <w:tcW w:w="1460" w:type="dxa"/>
            <w:vAlign w:val="bottom"/>
            <w:tcBorders>
              <w:bottom w:val="single" w:sz="8" w:color="DBDBDB"/>
            </w:tcBorders>
          </w:tcPr>
          <w:p>
            <w:pPr>
              <w:jc w:val="right"/>
              <w:spacing w:after="0"/>
              <w:rPr>
                <w:sz w:val="20"/>
                <w:szCs w:val="20"/>
                <w:color w:val="auto"/>
              </w:rPr>
            </w:pPr>
            <w:r>
              <w:rPr>
                <w:rFonts w:ascii="Arial" w:cs="Arial" w:eastAsia="Arial" w:hAnsi="Arial"/>
                <w:sz w:val="13"/>
                <w:szCs w:val="13"/>
                <w:color w:val="auto"/>
              </w:rPr>
              <w:t>13.99</w:t>
            </w:r>
          </w:p>
        </w:tc>
        <w:tc>
          <w:tcPr>
            <w:tcW w:w="0" w:type="dxa"/>
            <w:vAlign w:val="bottom"/>
          </w:tcPr>
          <w:p>
            <w:pPr>
              <w:spacing w:after="0"/>
              <w:rPr>
                <w:sz w:val="1"/>
                <w:szCs w:val="1"/>
                <w:color w:val="auto"/>
              </w:rPr>
            </w:pPr>
          </w:p>
        </w:tc>
      </w:tr>
      <w:tr>
        <w:trPr>
          <w:trHeight w:val="191"/>
        </w:trPr>
        <w:tc>
          <w:tcPr>
            <w:tcW w:w="78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Balance December 31, 2021</w:t>
            </w: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997,451</w:t>
            </w:r>
          </w:p>
        </w:tc>
        <w:tc>
          <w:tcPr>
            <w:tcW w:w="320" w:type="dxa"/>
            <w:vAlign w:val="bottom"/>
            <w:tcBorders>
              <w:bottom w:val="single" w:sz="8" w:color="DBDBDB"/>
            </w:tcBorders>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4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18.54</w:t>
            </w:r>
          </w:p>
        </w:tc>
        <w:tc>
          <w:tcPr>
            <w:tcW w:w="0" w:type="dxa"/>
            <w:vAlign w:val="bottom"/>
          </w:tcPr>
          <w:p>
            <w:pPr>
              <w:spacing w:after="0"/>
              <w:rPr>
                <w:sz w:val="1"/>
                <w:szCs w:val="1"/>
                <w:color w:val="auto"/>
              </w:rPr>
            </w:pPr>
          </w:p>
        </w:tc>
      </w:tr>
      <w:tr>
        <w:trPr>
          <w:trHeight w:val="20"/>
        </w:trPr>
        <w:tc>
          <w:tcPr>
            <w:tcW w:w="7800" w:type="dxa"/>
            <w:vAlign w:val="bottom"/>
            <w:tcBorders>
              <w:top w:val="single" w:sz="8" w:color="DBDBDB"/>
            </w:tcBorders>
          </w:tcPr>
          <w:p>
            <w:pPr>
              <w:spacing w:after="0" w:line="20" w:lineRule="exact"/>
              <w:rPr>
                <w:sz w:val="1"/>
                <w:szCs w:val="1"/>
                <w:color w:val="auto"/>
              </w:rPr>
            </w:pPr>
          </w:p>
        </w:tc>
        <w:tc>
          <w:tcPr>
            <w:tcW w:w="1700" w:type="dxa"/>
            <w:vAlign w:val="bottom"/>
            <w:tcBorders>
              <w:top w:val="single" w:sz="8" w:color="DBDBDB"/>
              <w:bottom w:val="single" w:sz="8" w:color="auto"/>
            </w:tcBorders>
          </w:tcPr>
          <w:p>
            <w:pPr>
              <w:spacing w:after="0" w:line="20" w:lineRule="exact"/>
              <w:rPr>
                <w:sz w:val="1"/>
                <w:szCs w:val="1"/>
                <w:color w:val="auto"/>
              </w:rPr>
            </w:pPr>
          </w:p>
        </w:tc>
        <w:tc>
          <w:tcPr>
            <w:tcW w:w="320" w:type="dxa"/>
            <w:vAlign w:val="bottom"/>
            <w:tcBorders>
              <w:top w:val="single" w:sz="8" w:color="DBDBDB"/>
            </w:tcBorders>
          </w:tcPr>
          <w:p>
            <w:pPr>
              <w:spacing w:after="0" w:line="20" w:lineRule="exact"/>
              <w:rPr>
                <w:sz w:val="1"/>
                <w:szCs w:val="1"/>
                <w:color w:val="auto"/>
              </w:rPr>
            </w:pPr>
          </w:p>
        </w:tc>
        <w:tc>
          <w:tcPr>
            <w:tcW w:w="146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Compensation expense for Time-Based RSUs recognized in SG&amp;A expense in the consolidated statements of operations was $9.0 million, $5.6 million, and $3.9 million for the years ended December 31, 2021, 2020, and 2019, respectively. At December 31, 2021, unrecognized compensation cost related to Time-Based RSUs totaled $11.7 million and was expected to be recognized over the remaining weighted average vesting period of 2.0 years. The total fair value of RSU's vested in 2021, 2020, and 2019 was $18.5 million, $2.9 million, and $2.5 million, respectively.</w:t>
      </w:r>
    </w:p>
    <w:p>
      <w:pPr>
        <w:spacing w:after="0" w:line="35"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Included in restructuring costs for the year ended December 31, 2021, was expense of approximately $5.9 million recognized as a result of the modification of certain RSUs with the Transition, Separation and Release Agreement entered into on February 25, 2021, with the Company's former President and Chief Operating Officer.</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08" w:name="page109"/>
    <w:bookmarkEnd w:id="108"/>
    <w:p>
      <w:pPr>
        <w:spacing w:after="0"/>
        <w:rPr>
          <w:sz w:val="20"/>
          <w:szCs w:val="20"/>
          <w:color w:val="auto"/>
        </w:rPr>
      </w:pPr>
      <w:r>
        <w:rPr>
          <w:rFonts w:ascii="Arial" w:cs="Arial" w:eastAsia="Arial" w:hAnsi="Arial"/>
          <w:sz w:val="15"/>
          <w:szCs w:val="15"/>
          <w:b w:val="1"/>
          <w:bCs w:val="1"/>
          <w:color w:val="auto"/>
        </w:rPr>
        <w:t>Performance-Based RSUs</w:t>
      </w:r>
    </w:p>
    <w:p>
      <w:pPr>
        <w:spacing w:after="0" w:line="66"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following table summarizes the Company's Performance-Based RSU award activity during the years ended December 31, 2021 and 2020 and 2019:</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00" w:type="dxa"/>
            <w:vAlign w:val="bottom"/>
            <w:shd w:val="clear" w:color="auto" w:fill="1D2758"/>
          </w:tcPr>
          <w:p>
            <w:pPr>
              <w:spacing w:after="0"/>
              <w:rPr>
                <w:sz w:val="13"/>
                <w:szCs w:val="13"/>
                <w:color w:val="auto"/>
              </w:rPr>
            </w:pPr>
          </w:p>
        </w:tc>
        <w:tc>
          <w:tcPr>
            <w:tcW w:w="1700" w:type="dxa"/>
            <w:vAlign w:val="bottom"/>
            <w:vMerge w:val="restart"/>
            <w:shd w:val="clear" w:color="auto" w:fill="1D2758"/>
          </w:tcPr>
          <w:p>
            <w:pPr>
              <w:jc w:val="right"/>
              <w:ind w:right="214"/>
              <w:spacing w:after="0"/>
              <w:rPr>
                <w:sz w:val="20"/>
                <w:szCs w:val="20"/>
                <w:color w:val="auto"/>
              </w:rPr>
            </w:pPr>
            <w:r>
              <w:rPr>
                <w:rFonts w:ascii="Arial" w:cs="Arial" w:eastAsia="Arial" w:hAnsi="Arial"/>
                <w:sz w:val="13"/>
                <w:szCs w:val="13"/>
                <w:b w:val="1"/>
                <w:bCs w:val="1"/>
                <w:color w:val="FFFFFF"/>
              </w:rPr>
              <w:t>Number of Shares</w:t>
            </w:r>
          </w:p>
        </w:tc>
        <w:tc>
          <w:tcPr>
            <w:tcW w:w="1780" w:type="dxa"/>
            <w:vAlign w:val="bottom"/>
            <w:gridSpan w:val="2"/>
            <w:shd w:val="clear" w:color="auto" w:fill="1D2758"/>
          </w:tcPr>
          <w:p>
            <w:pPr>
              <w:jc w:val="right"/>
              <w:ind w:right="14"/>
              <w:spacing w:after="0"/>
              <w:rPr>
                <w:sz w:val="20"/>
                <w:szCs w:val="20"/>
                <w:color w:val="auto"/>
              </w:rPr>
            </w:pPr>
            <w:r>
              <w:rPr>
                <w:rFonts w:ascii="Arial" w:cs="Arial" w:eastAsia="Arial" w:hAnsi="Arial"/>
                <w:sz w:val="13"/>
                <w:szCs w:val="13"/>
                <w:b w:val="1"/>
                <w:bCs w:val="1"/>
                <w:color w:val="FFFFFF"/>
              </w:rPr>
              <w:t>Weighted-Average Grant</w:t>
            </w:r>
          </w:p>
        </w:tc>
        <w:tc>
          <w:tcPr>
            <w:tcW w:w="0" w:type="dxa"/>
            <w:vAlign w:val="bottom"/>
          </w:tcPr>
          <w:p>
            <w:pPr>
              <w:spacing w:after="0"/>
              <w:rPr>
                <w:sz w:val="1"/>
                <w:szCs w:val="1"/>
                <w:color w:val="auto"/>
              </w:rPr>
            </w:pPr>
          </w:p>
        </w:tc>
      </w:tr>
      <w:tr>
        <w:trPr>
          <w:trHeight w:val="175"/>
        </w:trPr>
        <w:tc>
          <w:tcPr>
            <w:tcW w:w="7800" w:type="dxa"/>
            <w:vAlign w:val="bottom"/>
            <w:shd w:val="clear" w:color="auto" w:fill="1D2758"/>
          </w:tcPr>
          <w:p>
            <w:pPr>
              <w:spacing w:after="0"/>
              <w:rPr>
                <w:sz w:val="15"/>
                <w:szCs w:val="15"/>
                <w:color w:val="auto"/>
              </w:rPr>
            </w:pPr>
          </w:p>
        </w:tc>
        <w:tc>
          <w:tcPr>
            <w:tcW w:w="1700" w:type="dxa"/>
            <w:vAlign w:val="bottom"/>
            <w:vMerge w:val="continue"/>
            <w:shd w:val="clear" w:color="auto" w:fill="1D2758"/>
          </w:tcPr>
          <w:p>
            <w:pPr>
              <w:spacing w:after="0"/>
              <w:rPr>
                <w:sz w:val="15"/>
                <w:szCs w:val="15"/>
                <w:color w:val="auto"/>
              </w:rPr>
            </w:pPr>
          </w:p>
        </w:tc>
        <w:tc>
          <w:tcPr>
            <w:tcW w:w="320" w:type="dxa"/>
            <w:vAlign w:val="bottom"/>
            <w:shd w:val="clear" w:color="auto" w:fill="1D2758"/>
          </w:tcPr>
          <w:p>
            <w:pPr>
              <w:spacing w:after="0"/>
              <w:rPr>
                <w:sz w:val="15"/>
                <w:szCs w:val="15"/>
                <w:color w:val="auto"/>
              </w:rPr>
            </w:pPr>
          </w:p>
        </w:tc>
        <w:tc>
          <w:tcPr>
            <w:tcW w:w="1460" w:type="dxa"/>
            <w:vAlign w:val="bottom"/>
            <w:shd w:val="clear" w:color="auto" w:fill="1D2758"/>
          </w:tcPr>
          <w:p>
            <w:pPr>
              <w:jc w:val="right"/>
              <w:ind w:right="314"/>
              <w:spacing w:after="0"/>
              <w:rPr>
                <w:sz w:val="20"/>
                <w:szCs w:val="20"/>
                <w:color w:val="auto"/>
              </w:rPr>
            </w:pPr>
            <w:r>
              <w:rPr>
                <w:rFonts w:ascii="Arial" w:cs="Arial" w:eastAsia="Arial" w:hAnsi="Arial"/>
                <w:sz w:val="13"/>
                <w:szCs w:val="13"/>
                <w:b w:val="1"/>
                <w:bCs w:val="1"/>
                <w:color w:val="FFFFFF"/>
              </w:rPr>
              <w:t>Date Fair Value</w:t>
            </w:r>
          </w:p>
        </w:tc>
        <w:tc>
          <w:tcPr>
            <w:tcW w:w="0" w:type="dxa"/>
            <w:vAlign w:val="bottom"/>
          </w:tcPr>
          <w:p>
            <w:pPr>
              <w:spacing w:after="0"/>
              <w:rPr>
                <w:sz w:val="1"/>
                <w:szCs w:val="1"/>
                <w:color w:val="auto"/>
              </w:rPr>
            </w:pPr>
          </w:p>
        </w:tc>
      </w:tr>
      <w:tr>
        <w:trPr>
          <w:trHeight w:val="175"/>
        </w:trPr>
        <w:tc>
          <w:tcPr>
            <w:tcW w:w="7800" w:type="dxa"/>
            <w:vAlign w:val="bottom"/>
            <w:shd w:val="clear" w:color="auto" w:fill="DDDDDD"/>
          </w:tcPr>
          <w:p>
            <w:pPr>
              <w:ind w:left="20"/>
              <w:spacing w:after="0"/>
              <w:rPr>
                <w:sz w:val="20"/>
                <w:szCs w:val="20"/>
                <w:color w:val="auto"/>
              </w:rPr>
            </w:pPr>
            <w:r>
              <w:rPr>
                <w:rFonts w:ascii="Arial" w:cs="Arial" w:eastAsia="Arial" w:hAnsi="Arial"/>
                <w:sz w:val="13"/>
                <w:szCs w:val="13"/>
                <w:color w:val="auto"/>
              </w:rPr>
              <w:t>Balance December 31, 2018</w:t>
            </w:r>
          </w:p>
        </w:tc>
        <w:tc>
          <w:tcPr>
            <w:tcW w:w="1700" w:type="dxa"/>
            <w:vAlign w:val="bottom"/>
            <w:shd w:val="clear" w:color="auto" w:fill="DDDDDD"/>
          </w:tcPr>
          <w:p>
            <w:pPr>
              <w:jc w:val="right"/>
              <w:spacing w:after="0"/>
              <w:rPr>
                <w:sz w:val="20"/>
                <w:szCs w:val="20"/>
                <w:color w:val="auto"/>
              </w:rPr>
            </w:pPr>
            <w:r>
              <w:rPr>
                <w:rFonts w:ascii="Arial" w:cs="Arial" w:eastAsia="Arial" w:hAnsi="Arial"/>
                <w:sz w:val="13"/>
                <w:szCs w:val="13"/>
                <w:color w:val="auto"/>
              </w:rPr>
              <w:t>—</w:t>
            </w:r>
          </w:p>
        </w:tc>
        <w:tc>
          <w:tcPr>
            <w:tcW w:w="320" w:type="dxa"/>
            <w:vAlign w:val="bottom"/>
            <w:shd w:val="clear" w:color="auto" w:fill="DDDDDD"/>
          </w:tcPr>
          <w:p>
            <w:pPr>
              <w:jc w:val="right"/>
              <w:ind w:right="74"/>
              <w:spacing w:after="0"/>
              <w:rPr>
                <w:sz w:val="20"/>
                <w:szCs w:val="20"/>
                <w:color w:val="auto"/>
              </w:rPr>
            </w:pPr>
            <w:r>
              <w:rPr>
                <w:rFonts w:ascii="Arial" w:cs="Arial" w:eastAsia="Arial" w:hAnsi="Arial"/>
                <w:sz w:val="13"/>
                <w:szCs w:val="13"/>
                <w:color w:val="auto"/>
              </w:rPr>
              <w:t>$</w:t>
            </w:r>
          </w:p>
        </w:tc>
        <w:tc>
          <w:tcPr>
            <w:tcW w:w="1460" w:type="dxa"/>
            <w:vAlign w:val="bottom"/>
            <w:shd w:val="clear" w:color="auto" w:fill="DDDDDD"/>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7800" w:type="dxa"/>
            <w:vAlign w:val="bottom"/>
          </w:tcPr>
          <w:p>
            <w:pPr>
              <w:ind w:left="200"/>
              <w:spacing w:after="0"/>
              <w:rPr>
                <w:sz w:val="20"/>
                <w:szCs w:val="20"/>
                <w:color w:val="auto"/>
              </w:rPr>
            </w:pPr>
            <w:r>
              <w:rPr>
                <w:rFonts w:ascii="Arial" w:cs="Arial" w:eastAsia="Arial" w:hAnsi="Arial"/>
                <w:sz w:val="13"/>
                <w:szCs w:val="13"/>
                <w:color w:val="auto"/>
              </w:rPr>
              <w:t>Granted</w:t>
            </w:r>
          </w:p>
        </w:tc>
        <w:tc>
          <w:tcPr>
            <w:tcW w:w="1700" w:type="dxa"/>
            <w:vAlign w:val="bottom"/>
          </w:tcPr>
          <w:p>
            <w:pPr>
              <w:jc w:val="right"/>
              <w:spacing w:after="0"/>
              <w:rPr>
                <w:sz w:val="20"/>
                <w:szCs w:val="20"/>
                <w:color w:val="auto"/>
              </w:rPr>
            </w:pPr>
            <w:r>
              <w:rPr>
                <w:rFonts w:ascii="Arial" w:cs="Arial" w:eastAsia="Arial" w:hAnsi="Arial"/>
                <w:sz w:val="13"/>
                <w:szCs w:val="13"/>
                <w:color w:val="auto"/>
              </w:rPr>
              <w:t>302,182</w:t>
            </w:r>
          </w:p>
        </w:tc>
        <w:tc>
          <w:tcPr>
            <w:tcW w:w="32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13.22</w:t>
            </w:r>
          </w:p>
        </w:tc>
        <w:tc>
          <w:tcPr>
            <w:tcW w:w="0" w:type="dxa"/>
            <w:vAlign w:val="bottom"/>
          </w:tcPr>
          <w:p>
            <w:pPr>
              <w:spacing w:after="0"/>
              <w:rPr>
                <w:sz w:val="1"/>
                <w:szCs w:val="1"/>
                <w:color w:val="auto"/>
              </w:rPr>
            </w:pPr>
          </w:p>
        </w:tc>
      </w:tr>
      <w:tr>
        <w:trPr>
          <w:trHeight w:val="178"/>
        </w:trPr>
        <w:tc>
          <w:tcPr>
            <w:tcW w:w="7800" w:type="dxa"/>
            <w:vAlign w:val="bottom"/>
            <w:shd w:val="clear" w:color="auto" w:fill="DDDDDD"/>
          </w:tcPr>
          <w:p>
            <w:pPr>
              <w:ind w:left="200"/>
              <w:spacing w:after="0"/>
              <w:rPr>
                <w:sz w:val="20"/>
                <w:szCs w:val="20"/>
                <w:color w:val="auto"/>
              </w:rPr>
            </w:pPr>
            <w:r>
              <w:rPr>
                <w:rFonts w:ascii="Arial" w:cs="Arial" w:eastAsia="Arial" w:hAnsi="Arial"/>
                <w:sz w:val="13"/>
                <w:szCs w:val="13"/>
                <w:color w:val="auto"/>
              </w:rPr>
              <w:t>Forfeited</w:t>
            </w:r>
          </w:p>
        </w:tc>
        <w:tc>
          <w:tcPr>
            <w:tcW w:w="17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3"/>
                <w:szCs w:val="13"/>
                <w:color w:val="auto"/>
              </w:rPr>
              <w:t>(13,901)</w:t>
            </w:r>
          </w:p>
        </w:tc>
        <w:tc>
          <w:tcPr>
            <w:tcW w:w="320" w:type="dxa"/>
            <w:vAlign w:val="bottom"/>
            <w:shd w:val="clear" w:color="auto" w:fill="DDDDDD"/>
          </w:tcPr>
          <w:p>
            <w:pPr>
              <w:jc w:val="right"/>
              <w:ind w:right="74"/>
              <w:spacing w:after="0"/>
              <w:rPr>
                <w:sz w:val="20"/>
                <w:szCs w:val="20"/>
                <w:color w:val="auto"/>
              </w:rPr>
            </w:pPr>
            <w:r>
              <w:rPr>
                <w:rFonts w:ascii="Arial" w:cs="Arial" w:eastAsia="Arial" w:hAnsi="Arial"/>
                <w:sz w:val="13"/>
                <w:szCs w:val="13"/>
                <w:color w:val="auto"/>
              </w:rPr>
              <w:t>$</w:t>
            </w:r>
          </w:p>
        </w:tc>
        <w:tc>
          <w:tcPr>
            <w:tcW w:w="1460" w:type="dxa"/>
            <w:vAlign w:val="bottom"/>
            <w:shd w:val="clear" w:color="auto" w:fill="DDDDDD"/>
          </w:tcPr>
          <w:p>
            <w:pPr>
              <w:jc w:val="right"/>
              <w:spacing w:after="0"/>
              <w:rPr>
                <w:sz w:val="20"/>
                <w:szCs w:val="20"/>
                <w:color w:val="auto"/>
              </w:rPr>
            </w:pPr>
            <w:r>
              <w:rPr>
                <w:rFonts w:ascii="Arial" w:cs="Arial" w:eastAsia="Arial" w:hAnsi="Arial"/>
                <w:sz w:val="13"/>
                <w:szCs w:val="13"/>
                <w:color w:val="auto"/>
              </w:rPr>
              <w:t>13.22</w:t>
            </w:r>
          </w:p>
        </w:tc>
        <w:tc>
          <w:tcPr>
            <w:tcW w:w="0" w:type="dxa"/>
            <w:vAlign w:val="bottom"/>
          </w:tcPr>
          <w:p>
            <w:pPr>
              <w:spacing w:after="0"/>
              <w:rPr>
                <w:sz w:val="1"/>
                <w:szCs w:val="1"/>
                <w:color w:val="auto"/>
              </w:rPr>
            </w:pPr>
          </w:p>
        </w:tc>
      </w:tr>
      <w:tr>
        <w:trPr>
          <w:trHeight w:val="163"/>
        </w:trPr>
        <w:tc>
          <w:tcPr>
            <w:tcW w:w="7800" w:type="dxa"/>
            <w:vAlign w:val="bottom"/>
          </w:tcPr>
          <w:p>
            <w:pPr>
              <w:ind w:left="20"/>
              <w:spacing w:after="0"/>
              <w:rPr>
                <w:sz w:val="20"/>
                <w:szCs w:val="20"/>
                <w:color w:val="auto"/>
              </w:rPr>
            </w:pPr>
            <w:r>
              <w:rPr>
                <w:rFonts w:ascii="Arial" w:cs="Arial" w:eastAsia="Arial" w:hAnsi="Arial"/>
                <w:sz w:val="13"/>
                <w:szCs w:val="13"/>
                <w:color w:val="auto"/>
              </w:rPr>
              <w:t>Balance December 31, 2019</w:t>
            </w:r>
          </w:p>
        </w:tc>
        <w:tc>
          <w:tcPr>
            <w:tcW w:w="1700" w:type="dxa"/>
            <w:vAlign w:val="bottom"/>
          </w:tcPr>
          <w:p>
            <w:pPr>
              <w:jc w:val="right"/>
              <w:spacing w:after="0"/>
              <w:rPr>
                <w:sz w:val="20"/>
                <w:szCs w:val="20"/>
                <w:color w:val="auto"/>
              </w:rPr>
            </w:pPr>
            <w:r>
              <w:rPr>
                <w:rFonts w:ascii="Arial" w:cs="Arial" w:eastAsia="Arial" w:hAnsi="Arial"/>
                <w:sz w:val="13"/>
                <w:szCs w:val="13"/>
                <w:color w:val="auto"/>
              </w:rPr>
              <w:t>288,281</w:t>
            </w:r>
          </w:p>
        </w:tc>
        <w:tc>
          <w:tcPr>
            <w:tcW w:w="32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13.22</w:t>
            </w:r>
          </w:p>
        </w:tc>
        <w:tc>
          <w:tcPr>
            <w:tcW w:w="0" w:type="dxa"/>
            <w:vAlign w:val="bottom"/>
          </w:tcPr>
          <w:p>
            <w:pPr>
              <w:spacing w:after="0"/>
              <w:rPr>
                <w:sz w:val="1"/>
                <w:szCs w:val="1"/>
                <w:color w:val="auto"/>
              </w:rPr>
            </w:pPr>
          </w:p>
        </w:tc>
      </w:tr>
      <w:tr>
        <w:trPr>
          <w:trHeight w:val="178"/>
        </w:trPr>
        <w:tc>
          <w:tcPr>
            <w:tcW w:w="7800" w:type="dxa"/>
            <w:vAlign w:val="bottom"/>
            <w:shd w:val="clear" w:color="auto" w:fill="DDDDDD"/>
          </w:tcPr>
          <w:p>
            <w:pPr>
              <w:ind w:left="200"/>
              <w:spacing w:after="0"/>
              <w:rPr>
                <w:sz w:val="20"/>
                <w:szCs w:val="20"/>
                <w:color w:val="auto"/>
              </w:rPr>
            </w:pPr>
            <w:r>
              <w:rPr>
                <w:rFonts w:ascii="Arial" w:cs="Arial" w:eastAsia="Arial" w:hAnsi="Arial"/>
                <w:sz w:val="13"/>
                <w:szCs w:val="13"/>
                <w:color w:val="auto"/>
              </w:rPr>
              <w:t>Granted</w:t>
            </w:r>
          </w:p>
        </w:tc>
        <w:tc>
          <w:tcPr>
            <w:tcW w:w="1700" w:type="dxa"/>
            <w:vAlign w:val="bottom"/>
            <w:shd w:val="clear" w:color="auto" w:fill="DDDDDD"/>
          </w:tcPr>
          <w:p>
            <w:pPr>
              <w:jc w:val="right"/>
              <w:spacing w:after="0"/>
              <w:rPr>
                <w:sz w:val="20"/>
                <w:szCs w:val="20"/>
                <w:color w:val="auto"/>
              </w:rPr>
            </w:pPr>
            <w:r>
              <w:rPr>
                <w:rFonts w:ascii="Arial" w:cs="Arial" w:eastAsia="Arial" w:hAnsi="Arial"/>
                <w:sz w:val="13"/>
                <w:szCs w:val="13"/>
                <w:color w:val="auto"/>
              </w:rPr>
              <w:t>325,256</w:t>
            </w:r>
          </w:p>
        </w:tc>
        <w:tc>
          <w:tcPr>
            <w:tcW w:w="320" w:type="dxa"/>
            <w:vAlign w:val="bottom"/>
            <w:shd w:val="clear" w:color="auto" w:fill="DDDDDD"/>
          </w:tcPr>
          <w:p>
            <w:pPr>
              <w:jc w:val="right"/>
              <w:ind w:right="74"/>
              <w:spacing w:after="0"/>
              <w:rPr>
                <w:sz w:val="20"/>
                <w:szCs w:val="20"/>
                <w:color w:val="auto"/>
              </w:rPr>
            </w:pPr>
            <w:r>
              <w:rPr>
                <w:rFonts w:ascii="Arial" w:cs="Arial" w:eastAsia="Arial" w:hAnsi="Arial"/>
                <w:sz w:val="13"/>
                <w:szCs w:val="13"/>
                <w:color w:val="auto"/>
              </w:rPr>
              <w:t>$</w:t>
            </w:r>
          </w:p>
        </w:tc>
        <w:tc>
          <w:tcPr>
            <w:tcW w:w="1460" w:type="dxa"/>
            <w:vAlign w:val="bottom"/>
            <w:shd w:val="clear" w:color="auto" w:fill="DDDDDD"/>
          </w:tcPr>
          <w:p>
            <w:pPr>
              <w:jc w:val="right"/>
              <w:spacing w:after="0"/>
              <w:rPr>
                <w:sz w:val="20"/>
                <w:szCs w:val="20"/>
                <w:color w:val="auto"/>
              </w:rPr>
            </w:pPr>
            <w:r>
              <w:rPr>
                <w:rFonts w:ascii="Arial" w:cs="Arial" w:eastAsia="Arial" w:hAnsi="Arial"/>
                <w:sz w:val="13"/>
                <w:szCs w:val="13"/>
                <w:color w:val="auto"/>
              </w:rPr>
              <w:t>16.35</w:t>
            </w:r>
          </w:p>
        </w:tc>
        <w:tc>
          <w:tcPr>
            <w:tcW w:w="0" w:type="dxa"/>
            <w:vAlign w:val="bottom"/>
          </w:tcPr>
          <w:p>
            <w:pPr>
              <w:spacing w:after="0"/>
              <w:rPr>
                <w:sz w:val="1"/>
                <w:szCs w:val="1"/>
                <w:color w:val="auto"/>
              </w:rPr>
            </w:pPr>
          </w:p>
        </w:tc>
      </w:tr>
      <w:tr>
        <w:trPr>
          <w:trHeight w:val="172"/>
        </w:trPr>
        <w:tc>
          <w:tcPr>
            <w:tcW w:w="7800" w:type="dxa"/>
            <w:vAlign w:val="bottom"/>
          </w:tcPr>
          <w:p>
            <w:pPr>
              <w:ind w:left="200"/>
              <w:spacing w:after="0"/>
              <w:rPr>
                <w:sz w:val="20"/>
                <w:szCs w:val="20"/>
                <w:color w:val="auto"/>
              </w:rPr>
            </w:pPr>
            <w:r>
              <w:rPr>
                <w:rFonts w:ascii="Arial" w:cs="Arial" w:eastAsia="Arial" w:hAnsi="Arial"/>
                <w:sz w:val="13"/>
                <w:szCs w:val="13"/>
                <w:color w:val="auto"/>
              </w:rPr>
              <w:t>Forfeited</w:t>
            </w:r>
          </w:p>
        </w:tc>
        <w:tc>
          <w:tcPr>
            <w:tcW w:w="1700" w:type="dxa"/>
            <w:vAlign w:val="bottom"/>
          </w:tcPr>
          <w:p>
            <w:pPr>
              <w:jc w:val="right"/>
              <w:spacing w:after="0"/>
              <w:rPr>
                <w:sz w:val="20"/>
                <w:szCs w:val="20"/>
                <w:color w:val="auto"/>
              </w:rPr>
            </w:pPr>
            <w:r>
              <w:rPr>
                <w:rFonts w:ascii="Arial" w:cs="Arial" w:eastAsia="Arial" w:hAnsi="Arial"/>
                <w:sz w:val="13"/>
                <w:szCs w:val="13"/>
                <w:color w:val="auto"/>
              </w:rPr>
              <w:t>(12,700)</w:t>
            </w:r>
          </w:p>
        </w:tc>
        <w:tc>
          <w:tcPr>
            <w:tcW w:w="32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14.70</w:t>
            </w:r>
          </w:p>
        </w:tc>
        <w:tc>
          <w:tcPr>
            <w:tcW w:w="0" w:type="dxa"/>
            <w:vAlign w:val="bottom"/>
          </w:tcPr>
          <w:p>
            <w:pPr>
              <w:spacing w:after="0"/>
              <w:rPr>
                <w:sz w:val="1"/>
                <w:szCs w:val="1"/>
                <w:color w:val="auto"/>
              </w:rPr>
            </w:pPr>
          </w:p>
        </w:tc>
      </w:tr>
      <w:tr>
        <w:trPr>
          <w:trHeight w:val="178"/>
        </w:trPr>
        <w:tc>
          <w:tcPr>
            <w:tcW w:w="7800" w:type="dxa"/>
            <w:vAlign w:val="bottom"/>
            <w:shd w:val="clear" w:color="auto" w:fill="DDDDDD"/>
          </w:tcPr>
          <w:p>
            <w:pPr>
              <w:ind w:left="200"/>
              <w:spacing w:after="0"/>
              <w:rPr>
                <w:sz w:val="20"/>
                <w:szCs w:val="20"/>
                <w:color w:val="auto"/>
              </w:rPr>
            </w:pPr>
            <w:r>
              <w:rPr>
                <w:rFonts w:ascii="Arial" w:cs="Arial" w:eastAsia="Arial" w:hAnsi="Arial"/>
                <w:sz w:val="13"/>
                <w:szCs w:val="13"/>
                <w:color w:val="auto"/>
              </w:rPr>
              <w:t>Vested</w:t>
            </w:r>
          </w:p>
        </w:tc>
        <w:tc>
          <w:tcPr>
            <w:tcW w:w="17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3"/>
                <w:szCs w:val="13"/>
                <w:color w:val="auto"/>
              </w:rPr>
              <w:t>(7,449)</w:t>
            </w:r>
          </w:p>
        </w:tc>
        <w:tc>
          <w:tcPr>
            <w:tcW w:w="320" w:type="dxa"/>
            <w:vAlign w:val="bottom"/>
            <w:shd w:val="clear" w:color="auto" w:fill="DDDDDD"/>
          </w:tcPr>
          <w:p>
            <w:pPr>
              <w:jc w:val="right"/>
              <w:ind w:right="74"/>
              <w:spacing w:after="0"/>
              <w:rPr>
                <w:sz w:val="20"/>
                <w:szCs w:val="20"/>
                <w:color w:val="auto"/>
              </w:rPr>
            </w:pPr>
            <w:r>
              <w:rPr>
                <w:rFonts w:ascii="Arial" w:cs="Arial" w:eastAsia="Arial" w:hAnsi="Arial"/>
                <w:sz w:val="13"/>
                <w:szCs w:val="13"/>
                <w:color w:val="auto"/>
              </w:rPr>
              <w:t>$</w:t>
            </w:r>
          </w:p>
        </w:tc>
        <w:tc>
          <w:tcPr>
            <w:tcW w:w="1460" w:type="dxa"/>
            <w:vAlign w:val="bottom"/>
            <w:shd w:val="clear" w:color="auto" w:fill="DDDDDD"/>
          </w:tcPr>
          <w:p>
            <w:pPr>
              <w:jc w:val="right"/>
              <w:spacing w:after="0"/>
              <w:rPr>
                <w:sz w:val="20"/>
                <w:szCs w:val="20"/>
                <w:color w:val="auto"/>
              </w:rPr>
            </w:pPr>
            <w:r>
              <w:rPr>
                <w:rFonts w:ascii="Arial" w:cs="Arial" w:eastAsia="Arial" w:hAnsi="Arial"/>
                <w:sz w:val="13"/>
                <w:szCs w:val="13"/>
                <w:color w:val="auto"/>
              </w:rPr>
              <w:t>16.82</w:t>
            </w:r>
          </w:p>
        </w:tc>
        <w:tc>
          <w:tcPr>
            <w:tcW w:w="0" w:type="dxa"/>
            <w:vAlign w:val="bottom"/>
          </w:tcPr>
          <w:p>
            <w:pPr>
              <w:spacing w:after="0"/>
              <w:rPr>
                <w:sz w:val="1"/>
                <w:szCs w:val="1"/>
                <w:color w:val="auto"/>
              </w:rPr>
            </w:pPr>
          </w:p>
        </w:tc>
      </w:tr>
      <w:tr>
        <w:trPr>
          <w:trHeight w:val="163"/>
        </w:trPr>
        <w:tc>
          <w:tcPr>
            <w:tcW w:w="7800" w:type="dxa"/>
            <w:vAlign w:val="bottom"/>
          </w:tcPr>
          <w:p>
            <w:pPr>
              <w:ind w:left="20"/>
              <w:spacing w:after="0"/>
              <w:rPr>
                <w:sz w:val="20"/>
                <w:szCs w:val="20"/>
                <w:color w:val="auto"/>
              </w:rPr>
            </w:pPr>
            <w:r>
              <w:rPr>
                <w:rFonts w:ascii="Arial" w:cs="Arial" w:eastAsia="Arial" w:hAnsi="Arial"/>
                <w:sz w:val="13"/>
                <w:szCs w:val="13"/>
                <w:color w:val="auto"/>
              </w:rPr>
              <w:t>Balance December 31, 2020</w:t>
            </w:r>
          </w:p>
        </w:tc>
        <w:tc>
          <w:tcPr>
            <w:tcW w:w="1700" w:type="dxa"/>
            <w:vAlign w:val="bottom"/>
          </w:tcPr>
          <w:p>
            <w:pPr>
              <w:jc w:val="right"/>
              <w:spacing w:after="0"/>
              <w:rPr>
                <w:sz w:val="20"/>
                <w:szCs w:val="20"/>
                <w:color w:val="auto"/>
              </w:rPr>
            </w:pPr>
            <w:r>
              <w:rPr>
                <w:rFonts w:ascii="Arial" w:cs="Arial" w:eastAsia="Arial" w:hAnsi="Arial"/>
                <w:sz w:val="13"/>
                <w:szCs w:val="13"/>
                <w:color w:val="auto"/>
              </w:rPr>
              <w:t>593,388</w:t>
            </w:r>
          </w:p>
        </w:tc>
        <w:tc>
          <w:tcPr>
            <w:tcW w:w="32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14.88</w:t>
            </w:r>
          </w:p>
        </w:tc>
        <w:tc>
          <w:tcPr>
            <w:tcW w:w="0" w:type="dxa"/>
            <w:vAlign w:val="bottom"/>
          </w:tcPr>
          <w:p>
            <w:pPr>
              <w:spacing w:after="0"/>
              <w:rPr>
                <w:sz w:val="1"/>
                <w:szCs w:val="1"/>
                <w:color w:val="auto"/>
              </w:rPr>
            </w:pPr>
          </w:p>
        </w:tc>
      </w:tr>
      <w:tr>
        <w:trPr>
          <w:trHeight w:val="178"/>
        </w:trPr>
        <w:tc>
          <w:tcPr>
            <w:tcW w:w="7800" w:type="dxa"/>
            <w:vAlign w:val="bottom"/>
            <w:shd w:val="clear" w:color="auto" w:fill="DDDDDD"/>
          </w:tcPr>
          <w:p>
            <w:pPr>
              <w:ind w:left="200"/>
              <w:spacing w:after="0"/>
              <w:rPr>
                <w:sz w:val="20"/>
                <w:szCs w:val="20"/>
                <w:color w:val="auto"/>
              </w:rPr>
            </w:pPr>
            <w:r>
              <w:rPr>
                <w:rFonts w:ascii="Arial" w:cs="Arial" w:eastAsia="Arial" w:hAnsi="Arial"/>
                <w:sz w:val="13"/>
                <w:szCs w:val="13"/>
                <w:color w:val="auto"/>
              </w:rPr>
              <w:t>Granted</w:t>
            </w:r>
          </w:p>
        </w:tc>
        <w:tc>
          <w:tcPr>
            <w:tcW w:w="1700" w:type="dxa"/>
            <w:vAlign w:val="bottom"/>
            <w:shd w:val="clear" w:color="auto" w:fill="DDDDDD"/>
          </w:tcPr>
          <w:p>
            <w:pPr>
              <w:jc w:val="right"/>
              <w:spacing w:after="0"/>
              <w:rPr>
                <w:sz w:val="20"/>
                <w:szCs w:val="20"/>
                <w:color w:val="auto"/>
              </w:rPr>
            </w:pPr>
            <w:r>
              <w:rPr>
                <w:rFonts w:ascii="Arial" w:cs="Arial" w:eastAsia="Arial" w:hAnsi="Arial"/>
                <w:sz w:val="13"/>
                <w:szCs w:val="13"/>
                <w:color w:val="auto"/>
              </w:rPr>
              <w:t>977,645</w:t>
            </w:r>
          </w:p>
        </w:tc>
        <w:tc>
          <w:tcPr>
            <w:tcW w:w="320" w:type="dxa"/>
            <w:vAlign w:val="bottom"/>
            <w:shd w:val="clear" w:color="auto" w:fill="DDDDDD"/>
          </w:tcPr>
          <w:p>
            <w:pPr>
              <w:jc w:val="right"/>
              <w:ind w:right="74"/>
              <w:spacing w:after="0"/>
              <w:rPr>
                <w:sz w:val="20"/>
                <w:szCs w:val="20"/>
                <w:color w:val="auto"/>
              </w:rPr>
            </w:pPr>
            <w:r>
              <w:rPr>
                <w:rFonts w:ascii="Arial" w:cs="Arial" w:eastAsia="Arial" w:hAnsi="Arial"/>
                <w:sz w:val="13"/>
                <w:szCs w:val="13"/>
                <w:color w:val="auto"/>
              </w:rPr>
              <w:t>$</w:t>
            </w:r>
          </w:p>
        </w:tc>
        <w:tc>
          <w:tcPr>
            <w:tcW w:w="1460" w:type="dxa"/>
            <w:vAlign w:val="bottom"/>
            <w:shd w:val="clear" w:color="auto" w:fill="DDDDDD"/>
          </w:tcPr>
          <w:p>
            <w:pPr>
              <w:jc w:val="right"/>
              <w:spacing w:after="0"/>
              <w:rPr>
                <w:sz w:val="20"/>
                <w:szCs w:val="20"/>
                <w:color w:val="auto"/>
              </w:rPr>
            </w:pPr>
            <w:r>
              <w:rPr>
                <w:rFonts w:ascii="Arial" w:cs="Arial" w:eastAsia="Arial" w:hAnsi="Arial"/>
                <w:sz w:val="13"/>
                <w:szCs w:val="13"/>
                <w:color w:val="auto"/>
              </w:rPr>
              <w:t>33.21</w:t>
            </w:r>
          </w:p>
        </w:tc>
        <w:tc>
          <w:tcPr>
            <w:tcW w:w="0" w:type="dxa"/>
            <w:vAlign w:val="bottom"/>
          </w:tcPr>
          <w:p>
            <w:pPr>
              <w:spacing w:after="0"/>
              <w:rPr>
                <w:sz w:val="1"/>
                <w:szCs w:val="1"/>
                <w:color w:val="auto"/>
              </w:rPr>
            </w:pPr>
          </w:p>
        </w:tc>
      </w:tr>
      <w:tr>
        <w:trPr>
          <w:trHeight w:val="172"/>
        </w:trPr>
        <w:tc>
          <w:tcPr>
            <w:tcW w:w="7800" w:type="dxa"/>
            <w:vAlign w:val="bottom"/>
          </w:tcPr>
          <w:p>
            <w:pPr>
              <w:ind w:left="200"/>
              <w:spacing w:after="0"/>
              <w:rPr>
                <w:sz w:val="20"/>
                <w:szCs w:val="20"/>
                <w:color w:val="auto"/>
              </w:rPr>
            </w:pPr>
            <w:r>
              <w:rPr>
                <w:rFonts w:ascii="Arial" w:cs="Arial" w:eastAsia="Arial" w:hAnsi="Arial"/>
                <w:sz w:val="13"/>
                <w:szCs w:val="13"/>
                <w:color w:val="auto"/>
              </w:rPr>
              <w:t>Forfeited</w:t>
            </w:r>
          </w:p>
        </w:tc>
        <w:tc>
          <w:tcPr>
            <w:tcW w:w="1700" w:type="dxa"/>
            <w:vAlign w:val="bottom"/>
          </w:tcPr>
          <w:p>
            <w:pPr>
              <w:jc w:val="right"/>
              <w:spacing w:after="0"/>
              <w:rPr>
                <w:sz w:val="20"/>
                <w:szCs w:val="20"/>
                <w:color w:val="auto"/>
              </w:rPr>
            </w:pPr>
            <w:r>
              <w:rPr>
                <w:rFonts w:ascii="Arial" w:cs="Arial" w:eastAsia="Arial" w:hAnsi="Arial"/>
                <w:sz w:val="13"/>
                <w:szCs w:val="13"/>
                <w:color w:val="auto"/>
              </w:rPr>
              <w:t>(23,753)</w:t>
            </w:r>
          </w:p>
        </w:tc>
        <w:tc>
          <w:tcPr>
            <w:tcW w:w="32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27.92</w:t>
            </w:r>
          </w:p>
        </w:tc>
        <w:tc>
          <w:tcPr>
            <w:tcW w:w="0" w:type="dxa"/>
            <w:vAlign w:val="bottom"/>
          </w:tcPr>
          <w:p>
            <w:pPr>
              <w:spacing w:after="0"/>
              <w:rPr>
                <w:sz w:val="1"/>
                <w:szCs w:val="1"/>
                <w:color w:val="auto"/>
              </w:rPr>
            </w:pPr>
          </w:p>
        </w:tc>
      </w:tr>
      <w:tr>
        <w:trPr>
          <w:trHeight w:val="178"/>
        </w:trPr>
        <w:tc>
          <w:tcPr>
            <w:tcW w:w="7800" w:type="dxa"/>
            <w:vAlign w:val="bottom"/>
            <w:shd w:val="clear" w:color="auto" w:fill="DDDDDD"/>
          </w:tcPr>
          <w:p>
            <w:pPr>
              <w:ind w:left="200"/>
              <w:spacing w:after="0"/>
              <w:rPr>
                <w:sz w:val="20"/>
                <w:szCs w:val="20"/>
                <w:color w:val="auto"/>
              </w:rPr>
            </w:pPr>
            <w:r>
              <w:rPr>
                <w:rFonts w:ascii="Arial" w:cs="Arial" w:eastAsia="Arial" w:hAnsi="Arial"/>
                <w:sz w:val="13"/>
                <w:szCs w:val="13"/>
                <w:color w:val="auto"/>
              </w:rPr>
              <w:t>Vested</w:t>
            </w:r>
          </w:p>
        </w:tc>
        <w:tc>
          <w:tcPr>
            <w:tcW w:w="17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3"/>
                <w:szCs w:val="13"/>
                <w:color w:val="auto"/>
              </w:rPr>
              <w:t>(10,886)</w:t>
            </w:r>
          </w:p>
        </w:tc>
        <w:tc>
          <w:tcPr>
            <w:tcW w:w="320" w:type="dxa"/>
            <w:vAlign w:val="bottom"/>
            <w:shd w:val="clear" w:color="auto" w:fill="DDDDDD"/>
          </w:tcPr>
          <w:p>
            <w:pPr>
              <w:jc w:val="right"/>
              <w:ind w:right="74"/>
              <w:spacing w:after="0"/>
              <w:rPr>
                <w:sz w:val="20"/>
                <w:szCs w:val="20"/>
                <w:color w:val="auto"/>
              </w:rPr>
            </w:pPr>
            <w:r>
              <w:rPr>
                <w:rFonts w:ascii="Arial" w:cs="Arial" w:eastAsia="Arial" w:hAnsi="Arial"/>
                <w:sz w:val="13"/>
                <w:szCs w:val="13"/>
                <w:color w:val="auto"/>
              </w:rPr>
              <w:t>$</w:t>
            </w:r>
          </w:p>
        </w:tc>
        <w:tc>
          <w:tcPr>
            <w:tcW w:w="1460" w:type="dxa"/>
            <w:vAlign w:val="bottom"/>
            <w:shd w:val="clear" w:color="auto" w:fill="DDDDDD"/>
          </w:tcPr>
          <w:p>
            <w:pPr>
              <w:jc w:val="right"/>
              <w:spacing w:after="0"/>
              <w:rPr>
                <w:sz w:val="20"/>
                <w:szCs w:val="20"/>
                <w:color w:val="auto"/>
              </w:rPr>
            </w:pPr>
            <w:r>
              <w:rPr>
                <w:rFonts w:ascii="Arial" w:cs="Arial" w:eastAsia="Arial" w:hAnsi="Arial"/>
                <w:sz w:val="13"/>
                <w:szCs w:val="13"/>
                <w:color w:val="auto"/>
              </w:rPr>
              <w:t>14.70</w:t>
            </w:r>
          </w:p>
        </w:tc>
        <w:tc>
          <w:tcPr>
            <w:tcW w:w="0" w:type="dxa"/>
            <w:vAlign w:val="bottom"/>
          </w:tcPr>
          <w:p>
            <w:pPr>
              <w:spacing w:after="0"/>
              <w:rPr>
                <w:sz w:val="1"/>
                <w:szCs w:val="1"/>
                <w:color w:val="auto"/>
              </w:rPr>
            </w:pPr>
          </w:p>
        </w:tc>
      </w:tr>
      <w:tr>
        <w:trPr>
          <w:trHeight w:val="163"/>
        </w:trPr>
        <w:tc>
          <w:tcPr>
            <w:tcW w:w="7800" w:type="dxa"/>
            <w:vAlign w:val="bottom"/>
          </w:tcPr>
          <w:p>
            <w:pPr>
              <w:ind w:left="20"/>
              <w:spacing w:after="0"/>
              <w:rPr>
                <w:sz w:val="20"/>
                <w:szCs w:val="20"/>
                <w:color w:val="auto"/>
              </w:rPr>
            </w:pPr>
            <w:r>
              <w:rPr>
                <w:rFonts w:ascii="Arial" w:cs="Arial" w:eastAsia="Arial" w:hAnsi="Arial"/>
                <w:sz w:val="13"/>
                <w:szCs w:val="13"/>
                <w:color w:val="auto"/>
              </w:rPr>
              <w:t>Balance December 31, 2021</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1,536,394</w:t>
            </w:r>
          </w:p>
        </w:tc>
        <w:tc>
          <w:tcPr>
            <w:tcW w:w="32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26.34</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Compensation expense for Performance-Based RSUs recognized in SG&amp;A expense in the consolidated statements of operations was $8.3 million, $2.5 million and $1.0 million for the years ended December 31, 2021, 2020, and 2019, respectively. At December 31, 2021, unrecognized compensation cost related to Performance-Based RSUs totaled $27.6 million and was expected to be recognized over the remaining vesting period of 2.5 years.</w:t>
      </w:r>
    </w:p>
    <w:p>
      <w:pPr>
        <w:spacing w:after="0" w:line="33"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The total fair value of Performance-Based RSU's vested in 2021 and 2020 was $0.3 million and $0.2 million, respectively. No Performance-Based RSUs vested in 2019. Refer to Note 1 for the details of conditions required for the performance-based RSUs to vest.</w:t>
      </w:r>
    </w:p>
    <w:p>
      <w:pPr>
        <w:spacing w:after="0" w:line="31"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Included in restructuring costs for the year ended December 31, 2021, was expense of approximately $1.3 million recognized as a result of the modification of certain Performance-Based RSUs with the Transition, Separation and Release Agreement entered into on February 25, 2021, with the Company's former President and Chief Operating Officer.</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Options</w:t>
      </w:r>
    </w:p>
    <w:p>
      <w:pPr>
        <w:spacing w:after="0" w:line="110"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following table summarizes the Company's stock option activity during the years ended December 31, 2021, 2020 and 2019:</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60" w:type="dxa"/>
            <w:vAlign w:val="bottom"/>
            <w:shd w:val="clear" w:color="auto" w:fill="1D2758"/>
          </w:tcPr>
          <w:p>
            <w:pPr>
              <w:spacing w:after="0"/>
              <w:rPr>
                <w:sz w:val="13"/>
                <w:szCs w:val="13"/>
                <w:color w:val="auto"/>
              </w:rPr>
            </w:pPr>
          </w:p>
        </w:tc>
        <w:tc>
          <w:tcPr>
            <w:tcW w:w="1680" w:type="dxa"/>
            <w:vAlign w:val="bottom"/>
            <w:vMerge w:val="restart"/>
            <w:shd w:val="clear" w:color="auto" w:fill="1D2758"/>
          </w:tcPr>
          <w:p>
            <w:pPr>
              <w:jc w:val="right"/>
              <w:ind w:right="254"/>
              <w:spacing w:after="0"/>
              <w:rPr>
                <w:sz w:val="20"/>
                <w:szCs w:val="20"/>
                <w:color w:val="auto"/>
              </w:rPr>
            </w:pPr>
            <w:r>
              <w:rPr>
                <w:rFonts w:ascii="Arial" w:cs="Arial" w:eastAsia="Arial" w:hAnsi="Arial"/>
                <w:sz w:val="13"/>
                <w:szCs w:val="13"/>
                <w:b w:val="1"/>
                <w:bCs w:val="1"/>
                <w:color w:val="FFFFFF"/>
              </w:rPr>
              <w:t>WillScot Options</w:t>
            </w:r>
          </w:p>
        </w:tc>
        <w:tc>
          <w:tcPr>
            <w:tcW w:w="260" w:type="dxa"/>
            <w:vAlign w:val="bottom"/>
            <w:shd w:val="clear" w:color="auto" w:fill="1D2758"/>
          </w:tcPr>
          <w:p>
            <w:pPr>
              <w:spacing w:after="0"/>
              <w:rPr>
                <w:sz w:val="13"/>
                <w:szCs w:val="13"/>
                <w:color w:val="auto"/>
              </w:rPr>
            </w:pPr>
          </w:p>
        </w:tc>
        <w:tc>
          <w:tcPr>
            <w:tcW w:w="1600" w:type="dxa"/>
            <w:vAlign w:val="bottom"/>
            <w:shd w:val="clear" w:color="auto" w:fill="1D2758"/>
          </w:tcPr>
          <w:p>
            <w:pPr>
              <w:jc w:val="right"/>
              <w:ind w:right="294"/>
              <w:spacing w:after="0"/>
              <w:rPr>
                <w:sz w:val="20"/>
                <w:szCs w:val="20"/>
                <w:color w:val="auto"/>
              </w:rPr>
            </w:pPr>
            <w:r>
              <w:rPr>
                <w:rFonts w:ascii="Arial" w:cs="Arial" w:eastAsia="Arial" w:hAnsi="Arial"/>
                <w:sz w:val="13"/>
                <w:szCs w:val="13"/>
                <w:b w:val="1"/>
                <w:bCs w:val="1"/>
                <w:color w:val="FFFFFF"/>
              </w:rPr>
              <w:t>Weighted-Average</w:t>
            </w:r>
          </w:p>
        </w:tc>
        <w:tc>
          <w:tcPr>
            <w:tcW w:w="1700" w:type="dxa"/>
            <w:vAlign w:val="bottom"/>
            <w:shd w:val="clear" w:color="auto" w:fill="1D2758"/>
          </w:tcPr>
          <w:p>
            <w:pPr>
              <w:jc w:val="right"/>
              <w:ind w:right="454"/>
              <w:spacing w:after="0"/>
              <w:rPr>
                <w:sz w:val="20"/>
                <w:szCs w:val="20"/>
                <w:color w:val="auto"/>
              </w:rPr>
            </w:pPr>
            <w:r>
              <w:rPr>
                <w:rFonts w:ascii="Arial" w:cs="Arial" w:eastAsia="Arial" w:hAnsi="Arial"/>
                <w:sz w:val="13"/>
                <w:szCs w:val="13"/>
                <w:b w:val="1"/>
                <w:bCs w:val="1"/>
                <w:color w:val="FFFFFF"/>
              </w:rPr>
              <w:t>Converted</w:t>
            </w:r>
          </w:p>
        </w:tc>
        <w:tc>
          <w:tcPr>
            <w:tcW w:w="260" w:type="dxa"/>
            <w:vAlign w:val="bottom"/>
            <w:shd w:val="clear" w:color="auto" w:fill="1D2758"/>
          </w:tcPr>
          <w:p>
            <w:pPr>
              <w:spacing w:after="0"/>
              <w:rPr>
                <w:sz w:val="13"/>
                <w:szCs w:val="13"/>
                <w:color w:val="auto"/>
              </w:rPr>
            </w:pPr>
          </w:p>
        </w:tc>
        <w:tc>
          <w:tcPr>
            <w:tcW w:w="1520" w:type="dxa"/>
            <w:vAlign w:val="bottom"/>
            <w:shd w:val="clear" w:color="auto" w:fill="1D2758"/>
          </w:tcPr>
          <w:p>
            <w:pPr>
              <w:jc w:val="right"/>
              <w:ind w:right="214"/>
              <w:spacing w:after="0"/>
              <w:rPr>
                <w:sz w:val="20"/>
                <w:szCs w:val="20"/>
                <w:color w:val="auto"/>
              </w:rPr>
            </w:pPr>
            <w:r>
              <w:rPr>
                <w:rFonts w:ascii="Arial" w:cs="Arial" w:eastAsia="Arial" w:hAnsi="Arial"/>
                <w:sz w:val="13"/>
                <w:szCs w:val="13"/>
                <w:b w:val="1"/>
                <w:bCs w:val="1"/>
                <w:color w:val="FFFFFF"/>
              </w:rPr>
              <w:t>Weighted-Average</w:t>
            </w:r>
          </w:p>
        </w:tc>
        <w:tc>
          <w:tcPr>
            <w:tcW w:w="0" w:type="dxa"/>
            <w:vAlign w:val="bottom"/>
          </w:tcPr>
          <w:p>
            <w:pPr>
              <w:spacing w:after="0"/>
              <w:rPr>
                <w:sz w:val="1"/>
                <w:szCs w:val="1"/>
                <w:color w:val="auto"/>
              </w:rPr>
            </w:pPr>
          </w:p>
        </w:tc>
      </w:tr>
      <w:tr>
        <w:trPr>
          <w:trHeight w:val="175"/>
        </w:trPr>
        <w:tc>
          <w:tcPr>
            <w:tcW w:w="4260" w:type="dxa"/>
            <w:vAlign w:val="bottom"/>
            <w:shd w:val="clear" w:color="auto" w:fill="1D2758"/>
          </w:tcPr>
          <w:p>
            <w:pPr>
              <w:spacing w:after="0"/>
              <w:rPr>
                <w:sz w:val="15"/>
                <w:szCs w:val="15"/>
                <w:color w:val="auto"/>
              </w:rPr>
            </w:pPr>
          </w:p>
        </w:tc>
        <w:tc>
          <w:tcPr>
            <w:tcW w:w="1680" w:type="dxa"/>
            <w:vAlign w:val="bottom"/>
            <w:vMerge w:val="continue"/>
            <w:shd w:val="clear" w:color="auto" w:fill="1D2758"/>
          </w:tcPr>
          <w:p>
            <w:pPr>
              <w:spacing w:after="0"/>
              <w:rPr>
                <w:sz w:val="15"/>
                <w:szCs w:val="15"/>
                <w:color w:val="auto"/>
              </w:rPr>
            </w:pPr>
          </w:p>
        </w:tc>
        <w:tc>
          <w:tcPr>
            <w:tcW w:w="1860" w:type="dxa"/>
            <w:vAlign w:val="bottom"/>
            <w:gridSpan w:val="2"/>
            <w:shd w:val="clear" w:color="auto" w:fill="1D2758"/>
          </w:tcPr>
          <w:p>
            <w:pPr>
              <w:jc w:val="right"/>
              <w:ind w:right="94"/>
              <w:spacing w:after="0"/>
              <w:rPr>
                <w:sz w:val="20"/>
                <w:szCs w:val="20"/>
                <w:color w:val="auto"/>
              </w:rPr>
            </w:pPr>
            <w:r>
              <w:rPr>
                <w:rFonts w:ascii="Arial" w:cs="Arial" w:eastAsia="Arial" w:hAnsi="Arial"/>
                <w:sz w:val="13"/>
                <w:szCs w:val="13"/>
                <w:b w:val="1"/>
                <w:bCs w:val="1"/>
                <w:color w:val="FFFFFF"/>
              </w:rPr>
              <w:t>Exercise Price per Share</w:t>
            </w:r>
          </w:p>
        </w:tc>
        <w:tc>
          <w:tcPr>
            <w:tcW w:w="1700" w:type="dxa"/>
            <w:vAlign w:val="bottom"/>
            <w:shd w:val="clear" w:color="auto" w:fill="1D2758"/>
          </w:tcPr>
          <w:p>
            <w:pPr>
              <w:jc w:val="right"/>
              <w:ind w:right="154"/>
              <w:spacing w:after="0"/>
              <w:rPr>
                <w:sz w:val="20"/>
                <w:szCs w:val="20"/>
                <w:color w:val="auto"/>
              </w:rPr>
            </w:pPr>
            <w:r>
              <w:rPr>
                <w:rFonts w:ascii="Arial" w:cs="Arial" w:eastAsia="Arial" w:hAnsi="Arial"/>
                <w:sz w:val="13"/>
                <w:szCs w:val="13"/>
                <w:b w:val="1"/>
                <w:bCs w:val="1"/>
                <w:color w:val="FFFFFF"/>
              </w:rPr>
              <w:t>Mobile Mini Options</w:t>
            </w:r>
          </w:p>
        </w:tc>
        <w:tc>
          <w:tcPr>
            <w:tcW w:w="1780" w:type="dxa"/>
            <w:vAlign w:val="bottom"/>
            <w:gridSpan w:val="2"/>
            <w:shd w:val="clear" w:color="auto" w:fill="1D2758"/>
          </w:tcPr>
          <w:p>
            <w:pPr>
              <w:jc w:val="right"/>
              <w:ind w:right="14"/>
              <w:spacing w:after="0"/>
              <w:rPr>
                <w:sz w:val="20"/>
                <w:szCs w:val="20"/>
                <w:color w:val="auto"/>
              </w:rPr>
            </w:pPr>
            <w:r>
              <w:rPr>
                <w:rFonts w:ascii="Arial" w:cs="Arial" w:eastAsia="Arial" w:hAnsi="Arial"/>
                <w:sz w:val="13"/>
                <w:szCs w:val="13"/>
                <w:b w:val="1"/>
                <w:bCs w:val="1"/>
                <w:color w:val="FFFFFF"/>
              </w:rPr>
              <w:t>Exercise Price per Share</w:t>
            </w:r>
          </w:p>
        </w:tc>
        <w:tc>
          <w:tcPr>
            <w:tcW w:w="0" w:type="dxa"/>
            <w:vAlign w:val="bottom"/>
          </w:tcPr>
          <w:p>
            <w:pPr>
              <w:spacing w:after="0"/>
              <w:rPr>
                <w:sz w:val="1"/>
                <w:szCs w:val="1"/>
                <w:color w:val="auto"/>
              </w:rPr>
            </w:pPr>
          </w:p>
        </w:tc>
      </w:tr>
      <w:tr>
        <w:trPr>
          <w:trHeight w:val="175"/>
        </w:trPr>
        <w:tc>
          <w:tcPr>
            <w:tcW w:w="4260" w:type="dxa"/>
            <w:vAlign w:val="bottom"/>
            <w:shd w:val="clear" w:color="auto" w:fill="DBDBDB"/>
          </w:tcPr>
          <w:p>
            <w:pPr>
              <w:ind w:left="20"/>
              <w:spacing w:after="0"/>
              <w:rPr>
                <w:sz w:val="20"/>
                <w:szCs w:val="20"/>
                <w:color w:val="auto"/>
              </w:rPr>
            </w:pPr>
            <w:r>
              <w:rPr>
                <w:rFonts w:ascii="Arial" w:cs="Arial" w:eastAsia="Arial" w:hAnsi="Arial"/>
                <w:sz w:val="13"/>
                <w:szCs w:val="13"/>
                <w:color w:val="auto"/>
              </w:rPr>
              <w:t>Balance December 31, 2018</w:t>
            </w:r>
          </w:p>
        </w:tc>
        <w:tc>
          <w:tcPr>
            <w:tcW w:w="16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589,257</w:t>
            </w:r>
          </w:p>
        </w:tc>
        <w:tc>
          <w:tcPr>
            <w:tcW w:w="260" w:type="dxa"/>
            <w:vAlign w:val="bottom"/>
            <w:shd w:val="clear" w:color="auto" w:fill="DBDBDB"/>
          </w:tcPr>
          <w:p>
            <w:pPr>
              <w:jc w:val="right"/>
              <w:ind w:right="14"/>
              <w:spacing w:after="0"/>
              <w:rPr>
                <w:sz w:val="20"/>
                <w:szCs w:val="20"/>
                <w:color w:val="auto"/>
              </w:rPr>
            </w:pPr>
            <w:r>
              <w:rPr>
                <w:rFonts w:ascii="Arial" w:cs="Arial" w:eastAsia="Arial" w:hAnsi="Arial"/>
                <w:sz w:val="13"/>
                <w:szCs w:val="13"/>
                <w:color w:val="auto"/>
              </w:rPr>
              <w:t>$</w:t>
            </w:r>
          </w:p>
        </w:tc>
        <w:tc>
          <w:tcPr>
            <w:tcW w:w="160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13.60</w:t>
            </w:r>
          </w:p>
        </w:tc>
        <w:tc>
          <w:tcPr>
            <w:tcW w:w="1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DBDBDB"/>
          </w:tcPr>
          <w:p>
            <w:pPr>
              <w:jc w:val="right"/>
              <w:ind w:right="14"/>
              <w:spacing w:after="0"/>
              <w:rPr>
                <w:sz w:val="20"/>
                <w:szCs w:val="20"/>
                <w:color w:val="auto"/>
              </w:rPr>
            </w:pPr>
            <w:r>
              <w:rPr>
                <w:rFonts w:ascii="Arial" w:cs="Arial" w:eastAsia="Arial" w:hAnsi="Arial"/>
                <w:sz w:val="13"/>
                <w:szCs w:val="13"/>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4260" w:type="dxa"/>
            <w:vAlign w:val="bottom"/>
          </w:tcPr>
          <w:p>
            <w:pPr>
              <w:ind w:left="200"/>
              <w:spacing w:after="0"/>
              <w:rPr>
                <w:sz w:val="20"/>
                <w:szCs w:val="20"/>
                <w:color w:val="auto"/>
              </w:rPr>
            </w:pPr>
            <w:r>
              <w:rPr>
                <w:rFonts w:ascii="Arial" w:cs="Arial" w:eastAsia="Arial" w:hAnsi="Arial"/>
                <w:sz w:val="13"/>
                <w:szCs w:val="13"/>
                <w:color w:val="auto"/>
              </w:rPr>
              <w:t>Forfeited</w:t>
            </w:r>
          </w:p>
        </w:tc>
        <w:tc>
          <w:tcPr>
            <w:tcW w:w="1680" w:type="dxa"/>
            <w:vAlign w:val="bottom"/>
          </w:tcPr>
          <w:p>
            <w:pPr>
              <w:jc w:val="right"/>
              <w:spacing w:after="0"/>
              <w:rPr>
                <w:sz w:val="20"/>
                <w:szCs w:val="20"/>
                <w:color w:val="auto"/>
              </w:rPr>
            </w:pPr>
            <w:r>
              <w:rPr>
                <w:rFonts w:ascii="Arial" w:cs="Arial" w:eastAsia="Arial" w:hAnsi="Arial"/>
                <w:sz w:val="13"/>
                <w:szCs w:val="13"/>
                <w:color w:val="auto"/>
              </w:rPr>
              <w:t>(41,302)</w:t>
            </w:r>
          </w:p>
        </w:tc>
        <w:tc>
          <w:tcPr>
            <w:tcW w:w="26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600" w:type="dxa"/>
            <w:vAlign w:val="bottom"/>
          </w:tcPr>
          <w:p>
            <w:pPr>
              <w:jc w:val="right"/>
              <w:ind w:right="74"/>
              <w:spacing w:after="0"/>
              <w:rPr>
                <w:sz w:val="20"/>
                <w:szCs w:val="20"/>
                <w:color w:val="auto"/>
              </w:rPr>
            </w:pPr>
            <w:r>
              <w:rPr>
                <w:rFonts w:ascii="Arial" w:cs="Arial" w:eastAsia="Arial" w:hAnsi="Arial"/>
                <w:sz w:val="13"/>
                <w:szCs w:val="13"/>
                <w:color w:val="auto"/>
              </w:rPr>
              <w:t>13.60</w:t>
            </w:r>
          </w:p>
        </w:tc>
        <w:tc>
          <w:tcPr>
            <w:tcW w:w="17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8"/>
        </w:trPr>
        <w:tc>
          <w:tcPr>
            <w:tcW w:w="42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Exercised</w:t>
            </w:r>
          </w:p>
        </w:tc>
        <w:tc>
          <w:tcPr>
            <w:tcW w:w="1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(13,767)</w:t>
            </w:r>
          </w:p>
        </w:tc>
        <w:tc>
          <w:tcPr>
            <w:tcW w:w="260" w:type="dxa"/>
            <w:vAlign w:val="bottom"/>
            <w:shd w:val="clear" w:color="auto" w:fill="DBDBDB"/>
          </w:tcPr>
          <w:p>
            <w:pPr>
              <w:jc w:val="right"/>
              <w:ind w:right="14"/>
              <w:spacing w:after="0"/>
              <w:rPr>
                <w:sz w:val="20"/>
                <w:szCs w:val="20"/>
                <w:color w:val="auto"/>
              </w:rPr>
            </w:pPr>
            <w:r>
              <w:rPr>
                <w:rFonts w:ascii="Arial" w:cs="Arial" w:eastAsia="Arial" w:hAnsi="Arial"/>
                <w:sz w:val="13"/>
                <w:szCs w:val="13"/>
                <w:color w:val="auto"/>
              </w:rPr>
              <w:t>$</w:t>
            </w:r>
          </w:p>
        </w:tc>
        <w:tc>
          <w:tcPr>
            <w:tcW w:w="160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13.60</w:t>
            </w: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DBDBDB"/>
          </w:tcPr>
          <w:p>
            <w:pPr>
              <w:jc w:val="right"/>
              <w:ind w:right="14"/>
              <w:spacing w:after="0"/>
              <w:rPr>
                <w:sz w:val="20"/>
                <w:szCs w:val="20"/>
                <w:color w:val="auto"/>
              </w:rPr>
            </w:pPr>
            <w:r>
              <w:rPr>
                <w:rFonts w:ascii="Arial" w:cs="Arial" w:eastAsia="Arial" w:hAnsi="Arial"/>
                <w:sz w:val="13"/>
                <w:szCs w:val="13"/>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4260" w:type="dxa"/>
            <w:vAlign w:val="bottom"/>
          </w:tcPr>
          <w:p>
            <w:pPr>
              <w:ind w:left="20"/>
              <w:spacing w:after="0"/>
              <w:rPr>
                <w:sz w:val="20"/>
                <w:szCs w:val="20"/>
                <w:color w:val="auto"/>
              </w:rPr>
            </w:pPr>
            <w:r>
              <w:rPr>
                <w:rFonts w:ascii="Arial" w:cs="Arial" w:eastAsia="Arial" w:hAnsi="Arial"/>
                <w:sz w:val="13"/>
                <w:szCs w:val="13"/>
                <w:color w:val="auto"/>
              </w:rPr>
              <w:t>Balance December 31, 2019</w:t>
            </w:r>
          </w:p>
        </w:tc>
        <w:tc>
          <w:tcPr>
            <w:tcW w:w="1680" w:type="dxa"/>
            <w:vAlign w:val="bottom"/>
          </w:tcPr>
          <w:p>
            <w:pPr>
              <w:jc w:val="right"/>
              <w:spacing w:after="0"/>
              <w:rPr>
                <w:sz w:val="20"/>
                <w:szCs w:val="20"/>
                <w:color w:val="auto"/>
              </w:rPr>
            </w:pPr>
            <w:r>
              <w:rPr>
                <w:rFonts w:ascii="Arial" w:cs="Arial" w:eastAsia="Arial" w:hAnsi="Arial"/>
                <w:sz w:val="13"/>
                <w:szCs w:val="13"/>
                <w:color w:val="auto"/>
              </w:rPr>
              <w:t>534,188</w:t>
            </w:r>
          </w:p>
        </w:tc>
        <w:tc>
          <w:tcPr>
            <w:tcW w:w="26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600" w:type="dxa"/>
            <w:vAlign w:val="bottom"/>
          </w:tcPr>
          <w:p>
            <w:pPr>
              <w:jc w:val="right"/>
              <w:ind w:right="74"/>
              <w:spacing w:after="0"/>
              <w:rPr>
                <w:sz w:val="20"/>
                <w:szCs w:val="20"/>
                <w:color w:val="auto"/>
              </w:rPr>
            </w:pPr>
            <w:r>
              <w:rPr>
                <w:rFonts w:ascii="Arial" w:cs="Arial" w:eastAsia="Arial" w:hAnsi="Arial"/>
                <w:sz w:val="13"/>
                <w:szCs w:val="13"/>
                <w:color w:val="auto"/>
              </w:rPr>
              <w:t>13.60</w:t>
            </w:r>
          </w:p>
        </w:tc>
        <w:tc>
          <w:tcPr>
            <w:tcW w:w="17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8"/>
        </w:trPr>
        <w:tc>
          <w:tcPr>
            <w:tcW w:w="42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Converted at Merger</w:t>
            </w:r>
          </w:p>
        </w:tc>
        <w:tc>
          <w:tcPr>
            <w:tcW w:w="16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DBDBDB"/>
          </w:tcPr>
          <w:p>
            <w:pPr>
              <w:jc w:val="right"/>
              <w:ind w:right="14"/>
              <w:spacing w:after="0"/>
              <w:rPr>
                <w:sz w:val="20"/>
                <w:szCs w:val="20"/>
                <w:color w:val="auto"/>
              </w:rPr>
            </w:pPr>
            <w:r>
              <w:rPr>
                <w:rFonts w:ascii="Arial" w:cs="Arial" w:eastAsia="Arial" w:hAnsi="Arial"/>
                <w:sz w:val="13"/>
                <w:szCs w:val="13"/>
                <w:color w:val="auto"/>
              </w:rPr>
              <w:t>$</w:t>
            </w:r>
          </w:p>
        </w:tc>
        <w:tc>
          <w:tcPr>
            <w:tcW w:w="160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7,361,516</w:t>
            </w:r>
          </w:p>
        </w:tc>
        <w:tc>
          <w:tcPr>
            <w:tcW w:w="260" w:type="dxa"/>
            <w:vAlign w:val="bottom"/>
            <w:shd w:val="clear" w:color="auto" w:fill="DBDBDB"/>
          </w:tcPr>
          <w:p>
            <w:pPr>
              <w:jc w:val="right"/>
              <w:ind w:right="14"/>
              <w:spacing w:after="0"/>
              <w:rPr>
                <w:sz w:val="20"/>
                <w:szCs w:val="20"/>
                <w:color w:val="auto"/>
              </w:rPr>
            </w:pPr>
            <w:r>
              <w:rPr>
                <w:rFonts w:ascii="Arial" w:cs="Arial" w:eastAsia="Arial" w:hAnsi="Arial"/>
                <w:sz w:val="13"/>
                <w:szCs w:val="13"/>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13.52</w:t>
            </w:r>
          </w:p>
        </w:tc>
        <w:tc>
          <w:tcPr>
            <w:tcW w:w="0" w:type="dxa"/>
            <w:vAlign w:val="bottom"/>
          </w:tcPr>
          <w:p>
            <w:pPr>
              <w:spacing w:after="0"/>
              <w:rPr>
                <w:sz w:val="1"/>
                <w:szCs w:val="1"/>
                <w:color w:val="auto"/>
              </w:rPr>
            </w:pPr>
          </w:p>
        </w:tc>
      </w:tr>
      <w:tr>
        <w:trPr>
          <w:trHeight w:val="172"/>
        </w:trPr>
        <w:tc>
          <w:tcPr>
            <w:tcW w:w="4260" w:type="dxa"/>
            <w:vAlign w:val="bottom"/>
          </w:tcPr>
          <w:p>
            <w:pPr>
              <w:ind w:left="200"/>
              <w:spacing w:after="0"/>
              <w:rPr>
                <w:sz w:val="20"/>
                <w:szCs w:val="20"/>
                <w:color w:val="auto"/>
              </w:rPr>
            </w:pPr>
            <w:r>
              <w:rPr>
                <w:rFonts w:ascii="Arial" w:cs="Arial" w:eastAsia="Arial" w:hAnsi="Arial"/>
                <w:sz w:val="13"/>
                <w:szCs w:val="13"/>
                <w:color w:val="auto"/>
              </w:rPr>
              <w:t>Exercised</w:t>
            </w: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60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700" w:type="dxa"/>
            <w:vAlign w:val="bottom"/>
          </w:tcPr>
          <w:p>
            <w:pPr>
              <w:jc w:val="right"/>
              <w:spacing w:after="0"/>
              <w:rPr>
                <w:sz w:val="20"/>
                <w:szCs w:val="20"/>
                <w:color w:val="auto"/>
              </w:rPr>
            </w:pPr>
            <w:r>
              <w:rPr>
                <w:rFonts w:ascii="Arial" w:cs="Arial" w:eastAsia="Arial" w:hAnsi="Arial"/>
                <w:sz w:val="13"/>
                <w:szCs w:val="13"/>
                <w:color w:val="auto"/>
              </w:rPr>
              <w:t>(428,653)</w:t>
            </w:r>
          </w:p>
        </w:tc>
        <w:tc>
          <w:tcPr>
            <w:tcW w:w="26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13.07</w:t>
            </w:r>
          </w:p>
        </w:tc>
        <w:tc>
          <w:tcPr>
            <w:tcW w:w="0" w:type="dxa"/>
            <w:vAlign w:val="bottom"/>
          </w:tcPr>
          <w:p>
            <w:pPr>
              <w:spacing w:after="0"/>
              <w:rPr>
                <w:sz w:val="1"/>
                <w:szCs w:val="1"/>
                <w:color w:val="auto"/>
              </w:rPr>
            </w:pPr>
          </w:p>
        </w:tc>
      </w:tr>
      <w:tr>
        <w:trPr>
          <w:trHeight w:val="178"/>
        </w:trPr>
        <w:tc>
          <w:tcPr>
            <w:tcW w:w="42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Cancelled in settlement, net of taxes</w:t>
            </w:r>
          </w:p>
        </w:tc>
        <w:tc>
          <w:tcPr>
            <w:tcW w:w="1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DBDBDB"/>
          </w:tcPr>
          <w:p>
            <w:pPr>
              <w:jc w:val="right"/>
              <w:ind w:right="14"/>
              <w:spacing w:after="0"/>
              <w:rPr>
                <w:sz w:val="20"/>
                <w:szCs w:val="20"/>
                <w:color w:val="auto"/>
              </w:rPr>
            </w:pPr>
            <w:r>
              <w:rPr>
                <w:rFonts w:ascii="Arial" w:cs="Arial" w:eastAsia="Arial" w:hAnsi="Arial"/>
                <w:sz w:val="13"/>
                <w:szCs w:val="13"/>
                <w:color w:val="auto"/>
              </w:rPr>
              <w:t>$</w:t>
            </w:r>
          </w:p>
        </w:tc>
        <w:tc>
          <w:tcPr>
            <w:tcW w:w="160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(4,901,408)</w:t>
            </w:r>
          </w:p>
        </w:tc>
        <w:tc>
          <w:tcPr>
            <w:tcW w:w="260" w:type="dxa"/>
            <w:vAlign w:val="bottom"/>
            <w:shd w:val="clear" w:color="auto" w:fill="DBDBDB"/>
          </w:tcPr>
          <w:p>
            <w:pPr>
              <w:jc w:val="right"/>
              <w:ind w:right="14"/>
              <w:spacing w:after="0"/>
              <w:rPr>
                <w:sz w:val="20"/>
                <w:szCs w:val="20"/>
                <w:color w:val="auto"/>
              </w:rPr>
            </w:pPr>
            <w:r>
              <w:rPr>
                <w:rFonts w:ascii="Arial" w:cs="Arial" w:eastAsia="Arial" w:hAnsi="Arial"/>
                <w:sz w:val="13"/>
                <w:szCs w:val="13"/>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13.04</w:t>
            </w:r>
          </w:p>
        </w:tc>
        <w:tc>
          <w:tcPr>
            <w:tcW w:w="0" w:type="dxa"/>
            <w:vAlign w:val="bottom"/>
          </w:tcPr>
          <w:p>
            <w:pPr>
              <w:spacing w:after="0"/>
              <w:rPr>
                <w:sz w:val="1"/>
                <w:szCs w:val="1"/>
                <w:color w:val="auto"/>
              </w:rPr>
            </w:pPr>
          </w:p>
        </w:tc>
      </w:tr>
      <w:tr>
        <w:trPr>
          <w:trHeight w:val="163"/>
        </w:trPr>
        <w:tc>
          <w:tcPr>
            <w:tcW w:w="4260" w:type="dxa"/>
            <w:vAlign w:val="bottom"/>
          </w:tcPr>
          <w:p>
            <w:pPr>
              <w:ind w:left="20"/>
              <w:spacing w:after="0"/>
              <w:rPr>
                <w:sz w:val="20"/>
                <w:szCs w:val="20"/>
                <w:color w:val="auto"/>
              </w:rPr>
            </w:pPr>
            <w:r>
              <w:rPr>
                <w:rFonts w:ascii="Arial" w:cs="Arial" w:eastAsia="Arial" w:hAnsi="Arial"/>
                <w:sz w:val="13"/>
                <w:szCs w:val="13"/>
                <w:color w:val="auto"/>
              </w:rPr>
              <w:t>Balance December 31, 2020</w:t>
            </w:r>
          </w:p>
        </w:tc>
        <w:tc>
          <w:tcPr>
            <w:tcW w:w="1680" w:type="dxa"/>
            <w:vAlign w:val="bottom"/>
          </w:tcPr>
          <w:p>
            <w:pPr>
              <w:jc w:val="right"/>
              <w:spacing w:after="0"/>
              <w:rPr>
                <w:sz w:val="20"/>
                <w:szCs w:val="20"/>
                <w:color w:val="auto"/>
              </w:rPr>
            </w:pPr>
            <w:r>
              <w:rPr>
                <w:rFonts w:ascii="Arial" w:cs="Arial" w:eastAsia="Arial" w:hAnsi="Arial"/>
                <w:sz w:val="13"/>
                <w:szCs w:val="13"/>
                <w:color w:val="auto"/>
              </w:rPr>
              <w:t>534,188</w:t>
            </w:r>
          </w:p>
        </w:tc>
        <w:tc>
          <w:tcPr>
            <w:tcW w:w="26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600" w:type="dxa"/>
            <w:vAlign w:val="bottom"/>
          </w:tcPr>
          <w:p>
            <w:pPr>
              <w:jc w:val="right"/>
              <w:ind w:right="74"/>
              <w:spacing w:after="0"/>
              <w:rPr>
                <w:sz w:val="20"/>
                <w:szCs w:val="20"/>
                <w:color w:val="auto"/>
              </w:rPr>
            </w:pPr>
            <w:r>
              <w:rPr>
                <w:rFonts w:ascii="Arial" w:cs="Arial" w:eastAsia="Arial" w:hAnsi="Arial"/>
                <w:sz w:val="13"/>
                <w:szCs w:val="13"/>
                <w:color w:val="auto"/>
              </w:rPr>
              <w:t>13.60</w:t>
            </w:r>
          </w:p>
        </w:tc>
        <w:tc>
          <w:tcPr>
            <w:tcW w:w="1700" w:type="dxa"/>
            <w:vAlign w:val="bottom"/>
          </w:tcPr>
          <w:p>
            <w:pPr>
              <w:jc w:val="right"/>
              <w:spacing w:after="0"/>
              <w:rPr>
                <w:sz w:val="20"/>
                <w:szCs w:val="20"/>
                <w:color w:val="auto"/>
              </w:rPr>
            </w:pPr>
            <w:r>
              <w:rPr>
                <w:rFonts w:ascii="Arial" w:cs="Arial" w:eastAsia="Arial" w:hAnsi="Arial"/>
                <w:sz w:val="13"/>
                <w:szCs w:val="13"/>
                <w:color w:val="auto"/>
              </w:rPr>
              <w:t>2,031,455</w:t>
            </w:r>
          </w:p>
        </w:tc>
        <w:tc>
          <w:tcPr>
            <w:tcW w:w="26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14.78</w:t>
            </w:r>
          </w:p>
        </w:tc>
        <w:tc>
          <w:tcPr>
            <w:tcW w:w="0" w:type="dxa"/>
            <w:vAlign w:val="bottom"/>
          </w:tcPr>
          <w:p>
            <w:pPr>
              <w:spacing w:after="0"/>
              <w:rPr>
                <w:sz w:val="1"/>
                <w:szCs w:val="1"/>
                <w:color w:val="auto"/>
              </w:rPr>
            </w:pPr>
          </w:p>
        </w:tc>
      </w:tr>
      <w:tr>
        <w:trPr>
          <w:trHeight w:val="178"/>
        </w:trPr>
        <w:tc>
          <w:tcPr>
            <w:tcW w:w="42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Forfeited</w:t>
            </w:r>
          </w:p>
        </w:tc>
        <w:tc>
          <w:tcPr>
            <w:tcW w:w="16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DBDBDB"/>
          </w:tcPr>
          <w:p>
            <w:pPr>
              <w:jc w:val="right"/>
              <w:ind w:right="14"/>
              <w:spacing w:after="0"/>
              <w:rPr>
                <w:sz w:val="20"/>
                <w:szCs w:val="20"/>
                <w:color w:val="auto"/>
              </w:rPr>
            </w:pPr>
            <w:r>
              <w:rPr>
                <w:rFonts w:ascii="Arial" w:cs="Arial" w:eastAsia="Arial" w:hAnsi="Arial"/>
                <w:sz w:val="13"/>
                <w:szCs w:val="13"/>
                <w:color w:val="auto"/>
              </w:rPr>
              <w:t>$</w:t>
            </w:r>
          </w:p>
        </w:tc>
        <w:tc>
          <w:tcPr>
            <w:tcW w:w="160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w:t>
            </w:r>
          </w:p>
        </w:tc>
        <w:tc>
          <w:tcPr>
            <w:tcW w:w="1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(6,240)</w:t>
            </w:r>
          </w:p>
        </w:tc>
        <w:tc>
          <w:tcPr>
            <w:tcW w:w="260" w:type="dxa"/>
            <w:vAlign w:val="bottom"/>
            <w:shd w:val="clear" w:color="auto" w:fill="DBDBDB"/>
          </w:tcPr>
          <w:p>
            <w:pPr>
              <w:jc w:val="right"/>
              <w:ind w:right="14"/>
              <w:spacing w:after="0"/>
              <w:rPr>
                <w:sz w:val="20"/>
                <w:szCs w:val="20"/>
                <w:color w:val="auto"/>
              </w:rPr>
            </w:pPr>
            <w:r>
              <w:rPr>
                <w:rFonts w:ascii="Arial" w:cs="Arial" w:eastAsia="Arial" w:hAnsi="Arial"/>
                <w:sz w:val="13"/>
                <w:szCs w:val="13"/>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12.19</w:t>
            </w:r>
          </w:p>
        </w:tc>
        <w:tc>
          <w:tcPr>
            <w:tcW w:w="0" w:type="dxa"/>
            <w:vAlign w:val="bottom"/>
          </w:tcPr>
          <w:p>
            <w:pPr>
              <w:spacing w:after="0"/>
              <w:rPr>
                <w:sz w:val="1"/>
                <w:szCs w:val="1"/>
                <w:color w:val="auto"/>
              </w:rPr>
            </w:pPr>
          </w:p>
        </w:tc>
      </w:tr>
      <w:tr>
        <w:trPr>
          <w:trHeight w:val="172"/>
        </w:trPr>
        <w:tc>
          <w:tcPr>
            <w:tcW w:w="4260" w:type="dxa"/>
            <w:vAlign w:val="bottom"/>
            <w:tcBorders>
              <w:bottom w:val="single" w:sz="8" w:color="DBDBDB"/>
            </w:tcBorders>
          </w:tcPr>
          <w:p>
            <w:pPr>
              <w:ind w:left="200"/>
              <w:spacing w:after="0"/>
              <w:rPr>
                <w:sz w:val="20"/>
                <w:szCs w:val="20"/>
                <w:color w:val="auto"/>
              </w:rPr>
            </w:pPr>
            <w:r>
              <w:rPr>
                <w:rFonts w:ascii="Arial" w:cs="Arial" w:eastAsia="Arial" w:hAnsi="Arial"/>
                <w:sz w:val="13"/>
                <w:szCs w:val="13"/>
                <w:color w:val="auto"/>
              </w:rPr>
              <w:t>Exercised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DBDBDB"/>
            </w:tcBorders>
          </w:tcPr>
          <w:p>
            <w:pPr>
              <w:jc w:val="right"/>
              <w:ind w:right="14"/>
              <w:spacing w:after="0"/>
              <w:rPr>
                <w:sz w:val="20"/>
                <w:szCs w:val="20"/>
                <w:color w:val="auto"/>
              </w:rPr>
            </w:pPr>
            <w:r>
              <w:rPr>
                <w:rFonts w:ascii="Arial" w:cs="Arial" w:eastAsia="Arial" w:hAnsi="Arial"/>
                <w:sz w:val="13"/>
                <w:szCs w:val="13"/>
                <w:color w:val="auto"/>
              </w:rPr>
              <w:t>$</w:t>
            </w:r>
          </w:p>
        </w:tc>
        <w:tc>
          <w:tcPr>
            <w:tcW w:w="1600" w:type="dxa"/>
            <w:vAlign w:val="bottom"/>
            <w:tcBorders>
              <w:bottom w:val="single" w:sz="8" w:color="DBDBDB"/>
            </w:tcBorders>
          </w:tcPr>
          <w:p>
            <w:pPr>
              <w:jc w:val="right"/>
              <w:ind w:right="74"/>
              <w:spacing w:after="0"/>
              <w:rPr>
                <w:sz w:val="20"/>
                <w:szCs w:val="20"/>
                <w:color w:val="auto"/>
              </w:rPr>
            </w:pPr>
            <w:r>
              <w:rPr>
                <w:rFonts w:ascii="Arial" w:cs="Arial" w:eastAsia="Arial" w:hAnsi="Arial"/>
                <w:sz w:val="13"/>
                <w:szCs w:val="13"/>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(497,572)</w:t>
            </w:r>
          </w:p>
        </w:tc>
        <w:tc>
          <w:tcPr>
            <w:tcW w:w="260" w:type="dxa"/>
            <w:vAlign w:val="bottom"/>
            <w:tcBorders>
              <w:bottom w:val="single" w:sz="8" w:color="DBDBDB"/>
            </w:tcBorders>
          </w:tcPr>
          <w:p>
            <w:pPr>
              <w:jc w:val="right"/>
              <w:ind w:right="14"/>
              <w:spacing w:after="0"/>
              <w:rPr>
                <w:sz w:val="20"/>
                <w:szCs w:val="20"/>
                <w:color w:val="auto"/>
              </w:rPr>
            </w:pPr>
            <w:r>
              <w:rPr>
                <w:rFonts w:ascii="Arial" w:cs="Arial" w:eastAsia="Arial" w:hAnsi="Arial"/>
                <w:sz w:val="13"/>
                <w:szCs w:val="13"/>
                <w:color w:val="auto"/>
              </w:rPr>
              <w:t>$</w:t>
            </w:r>
          </w:p>
        </w:tc>
        <w:tc>
          <w:tcPr>
            <w:tcW w:w="1520" w:type="dxa"/>
            <w:vAlign w:val="bottom"/>
            <w:tcBorders>
              <w:bottom w:val="single" w:sz="8" w:color="DBDBDB"/>
            </w:tcBorders>
          </w:tcPr>
          <w:p>
            <w:pPr>
              <w:jc w:val="right"/>
              <w:spacing w:after="0"/>
              <w:rPr>
                <w:sz w:val="20"/>
                <w:szCs w:val="20"/>
                <w:color w:val="auto"/>
              </w:rPr>
            </w:pPr>
            <w:r>
              <w:rPr>
                <w:rFonts w:ascii="Arial" w:cs="Arial" w:eastAsia="Arial" w:hAnsi="Arial"/>
                <w:sz w:val="13"/>
                <w:szCs w:val="13"/>
                <w:color w:val="auto"/>
              </w:rPr>
              <w:t>15.21</w:t>
            </w:r>
          </w:p>
        </w:tc>
        <w:tc>
          <w:tcPr>
            <w:tcW w:w="0" w:type="dxa"/>
            <w:vAlign w:val="bottom"/>
          </w:tcPr>
          <w:p>
            <w:pPr>
              <w:spacing w:after="0"/>
              <w:rPr>
                <w:sz w:val="1"/>
                <w:szCs w:val="1"/>
                <w:color w:val="auto"/>
              </w:rPr>
            </w:pPr>
          </w:p>
        </w:tc>
      </w:tr>
      <w:tr>
        <w:trPr>
          <w:trHeight w:val="191"/>
        </w:trPr>
        <w:tc>
          <w:tcPr>
            <w:tcW w:w="42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Balance at December 31, 2021</w:t>
            </w:r>
          </w:p>
        </w:tc>
        <w:tc>
          <w:tcPr>
            <w:tcW w:w="1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534,188</w:t>
            </w:r>
          </w:p>
        </w:tc>
        <w:tc>
          <w:tcPr>
            <w:tcW w:w="260" w:type="dxa"/>
            <w:vAlign w:val="bottom"/>
            <w:tcBorders>
              <w:bottom w:val="single" w:sz="8" w:color="DBDBDB"/>
            </w:tcBorders>
            <w:shd w:val="clear" w:color="auto" w:fill="DBDBDB"/>
          </w:tcPr>
          <w:p>
            <w:pPr>
              <w:jc w:val="right"/>
              <w:ind w:right="14"/>
              <w:spacing w:after="0"/>
              <w:rPr>
                <w:sz w:val="20"/>
                <w:szCs w:val="20"/>
                <w:color w:val="auto"/>
              </w:rPr>
            </w:pPr>
            <w:r>
              <w:rPr>
                <w:rFonts w:ascii="Arial" w:cs="Arial" w:eastAsia="Arial" w:hAnsi="Arial"/>
                <w:sz w:val="13"/>
                <w:szCs w:val="13"/>
                <w:color w:val="auto"/>
              </w:rPr>
              <w:t>$</w:t>
            </w:r>
          </w:p>
        </w:tc>
        <w:tc>
          <w:tcPr>
            <w:tcW w:w="1600" w:type="dxa"/>
            <w:vAlign w:val="bottom"/>
            <w:tcBorders>
              <w:bottom w:val="single" w:sz="8" w:color="DBDBDB"/>
            </w:tcBorders>
            <w:shd w:val="clear" w:color="auto" w:fill="DBDBDB"/>
          </w:tcPr>
          <w:p>
            <w:pPr>
              <w:jc w:val="right"/>
              <w:ind w:right="74"/>
              <w:spacing w:after="0"/>
              <w:rPr>
                <w:sz w:val="20"/>
                <w:szCs w:val="20"/>
                <w:color w:val="auto"/>
              </w:rPr>
            </w:pPr>
            <w:r>
              <w:rPr>
                <w:rFonts w:ascii="Arial" w:cs="Arial" w:eastAsia="Arial" w:hAnsi="Arial"/>
                <w:sz w:val="13"/>
                <w:szCs w:val="13"/>
                <w:color w:val="auto"/>
              </w:rPr>
              <w:t>13.60</w:t>
            </w: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1,527,643</w:t>
            </w:r>
          </w:p>
        </w:tc>
        <w:tc>
          <w:tcPr>
            <w:tcW w:w="260" w:type="dxa"/>
            <w:vAlign w:val="bottom"/>
            <w:tcBorders>
              <w:bottom w:val="single" w:sz="8" w:color="DBDBDB"/>
            </w:tcBorders>
            <w:shd w:val="clear" w:color="auto" w:fill="DBDBDB"/>
          </w:tcPr>
          <w:p>
            <w:pPr>
              <w:jc w:val="right"/>
              <w:ind w:right="14"/>
              <w:spacing w:after="0"/>
              <w:rPr>
                <w:sz w:val="20"/>
                <w:szCs w:val="20"/>
                <w:color w:val="auto"/>
              </w:rPr>
            </w:pPr>
            <w:r>
              <w:rPr>
                <w:rFonts w:ascii="Arial" w:cs="Arial" w:eastAsia="Arial" w:hAnsi="Arial"/>
                <w:sz w:val="13"/>
                <w:szCs w:val="13"/>
                <w:color w:val="auto"/>
              </w:rPr>
              <w:t>$</w:t>
            </w:r>
          </w:p>
        </w:tc>
        <w:tc>
          <w:tcPr>
            <w:tcW w:w="15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14.66</w:t>
            </w:r>
          </w:p>
        </w:tc>
        <w:tc>
          <w:tcPr>
            <w:tcW w:w="0" w:type="dxa"/>
            <w:vAlign w:val="bottom"/>
          </w:tcPr>
          <w:p>
            <w:pPr>
              <w:spacing w:after="0"/>
              <w:rPr>
                <w:sz w:val="1"/>
                <w:szCs w:val="1"/>
                <w:color w:val="auto"/>
              </w:rPr>
            </w:pPr>
          </w:p>
        </w:tc>
      </w:tr>
      <w:tr>
        <w:trPr>
          <w:trHeight w:val="20"/>
        </w:trPr>
        <w:tc>
          <w:tcPr>
            <w:tcW w:w="4260" w:type="dxa"/>
            <w:vAlign w:val="bottom"/>
            <w:tcBorders>
              <w:top w:val="single" w:sz="8" w:color="DBDBDB"/>
            </w:tcBorders>
          </w:tcPr>
          <w:p>
            <w:pPr>
              <w:spacing w:after="0" w:line="20" w:lineRule="exact"/>
              <w:rPr>
                <w:sz w:val="1"/>
                <w:szCs w:val="1"/>
                <w:color w:val="auto"/>
              </w:rPr>
            </w:pPr>
          </w:p>
        </w:tc>
        <w:tc>
          <w:tcPr>
            <w:tcW w:w="1680" w:type="dxa"/>
            <w:vAlign w:val="bottom"/>
            <w:tcBorders>
              <w:top w:val="single" w:sz="8" w:color="DBDBDB"/>
              <w:bottom w:val="single" w:sz="8" w:color="auto"/>
            </w:tcBorders>
          </w:tcPr>
          <w:p>
            <w:pPr>
              <w:spacing w:after="0" w:line="20" w:lineRule="exact"/>
              <w:rPr>
                <w:sz w:val="1"/>
                <w:szCs w:val="1"/>
                <w:color w:val="auto"/>
              </w:rPr>
            </w:pPr>
          </w:p>
        </w:tc>
        <w:tc>
          <w:tcPr>
            <w:tcW w:w="260" w:type="dxa"/>
            <w:vAlign w:val="bottom"/>
            <w:tcBorders>
              <w:top w:val="single" w:sz="8" w:color="DBDBDB"/>
            </w:tcBorders>
          </w:tcPr>
          <w:p>
            <w:pPr>
              <w:spacing w:after="0" w:line="20" w:lineRule="exact"/>
              <w:rPr>
                <w:sz w:val="1"/>
                <w:szCs w:val="1"/>
                <w:color w:val="auto"/>
              </w:rPr>
            </w:pPr>
          </w:p>
        </w:tc>
        <w:tc>
          <w:tcPr>
            <w:tcW w:w="1600" w:type="dxa"/>
            <w:vAlign w:val="bottom"/>
            <w:tcBorders>
              <w:top w:val="single" w:sz="8" w:color="DBDBDB"/>
            </w:tcBorders>
          </w:tcPr>
          <w:p>
            <w:pPr>
              <w:spacing w:after="0" w:line="20" w:lineRule="exact"/>
              <w:rPr>
                <w:sz w:val="1"/>
                <w:szCs w:val="1"/>
                <w:color w:val="auto"/>
              </w:rPr>
            </w:pPr>
          </w:p>
        </w:tc>
        <w:tc>
          <w:tcPr>
            <w:tcW w:w="1700" w:type="dxa"/>
            <w:vAlign w:val="bottom"/>
            <w:tcBorders>
              <w:top w:val="single" w:sz="8" w:color="DBDBDB"/>
              <w:bottom w:val="single" w:sz="8" w:color="auto"/>
            </w:tcBorders>
          </w:tcPr>
          <w:p>
            <w:pPr>
              <w:spacing w:after="0" w:line="20" w:lineRule="exact"/>
              <w:rPr>
                <w:sz w:val="1"/>
                <w:szCs w:val="1"/>
                <w:color w:val="auto"/>
              </w:rPr>
            </w:pPr>
          </w:p>
        </w:tc>
        <w:tc>
          <w:tcPr>
            <w:tcW w:w="260" w:type="dxa"/>
            <w:vAlign w:val="bottom"/>
            <w:tcBorders>
              <w:top w:val="single" w:sz="8" w:color="DBDBDB"/>
            </w:tcBorders>
          </w:tcPr>
          <w:p>
            <w:pPr>
              <w:spacing w:after="0" w:line="20" w:lineRule="exact"/>
              <w:rPr>
                <w:sz w:val="1"/>
                <w:szCs w:val="1"/>
                <w:color w:val="auto"/>
              </w:rPr>
            </w:pPr>
          </w:p>
        </w:tc>
        <w:tc>
          <w:tcPr>
            <w:tcW w:w="152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260" w:type="dxa"/>
            <w:vAlign w:val="bottom"/>
            <w:tcBorders>
              <w:bottom w:val="single" w:sz="8" w:color="DBDBDB"/>
            </w:tcBorders>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c>
          <w:tcPr>
            <w:tcW w:w="260" w:type="dxa"/>
            <w:vAlign w:val="bottom"/>
            <w:tcBorders>
              <w:bottom w:val="single" w:sz="8" w:color="DBDBDB"/>
            </w:tcBorders>
          </w:tcPr>
          <w:p>
            <w:pPr>
              <w:spacing w:after="0"/>
              <w:rPr>
                <w:sz w:val="13"/>
                <w:szCs w:val="13"/>
                <w:color w:val="auto"/>
              </w:rPr>
            </w:pPr>
          </w:p>
        </w:tc>
        <w:tc>
          <w:tcPr>
            <w:tcW w:w="1600" w:type="dxa"/>
            <w:vAlign w:val="bottom"/>
            <w:tcBorders>
              <w:bottom w:val="single" w:sz="8" w:color="DBDBDB"/>
            </w:tcBorders>
          </w:tcPr>
          <w:p>
            <w:pPr>
              <w:spacing w:after="0"/>
              <w:rPr>
                <w:sz w:val="13"/>
                <w:szCs w:val="13"/>
                <w:color w:val="auto"/>
              </w:rPr>
            </w:pPr>
          </w:p>
        </w:tc>
        <w:tc>
          <w:tcPr>
            <w:tcW w:w="1700" w:type="dxa"/>
            <w:vAlign w:val="bottom"/>
            <w:tcBorders>
              <w:bottom w:val="single" w:sz="8" w:color="auto"/>
            </w:tcBorders>
          </w:tcPr>
          <w:p>
            <w:pPr>
              <w:spacing w:after="0"/>
              <w:rPr>
                <w:sz w:val="13"/>
                <w:szCs w:val="13"/>
                <w:color w:val="auto"/>
              </w:rPr>
            </w:pPr>
          </w:p>
        </w:tc>
        <w:tc>
          <w:tcPr>
            <w:tcW w:w="260" w:type="dxa"/>
            <w:vAlign w:val="bottom"/>
            <w:tcBorders>
              <w:bottom w:val="single" w:sz="8" w:color="DBDBDB"/>
            </w:tcBorders>
          </w:tcPr>
          <w:p>
            <w:pPr>
              <w:spacing w:after="0"/>
              <w:rPr>
                <w:sz w:val="13"/>
                <w:szCs w:val="13"/>
                <w:color w:val="auto"/>
              </w:rPr>
            </w:pPr>
          </w:p>
        </w:tc>
        <w:tc>
          <w:tcPr>
            <w:tcW w:w="1520" w:type="dxa"/>
            <w:vAlign w:val="bottom"/>
            <w:tcBorders>
              <w:bottom w:val="single" w:sz="8" w:color="DBDBDB"/>
            </w:tcBorders>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2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Fully vested and exercisable options, December 31, 2021</w:t>
            </w:r>
          </w:p>
        </w:tc>
        <w:tc>
          <w:tcPr>
            <w:tcW w:w="1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400,641</w:t>
            </w:r>
          </w:p>
        </w:tc>
        <w:tc>
          <w:tcPr>
            <w:tcW w:w="260" w:type="dxa"/>
            <w:vAlign w:val="bottom"/>
            <w:tcBorders>
              <w:bottom w:val="single" w:sz="8" w:color="DBDBDB"/>
            </w:tcBorders>
            <w:shd w:val="clear" w:color="auto" w:fill="DBDBDB"/>
          </w:tcPr>
          <w:p>
            <w:pPr>
              <w:jc w:val="right"/>
              <w:ind w:right="14"/>
              <w:spacing w:after="0"/>
              <w:rPr>
                <w:sz w:val="20"/>
                <w:szCs w:val="20"/>
                <w:color w:val="auto"/>
              </w:rPr>
            </w:pPr>
            <w:r>
              <w:rPr>
                <w:rFonts w:ascii="Arial" w:cs="Arial" w:eastAsia="Arial" w:hAnsi="Arial"/>
                <w:sz w:val="13"/>
                <w:szCs w:val="13"/>
                <w:color w:val="auto"/>
              </w:rPr>
              <w:t>$</w:t>
            </w:r>
          </w:p>
        </w:tc>
        <w:tc>
          <w:tcPr>
            <w:tcW w:w="1600" w:type="dxa"/>
            <w:vAlign w:val="bottom"/>
            <w:tcBorders>
              <w:bottom w:val="single" w:sz="8" w:color="DBDBDB"/>
            </w:tcBorders>
            <w:shd w:val="clear" w:color="auto" w:fill="DBDBDB"/>
          </w:tcPr>
          <w:p>
            <w:pPr>
              <w:jc w:val="right"/>
              <w:ind w:right="74"/>
              <w:spacing w:after="0"/>
              <w:rPr>
                <w:sz w:val="20"/>
                <w:szCs w:val="20"/>
                <w:color w:val="auto"/>
              </w:rPr>
            </w:pPr>
            <w:r>
              <w:rPr>
                <w:rFonts w:ascii="Arial" w:cs="Arial" w:eastAsia="Arial" w:hAnsi="Arial"/>
                <w:sz w:val="13"/>
                <w:szCs w:val="13"/>
                <w:color w:val="auto"/>
              </w:rPr>
              <w:t>13.60</w:t>
            </w: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1,527,643</w:t>
            </w:r>
          </w:p>
        </w:tc>
        <w:tc>
          <w:tcPr>
            <w:tcW w:w="260" w:type="dxa"/>
            <w:vAlign w:val="bottom"/>
            <w:tcBorders>
              <w:bottom w:val="single" w:sz="8" w:color="DBDBDB"/>
            </w:tcBorders>
            <w:shd w:val="clear" w:color="auto" w:fill="DBDBDB"/>
          </w:tcPr>
          <w:p>
            <w:pPr>
              <w:jc w:val="right"/>
              <w:ind w:right="14"/>
              <w:spacing w:after="0"/>
              <w:rPr>
                <w:sz w:val="20"/>
                <w:szCs w:val="20"/>
                <w:color w:val="auto"/>
              </w:rPr>
            </w:pPr>
            <w:r>
              <w:rPr>
                <w:rFonts w:ascii="Arial" w:cs="Arial" w:eastAsia="Arial" w:hAnsi="Arial"/>
                <w:sz w:val="13"/>
                <w:szCs w:val="13"/>
                <w:color w:val="auto"/>
              </w:rPr>
              <w:t>$</w:t>
            </w:r>
          </w:p>
        </w:tc>
        <w:tc>
          <w:tcPr>
            <w:tcW w:w="15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14.66</w:t>
            </w:r>
          </w:p>
        </w:tc>
        <w:tc>
          <w:tcPr>
            <w:tcW w:w="0" w:type="dxa"/>
            <w:vAlign w:val="bottom"/>
          </w:tcPr>
          <w:p>
            <w:pPr>
              <w:spacing w:after="0"/>
              <w:rPr>
                <w:sz w:val="1"/>
                <w:szCs w:val="1"/>
                <w:color w:val="auto"/>
              </w:rPr>
            </w:pPr>
          </w:p>
        </w:tc>
      </w:tr>
      <w:tr>
        <w:trPr>
          <w:trHeight w:val="20"/>
        </w:trPr>
        <w:tc>
          <w:tcPr>
            <w:tcW w:w="4260" w:type="dxa"/>
            <w:vAlign w:val="bottom"/>
            <w:tcBorders>
              <w:top w:val="single" w:sz="8" w:color="DBDBDB"/>
            </w:tcBorders>
          </w:tcPr>
          <w:p>
            <w:pPr>
              <w:spacing w:after="0" w:line="20" w:lineRule="exact"/>
              <w:rPr>
                <w:sz w:val="1"/>
                <w:szCs w:val="1"/>
                <w:color w:val="auto"/>
              </w:rPr>
            </w:pPr>
          </w:p>
        </w:tc>
        <w:tc>
          <w:tcPr>
            <w:tcW w:w="1680" w:type="dxa"/>
            <w:vAlign w:val="bottom"/>
            <w:tcBorders>
              <w:top w:val="single" w:sz="8" w:color="DBDBDB"/>
              <w:bottom w:val="single" w:sz="8" w:color="auto"/>
            </w:tcBorders>
          </w:tcPr>
          <w:p>
            <w:pPr>
              <w:spacing w:after="0" w:line="20" w:lineRule="exact"/>
              <w:rPr>
                <w:sz w:val="1"/>
                <w:szCs w:val="1"/>
                <w:color w:val="auto"/>
              </w:rPr>
            </w:pPr>
          </w:p>
        </w:tc>
        <w:tc>
          <w:tcPr>
            <w:tcW w:w="260" w:type="dxa"/>
            <w:vAlign w:val="bottom"/>
            <w:tcBorders>
              <w:top w:val="single" w:sz="8" w:color="DBDBDB"/>
            </w:tcBorders>
          </w:tcPr>
          <w:p>
            <w:pPr>
              <w:spacing w:after="0" w:line="20" w:lineRule="exact"/>
              <w:rPr>
                <w:sz w:val="1"/>
                <w:szCs w:val="1"/>
                <w:color w:val="auto"/>
              </w:rPr>
            </w:pPr>
          </w:p>
        </w:tc>
        <w:tc>
          <w:tcPr>
            <w:tcW w:w="1600" w:type="dxa"/>
            <w:vAlign w:val="bottom"/>
            <w:tcBorders>
              <w:top w:val="single" w:sz="8" w:color="DBDBDB"/>
            </w:tcBorders>
          </w:tcPr>
          <w:p>
            <w:pPr>
              <w:spacing w:after="0" w:line="20" w:lineRule="exact"/>
              <w:rPr>
                <w:sz w:val="1"/>
                <w:szCs w:val="1"/>
                <w:color w:val="auto"/>
              </w:rPr>
            </w:pPr>
          </w:p>
        </w:tc>
        <w:tc>
          <w:tcPr>
            <w:tcW w:w="1700" w:type="dxa"/>
            <w:vAlign w:val="bottom"/>
            <w:tcBorders>
              <w:top w:val="single" w:sz="8" w:color="DBDBDB"/>
              <w:bottom w:val="single" w:sz="8" w:color="auto"/>
            </w:tcBorders>
          </w:tcPr>
          <w:p>
            <w:pPr>
              <w:spacing w:after="0" w:line="20" w:lineRule="exact"/>
              <w:rPr>
                <w:sz w:val="1"/>
                <w:szCs w:val="1"/>
                <w:color w:val="auto"/>
              </w:rPr>
            </w:pPr>
          </w:p>
        </w:tc>
        <w:tc>
          <w:tcPr>
            <w:tcW w:w="260" w:type="dxa"/>
            <w:vAlign w:val="bottom"/>
            <w:tcBorders>
              <w:top w:val="single" w:sz="8" w:color="DBDBDB"/>
            </w:tcBorders>
          </w:tcPr>
          <w:p>
            <w:pPr>
              <w:spacing w:after="0" w:line="20" w:lineRule="exact"/>
              <w:rPr>
                <w:sz w:val="1"/>
                <w:szCs w:val="1"/>
                <w:color w:val="auto"/>
              </w:rPr>
            </w:pPr>
          </w:p>
        </w:tc>
        <w:tc>
          <w:tcPr>
            <w:tcW w:w="152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07" w:right="319" w:bottom="1440" w:gutter="0" w:footer="0" w:header="0"/>
        </w:sectPr>
      </w:pPr>
    </w:p>
    <w:bookmarkStart w:id="109" w:name="page110"/>
    <w:bookmarkEnd w:id="109"/>
    <w:p>
      <w:pPr>
        <w:jc w:val="both"/>
        <w:ind w:firstLine="524"/>
        <w:spacing w:after="0" w:line="256" w:lineRule="auto"/>
        <w:rPr>
          <w:sz w:val="20"/>
          <w:szCs w:val="20"/>
          <w:color w:val="auto"/>
        </w:rPr>
      </w:pPr>
      <w:r>
        <w:rPr>
          <w:rFonts w:ascii="Arial" w:cs="Arial" w:eastAsia="Arial" w:hAnsi="Arial"/>
          <w:sz w:val="13"/>
          <w:szCs w:val="13"/>
          <w:color w:val="auto"/>
        </w:rPr>
        <w:t>Under our stock option plans, the Company may issue shares on a net basis at the request of the option holder. This occurs by netting the option costs in shares from the shares exercised. No options were granted in the years ended December 31, 2021, 2020, or 2019.</w:t>
      </w:r>
    </w:p>
    <w:p>
      <w:pPr>
        <w:spacing w:after="0" w:line="31"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At December 31, 2021, the intrinsic value of stock options outstanding and stock options fully vested and currently exercisable was $54.5 million and $50.9 million, respectively. At December 31, 2021, the weighted-average remaining contractual term of options outstanding was 6.2 years for WillScot options and 4.3 years for converted Mobile Mini options. The total pre-tax intrinsic value of stock options exercised during the years ended December 31, 2021, 2020, and 2019 were $6.2 million, $30.7 million and less than $0.1 million, respectively.</w:t>
      </w:r>
    </w:p>
    <w:p>
      <w:pPr>
        <w:spacing w:after="0" w:line="33"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Compensation expense for stock option awards, recognized in SG&amp;A expense in the consolidated statements of operations was $0.7 million, $0.7 million, and $0.8 million for the years ended December 31, 2021, 2020, and 2019, respectively. At December 31, 2021, unrecognized compensation cost related to stock option awards totaled $0.2 million and is expected to be recognized over the remaining vesting period of 0.2 years.</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1D2758"/>
        </w:rPr>
        <w:t>NOTE 17 - Commitments and Contingencies</w:t>
      </w:r>
    </w:p>
    <w:p>
      <w:pPr>
        <w:spacing w:after="0" w:line="42"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The Company is involved in various lawsuits, claims and legal proceedings that arise in the ordinary course of business. The Company assesses these matters on a case-by-case basis as they arise and establishes reserves as required. As of December 31, 2021, with respect to these outstanding matters, the Company believes that the amount or range of reasonably possible loss will not, either individually or in the aggregate, have a material adverse effect on the consolidated financial position, results of operations, or cash flows. However, the outcome of such matters is inherently unpredictable and subject to significant uncertainties.</w:t>
      </w:r>
    </w:p>
    <w:p>
      <w:pPr>
        <w:spacing w:after="0" w:line="277" w:lineRule="exact"/>
        <w:rPr>
          <w:sz w:val="20"/>
          <w:szCs w:val="20"/>
          <w:color w:val="auto"/>
        </w:rPr>
      </w:pPr>
    </w:p>
    <w:p>
      <w:pPr>
        <w:spacing w:after="0"/>
        <w:rPr>
          <w:sz w:val="20"/>
          <w:szCs w:val="20"/>
          <w:color w:val="auto"/>
        </w:rPr>
      </w:pPr>
      <w:r>
        <w:rPr>
          <w:rFonts w:ascii="Arial" w:cs="Arial" w:eastAsia="Arial" w:hAnsi="Arial"/>
          <w:sz w:val="19"/>
          <w:szCs w:val="19"/>
          <w:color w:val="1D2758"/>
        </w:rPr>
        <w:t>NOTE 18 - Segment Reporting</w:t>
      </w:r>
    </w:p>
    <w:p>
      <w:pPr>
        <w:spacing w:after="0" w:line="42"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The Company operates in four reportable segments as follows: North America Modular Solutions ("NA Modular"), North America Storage Solutions ("NA Storage"), United Kingdom Storage Solutions ("UK Storage") and Tank and Pump Solutions ("Tank and Pump"). In connection with the Merger, the Company determined its reportable segments and retrospectively adjusted prior year's presentation to conform to the current presentation of reportable segments.</w:t>
      </w:r>
    </w:p>
    <w:p>
      <w:pPr>
        <w:spacing w:after="0" w:line="33" w:lineRule="exact"/>
        <w:rPr>
          <w:sz w:val="20"/>
          <w:szCs w:val="20"/>
          <w:color w:val="auto"/>
        </w:rPr>
      </w:pPr>
    </w:p>
    <w:p>
      <w:pPr>
        <w:jc w:val="both"/>
        <w:ind w:firstLine="524"/>
        <w:spacing w:after="0" w:line="248" w:lineRule="auto"/>
        <w:rPr>
          <w:sz w:val="20"/>
          <w:szCs w:val="20"/>
          <w:color w:val="auto"/>
        </w:rPr>
      </w:pPr>
      <w:r>
        <w:rPr>
          <w:rFonts w:ascii="Arial" w:cs="Arial" w:eastAsia="Arial" w:hAnsi="Arial"/>
          <w:sz w:val="13"/>
          <w:szCs w:val="13"/>
          <w:color w:val="auto"/>
        </w:rPr>
        <w:t>Prior to the third quarter of 2021, the NA Modular segment represented the activities of WillScot historical segments prior to the Merger, and the NA Storage, UK Storage and Tank and Pump segments represented the segments reported by Mobile Mini prior to the Merger. During the third quarter of 2021, the majority of the portable storage product business within the NA Modular segment was transitioned to the NA Storage segment, and associated revenues, expenses, and operating metrics beginning in the third quarter of 2021 were transferred to the NA Storage segment, representing a shift of approximately $5.0 million of revenue and gross margin per quarter from the NA Modular segment to the NA Storage segment. This adjustment was not made to the historical segment results of prior periods, as the Company believes such adjustments to be immaterial.</w:t>
      </w:r>
    </w:p>
    <w:p>
      <w:pPr>
        <w:spacing w:after="0" w:line="36"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Total assets for each reportable segment are not available because the Company utilizes a centralized approach to working capital management.</w:t>
      </w:r>
    </w:p>
    <w:p>
      <w:pPr>
        <w:spacing w:after="0" w:line="47" w:lineRule="exact"/>
        <w:rPr>
          <w:sz w:val="20"/>
          <w:szCs w:val="20"/>
          <w:color w:val="auto"/>
        </w:rPr>
      </w:pPr>
    </w:p>
    <w:p>
      <w:pPr>
        <w:jc w:val="both"/>
        <w:ind w:firstLine="524"/>
        <w:spacing w:after="0" w:line="247" w:lineRule="auto"/>
        <w:rPr>
          <w:sz w:val="20"/>
          <w:szCs w:val="20"/>
          <w:color w:val="auto"/>
        </w:rPr>
      </w:pPr>
      <w:r>
        <w:rPr>
          <w:rFonts w:ascii="Arial" w:cs="Arial" w:eastAsia="Arial" w:hAnsi="Arial"/>
          <w:sz w:val="13"/>
          <w:szCs w:val="13"/>
          <w:color w:val="auto"/>
        </w:rPr>
        <w:t>The Company defines EBITDA as net income (loss) plus interest (income) expense, income tax (benefit) expense, depreciation and amortization. The Company reflects the further adjustments to EBITDA (“Adjusted EBITDA”) to exclude certain non-cash items and the effect of what the Company considers transactions or events not related to its core and ongoing business operations. In addition, the Chief Operating Decision Maker ("CODM") evaluates business segment performance utilizing Adjusted EBITDA as shown in the reconciliation of the Company’s consolidated net income (loss) to Adjusted EBITDA below. Management believes that evaluating segment performance excluding such items is meaningful because it provides insight with respect to the intrinsic and ongoing operating results of the Company. The Company also regularly evaluates gross profit by segment to assist in the assessment of its operational performance. The Company considers Adjusted EBITDA to be the more important metric because it more fully captures the business performance of the segments, inclusive of indirect costs.</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Reportable Segments</w:t>
      </w:r>
    </w:p>
    <w:p>
      <w:pPr>
        <w:spacing w:after="0" w:line="66"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The following tables set forth certain information regarding each of the Company’s reportable segments for the years ended December 31, 2021, 2020, and 2019, respectively. Consistent with the financial statements, the segment results only include results from Mobile Mini's operations after July 1, 2020, the Merger date. Please refer to the Management Discussion and Analysis of Financial Condition and Results of Operations included in this document, for pro forma results inclusive of Mobile Mini's financial results for periods prior to the Merger date.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27" w:right="31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75"/>
        </w:trPr>
        <w:tc>
          <w:tcPr>
            <w:tcW w:w="3960" w:type="dxa"/>
            <w:vAlign w:val="bottom"/>
            <w:shd w:val="clear" w:color="auto" w:fill="1D2758"/>
          </w:tcPr>
          <w:p>
            <w:pPr>
              <w:spacing w:after="0"/>
              <w:rPr>
                <w:sz w:val="15"/>
                <w:szCs w:val="15"/>
                <w:color w:val="auto"/>
              </w:rPr>
            </w:pPr>
          </w:p>
        </w:tc>
        <w:tc>
          <w:tcPr>
            <w:tcW w:w="140" w:type="dxa"/>
            <w:vAlign w:val="bottom"/>
            <w:shd w:val="clear" w:color="auto" w:fill="1D2758"/>
          </w:tcPr>
          <w:p>
            <w:pPr>
              <w:spacing w:after="0"/>
              <w:rPr>
                <w:sz w:val="15"/>
                <w:szCs w:val="15"/>
                <w:color w:val="auto"/>
              </w:rPr>
            </w:pPr>
          </w:p>
        </w:tc>
        <w:tc>
          <w:tcPr>
            <w:tcW w:w="98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140" w:type="dxa"/>
            <w:vAlign w:val="bottom"/>
            <w:shd w:val="clear" w:color="auto" w:fill="1D2758"/>
          </w:tcPr>
          <w:p>
            <w:pPr>
              <w:spacing w:after="0"/>
              <w:rPr>
                <w:sz w:val="15"/>
                <w:szCs w:val="15"/>
                <w:color w:val="auto"/>
              </w:rPr>
            </w:pPr>
          </w:p>
        </w:tc>
        <w:tc>
          <w:tcPr>
            <w:tcW w:w="980" w:type="dxa"/>
            <w:vAlign w:val="bottom"/>
            <w:shd w:val="clear" w:color="auto" w:fill="1D2758"/>
          </w:tcPr>
          <w:p>
            <w:pPr>
              <w:spacing w:after="0"/>
              <w:rPr>
                <w:sz w:val="15"/>
                <w:szCs w:val="15"/>
                <w:color w:val="auto"/>
              </w:rPr>
            </w:pPr>
          </w:p>
        </w:tc>
        <w:tc>
          <w:tcPr>
            <w:tcW w:w="100" w:type="dxa"/>
            <w:vAlign w:val="bottom"/>
            <w:shd w:val="clear" w:color="auto" w:fill="1D2758"/>
          </w:tcPr>
          <w:p>
            <w:pPr>
              <w:spacing w:after="0"/>
              <w:rPr>
                <w:sz w:val="15"/>
                <w:szCs w:val="15"/>
                <w:color w:val="auto"/>
              </w:rPr>
            </w:pPr>
          </w:p>
        </w:tc>
        <w:tc>
          <w:tcPr>
            <w:tcW w:w="140" w:type="dxa"/>
            <w:vAlign w:val="bottom"/>
            <w:shd w:val="clear" w:color="auto" w:fill="1D2758"/>
          </w:tcPr>
          <w:p>
            <w:pPr>
              <w:spacing w:after="0"/>
              <w:rPr>
                <w:sz w:val="15"/>
                <w:szCs w:val="15"/>
                <w:color w:val="auto"/>
              </w:rPr>
            </w:pPr>
          </w:p>
        </w:tc>
        <w:tc>
          <w:tcPr>
            <w:tcW w:w="2180" w:type="dxa"/>
            <w:vAlign w:val="bottom"/>
            <w:gridSpan w:val="4"/>
            <w:shd w:val="clear" w:color="auto" w:fill="1D2758"/>
          </w:tcPr>
          <w:p>
            <w:pPr>
              <w:jc w:val="center"/>
              <w:spacing w:after="0"/>
              <w:rPr>
                <w:sz w:val="20"/>
                <w:szCs w:val="20"/>
                <w:color w:val="auto"/>
              </w:rPr>
            </w:pPr>
            <w:r>
              <w:rPr>
                <w:rFonts w:ascii="Arial" w:cs="Arial" w:eastAsia="Arial" w:hAnsi="Arial"/>
                <w:sz w:val="13"/>
                <w:szCs w:val="13"/>
                <w:b w:val="1"/>
                <w:bCs w:val="1"/>
                <w:color w:val="FFFFFF"/>
                <w:w w:val="99"/>
              </w:rPr>
              <w:t>Year Ended December 31, 2021</w:t>
            </w:r>
          </w:p>
        </w:tc>
        <w:tc>
          <w:tcPr>
            <w:tcW w:w="540" w:type="dxa"/>
            <w:vAlign w:val="bottom"/>
            <w:shd w:val="clear" w:color="auto" w:fill="1D2758"/>
          </w:tcPr>
          <w:p>
            <w:pPr>
              <w:spacing w:after="0"/>
              <w:rPr>
                <w:sz w:val="15"/>
                <w:szCs w:val="15"/>
                <w:color w:val="auto"/>
              </w:rPr>
            </w:pPr>
          </w:p>
        </w:tc>
        <w:tc>
          <w:tcPr>
            <w:tcW w:w="920" w:type="dxa"/>
            <w:vAlign w:val="bottom"/>
            <w:shd w:val="clear" w:color="auto" w:fill="1D2758"/>
          </w:tcPr>
          <w:p>
            <w:pPr>
              <w:spacing w:after="0"/>
              <w:rPr>
                <w:sz w:val="15"/>
                <w:szCs w:val="15"/>
                <w:color w:val="auto"/>
              </w:rPr>
            </w:pPr>
          </w:p>
        </w:tc>
        <w:tc>
          <w:tcPr>
            <w:tcW w:w="240" w:type="dxa"/>
            <w:vAlign w:val="bottom"/>
            <w:shd w:val="clear" w:color="auto" w:fill="1D2758"/>
          </w:tcPr>
          <w:p>
            <w:pPr>
              <w:spacing w:after="0"/>
              <w:rPr>
                <w:sz w:val="15"/>
                <w:szCs w:val="15"/>
                <w:color w:val="auto"/>
              </w:rPr>
            </w:pPr>
          </w:p>
        </w:tc>
        <w:tc>
          <w:tcPr>
            <w:tcW w:w="880" w:type="dxa"/>
            <w:vAlign w:val="bottom"/>
            <w:shd w:val="clear" w:color="auto" w:fill="1D2758"/>
          </w:tcPr>
          <w:p>
            <w:pPr>
              <w:spacing w:after="0"/>
              <w:rPr>
                <w:sz w:val="15"/>
                <w:szCs w:val="15"/>
                <w:color w:val="auto"/>
              </w:rPr>
            </w:pPr>
          </w:p>
        </w:tc>
      </w:tr>
      <w:tr>
        <w:trPr>
          <w:trHeight w:val="175"/>
        </w:trPr>
        <w:tc>
          <w:tcPr>
            <w:tcW w:w="396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140" w:type="dxa"/>
            <w:vAlign w:val="bottom"/>
            <w:shd w:val="clear" w:color="auto" w:fill="1D2758"/>
          </w:tcPr>
          <w:p>
            <w:pPr>
              <w:spacing w:after="0"/>
              <w:rPr>
                <w:sz w:val="15"/>
                <w:szCs w:val="15"/>
                <w:color w:val="auto"/>
              </w:rPr>
            </w:pPr>
          </w:p>
        </w:tc>
        <w:tc>
          <w:tcPr>
            <w:tcW w:w="1060" w:type="dxa"/>
            <w:vAlign w:val="bottom"/>
            <w:gridSpan w:val="2"/>
            <w:shd w:val="clear" w:color="auto" w:fill="1D2758"/>
          </w:tcPr>
          <w:p>
            <w:pPr>
              <w:ind w:left="40"/>
              <w:spacing w:after="0"/>
              <w:rPr>
                <w:sz w:val="20"/>
                <w:szCs w:val="20"/>
                <w:color w:val="auto"/>
              </w:rPr>
            </w:pPr>
            <w:r>
              <w:rPr>
                <w:rFonts w:ascii="Arial" w:cs="Arial" w:eastAsia="Arial" w:hAnsi="Arial"/>
                <w:sz w:val="13"/>
                <w:szCs w:val="13"/>
                <w:b w:val="1"/>
                <w:bCs w:val="1"/>
                <w:color w:val="FFFFFF"/>
              </w:rPr>
              <w:t>NA Modular</w:t>
            </w:r>
          </w:p>
        </w:tc>
        <w:tc>
          <w:tcPr>
            <w:tcW w:w="140" w:type="dxa"/>
            <w:vAlign w:val="bottom"/>
            <w:shd w:val="clear" w:color="auto" w:fill="1D2758"/>
          </w:tcPr>
          <w:p>
            <w:pPr>
              <w:spacing w:after="0"/>
              <w:rPr>
                <w:sz w:val="15"/>
                <w:szCs w:val="15"/>
                <w:color w:val="auto"/>
              </w:rPr>
            </w:pPr>
          </w:p>
        </w:tc>
        <w:tc>
          <w:tcPr>
            <w:tcW w:w="1080" w:type="dxa"/>
            <w:vAlign w:val="bottom"/>
            <w:gridSpan w:val="2"/>
            <w:shd w:val="clear" w:color="auto" w:fill="1D2758"/>
          </w:tcPr>
          <w:p>
            <w:pPr>
              <w:ind w:left="60"/>
              <w:spacing w:after="0"/>
              <w:rPr>
                <w:sz w:val="20"/>
                <w:szCs w:val="20"/>
                <w:color w:val="auto"/>
              </w:rPr>
            </w:pPr>
            <w:r>
              <w:rPr>
                <w:rFonts w:ascii="Arial" w:cs="Arial" w:eastAsia="Arial" w:hAnsi="Arial"/>
                <w:sz w:val="13"/>
                <w:szCs w:val="13"/>
                <w:b w:val="1"/>
                <w:bCs w:val="1"/>
                <w:color w:val="FFFFFF"/>
              </w:rPr>
              <w:t>NA Storage</w:t>
            </w:r>
          </w:p>
        </w:tc>
        <w:tc>
          <w:tcPr>
            <w:tcW w:w="140" w:type="dxa"/>
            <w:vAlign w:val="bottom"/>
            <w:shd w:val="clear" w:color="auto" w:fill="1D2758"/>
          </w:tcPr>
          <w:p>
            <w:pPr>
              <w:spacing w:after="0"/>
              <w:rPr>
                <w:sz w:val="15"/>
                <w:szCs w:val="15"/>
                <w:color w:val="auto"/>
              </w:rPr>
            </w:pPr>
          </w:p>
        </w:tc>
        <w:tc>
          <w:tcPr>
            <w:tcW w:w="1060" w:type="dxa"/>
            <w:vAlign w:val="bottom"/>
            <w:gridSpan w:val="2"/>
            <w:shd w:val="clear" w:color="auto" w:fill="1D2758"/>
          </w:tcPr>
          <w:p>
            <w:pPr>
              <w:ind w:left="60"/>
              <w:spacing w:after="0"/>
              <w:rPr>
                <w:sz w:val="20"/>
                <w:szCs w:val="20"/>
                <w:color w:val="auto"/>
              </w:rPr>
            </w:pPr>
            <w:r>
              <w:rPr>
                <w:rFonts w:ascii="Arial" w:cs="Arial" w:eastAsia="Arial" w:hAnsi="Arial"/>
                <w:sz w:val="13"/>
                <w:szCs w:val="13"/>
                <w:b w:val="1"/>
                <w:bCs w:val="1"/>
                <w:color w:val="FFFFFF"/>
              </w:rPr>
              <w:t>UK Storage</w:t>
            </w:r>
          </w:p>
        </w:tc>
        <w:tc>
          <w:tcPr>
            <w:tcW w:w="1120" w:type="dxa"/>
            <w:vAlign w:val="bottom"/>
            <w:gridSpan w:val="2"/>
            <w:shd w:val="clear" w:color="auto" w:fill="1D2758"/>
          </w:tcPr>
          <w:p>
            <w:pPr>
              <w:jc w:val="right"/>
              <w:ind w:right="14"/>
              <w:spacing w:after="0"/>
              <w:rPr>
                <w:sz w:val="20"/>
                <w:szCs w:val="20"/>
                <w:color w:val="auto"/>
              </w:rPr>
            </w:pPr>
            <w:r>
              <w:rPr>
                <w:rFonts w:ascii="Arial" w:cs="Arial" w:eastAsia="Arial" w:hAnsi="Arial"/>
                <w:sz w:val="13"/>
                <w:szCs w:val="13"/>
                <w:b w:val="1"/>
                <w:bCs w:val="1"/>
                <w:color w:val="FFFFFF"/>
              </w:rPr>
              <w:t>Tank and Pump</w:t>
            </w:r>
          </w:p>
        </w:tc>
        <w:tc>
          <w:tcPr>
            <w:tcW w:w="1460" w:type="dxa"/>
            <w:vAlign w:val="bottom"/>
            <w:gridSpan w:val="2"/>
            <w:shd w:val="clear" w:color="auto" w:fill="1D2758"/>
          </w:tcPr>
          <w:p>
            <w:pPr>
              <w:jc w:val="right"/>
              <w:ind w:right="94"/>
              <w:spacing w:after="0"/>
              <w:rPr>
                <w:sz w:val="20"/>
                <w:szCs w:val="20"/>
                <w:color w:val="auto"/>
              </w:rPr>
            </w:pPr>
            <w:r>
              <w:rPr>
                <w:rFonts w:ascii="Arial" w:cs="Arial" w:eastAsia="Arial" w:hAnsi="Arial"/>
                <w:sz w:val="13"/>
                <w:szCs w:val="13"/>
                <w:b w:val="1"/>
                <w:bCs w:val="1"/>
                <w:color w:val="FFFFFF"/>
              </w:rPr>
              <w:t>Unallocated Costs</w:t>
            </w:r>
          </w:p>
        </w:tc>
        <w:tc>
          <w:tcPr>
            <w:tcW w:w="240" w:type="dxa"/>
            <w:vAlign w:val="bottom"/>
            <w:shd w:val="clear" w:color="auto" w:fill="1D2758"/>
          </w:tcPr>
          <w:p>
            <w:pPr>
              <w:spacing w:after="0"/>
              <w:rPr>
                <w:sz w:val="15"/>
                <w:szCs w:val="15"/>
                <w:color w:val="auto"/>
              </w:rPr>
            </w:pPr>
          </w:p>
        </w:tc>
        <w:tc>
          <w:tcPr>
            <w:tcW w:w="880" w:type="dxa"/>
            <w:vAlign w:val="bottom"/>
            <w:shd w:val="clear" w:color="auto" w:fill="1D2758"/>
          </w:tcPr>
          <w:p>
            <w:pPr>
              <w:jc w:val="right"/>
              <w:ind w:right="354"/>
              <w:spacing w:after="0"/>
              <w:rPr>
                <w:sz w:val="20"/>
                <w:szCs w:val="20"/>
                <w:color w:val="auto"/>
              </w:rPr>
            </w:pPr>
            <w:r>
              <w:rPr>
                <w:rFonts w:ascii="Arial" w:cs="Arial" w:eastAsia="Arial" w:hAnsi="Arial"/>
                <w:sz w:val="13"/>
                <w:szCs w:val="13"/>
                <w:b w:val="1"/>
                <w:bCs w:val="1"/>
                <w:color w:val="FFFFFF"/>
              </w:rPr>
              <w:t>Total</w:t>
            </w:r>
          </w:p>
        </w:tc>
      </w:tr>
      <w:tr>
        <w:trPr>
          <w:trHeight w:val="175"/>
        </w:trPr>
        <w:tc>
          <w:tcPr>
            <w:tcW w:w="3960" w:type="dxa"/>
            <w:vAlign w:val="bottom"/>
            <w:shd w:val="clear" w:color="auto" w:fill="DBDBDB"/>
          </w:tcPr>
          <w:p>
            <w:pPr>
              <w:ind w:left="20"/>
              <w:spacing w:after="0"/>
              <w:rPr>
                <w:sz w:val="20"/>
                <w:szCs w:val="20"/>
                <w:color w:val="auto"/>
              </w:rPr>
            </w:pPr>
            <w:r>
              <w:rPr>
                <w:rFonts w:ascii="Arial" w:cs="Arial" w:eastAsia="Arial" w:hAnsi="Arial"/>
                <w:sz w:val="13"/>
                <w:szCs w:val="13"/>
                <w:color w:val="auto"/>
              </w:rPr>
              <w:t>Revenues:</w:t>
            </w: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780" w:type="dxa"/>
            <w:vAlign w:val="bottom"/>
            <w:shd w:val="clear" w:color="auto" w:fill="DBDBDB"/>
          </w:tcPr>
          <w:p>
            <w:pPr>
              <w:spacing w:after="0"/>
              <w:rPr>
                <w:sz w:val="15"/>
                <w:szCs w:val="15"/>
                <w:color w:val="auto"/>
              </w:rPr>
            </w:pPr>
          </w:p>
        </w:tc>
        <w:tc>
          <w:tcPr>
            <w:tcW w:w="54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880" w:type="dxa"/>
            <w:vAlign w:val="bottom"/>
            <w:shd w:val="clear" w:color="auto" w:fill="DBDBDB"/>
          </w:tcPr>
          <w:p>
            <w:pPr>
              <w:spacing w:after="0"/>
              <w:rPr>
                <w:sz w:val="15"/>
                <w:szCs w:val="15"/>
                <w:color w:val="auto"/>
              </w:rPr>
            </w:pPr>
          </w:p>
        </w:tc>
      </w:tr>
      <w:tr>
        <w:trPr>
          <w:trHeight w:val="172"/>
        </w:trPr>
        <w:tc>
          <w:tcPr>
            <w:tcW w:w="3960" w:type="dxa"/>
            <w:vAlign w:val="bottom"/>
          </w:tcPr>
          <w:p>
            <w:pPr>
              <w:ind w:left="20"/>
              <w:spacing w:after="0"/>
              <w:rPr>
                <w:sz w:val="20"/>
                <w:szCs w:val="20"/>
                <w:color w:val="auto"/>
              </w:rPr>
            </w:pPr>
            <w:r>
              <w:rPr>
                <w:rFonts w:ascii="Arial" w:cs="Arial" w:eastAsia="Arial" w:hAnsi="Arial"/>
                <w:sz w:val="13"/>
                <w:szCs w:val="13"/>
                <w:color w:val="auto"/>
              </w:rPr>
              <w:t>Leasing and services revenue:</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8"/>
        </w:trPr>
        <w:tc>
          <w:tcPr>
            <w:tcW w:w="39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Leasing</w:t>
            </w: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864,923</w:t>
            </w: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387,567</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82,106</w:t>
            </w:r>
          </w:p>
        </w:tc>
        <w:tc>
          <w:tcPr>
            <w:tcW w:w="80" w:type="dxa"/>
            <w:vAlign w:val="bottom"/>
            <w:shd w:val="clear" w:color="auto" w:fill="DBDBDB"/>
          </w:tcPr>
          <w:p>
            <w:pPr>
              <w:spacing w:after="0"/>
              <w:rPr>
                <w:sz w:val="15"/>
                <w:szCs w:val="15"/>
                <w:color w:val="auto"/>
              </w:rPr>
            </w:pPr>
          </w:p>
        </w:tc>
        <w:tc>
          <w:tcPr>
            <w:tcW w:w="340" w:type="dxa"/>
            <w:vAlign w:val="bottom"/>
            <w:shd w:val="clear" w:color="auto" w:fill="DBDBDB"/>
          </w:tcPr>
          <w:p>
            <w:pPr>
              <w:jc w:val="center"/>
              <w:ind w:right="174"/>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77,527</w:t>
            </w:r>
          </w:p>
        </w:tc>
        <w:tc>
          <w:tcPr>
            <w:tcW w:w="54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2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1,412,123</w:t>
            </w:r>
          </w:p>
        </w:tc>
      </w:tr>
      <w:tr>
        <w:trPr>
          <w:trHeight w:val="172"/>
        </w:trPr>
        <w:tc>
          <w:tcPr>
            <w:tcW w:w="3960" w:type="dxa"/>
            <w:vAlign w:val="bottom"/>
          </w:tcPr>
          <w:p>
            <w:pPr>
              <w:ind w:left="200"/>
              <w:spacing w:after="0"/>
              <w:rPr>
                <w:sz w:val="20"/>
                <w:szCs w:val="20"/>
                <w:color w:val="auto"/>
              </w:rPr>
            </w:pPr>
            <w:r>
              <w:rPr>
                <w:rFonts w:ascii="Arial" w:cs="Arial" w:eastAsia="Arial" w:hAnsi="Arial"/>
                <w:sz w:val="13"/>
                <w:szCs w:val="13"/>
                <w:color w:val="auto"/>
              </w:rPr>
              <w:t>Delivery and installation</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219,385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101,744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24,023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29,530</w:t>
            </w: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374,682</w:t>
            </w:r>
          </w:p>
        </w:tc>
      </w:tr>
      <w:tr>
        <w:trPr>
          <w:trHeight w:val="178"/>
        </w:trPr>
        <w:tc>
          <w:tcPr>
            <w:tcW w:w="3960" w:type="dxa"/>
            <w:vAlign w:val="bottom"/>
            <w:shd w:val="clear" w:color="auto" w:fill="DBDBDB"/>
          </w:tcPr>
          <w:p>
            <w:pPr>
              <w:ind w:left="20"/>
              <w:spacing w:after="0"/>
              <w:rPr>
                <w:sz w:val="20"/>
                <w:szCs w:val="20"/>
                <w:color w:val="auto"/>
              </w:rPr>
            </w:pPr>
            <w:r>
              <w:rPr>
                <w:rFonts w:ascii="Arial" w:cs="Arial" w:eastAsia="Arial" w:hAnsi="Arial"/>
                <w:sz w:val="13"/>
                <w:szCs w:val="13"/>
                <w:color w:val="auto"/>
              </w:rPr>
              <w:t>Sales revenue:</w:t>
            </w: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780" w:type="dxa"/>
            <w:vAlign w:val="bottom"/>
            <w:shd w:val="clear" w:color="auto" w:fill="DBDBDB"/>
          </w:tcPr>
          <w:p>
            <w:pPr>
              <w:spacing w:after="0"/>
              <w:rPr>
                <w:sz w:val="15"/>
                <w:szCs w:val="15"/>
                <w:color w:val="auto"/>
              </w:rPr>
            </w:pPr>
          </w:p>
        </w:tc>
        <w:tc>
          <w:tcPr>
            <w:tcW w:w="54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880" w:type="dxa"/>
            <w:vAlign w:val="bottom"/>
            <w:shd w:val="clear" w:color="auto" w:fill="DBDBDB"/>
          </w:tcPr>
          <w:p>
            <w:pPr>
              <w:spacing w:after="0"/>
              <w:rPr>
                <w:sz w:val="15"/>
                <w:szCs w:val="15"/>
                <w:color w:val="auto"/>
              </w:rPr>
            </w:pPr>
          </w:p>
        </w:tc>
      </w:tr>
      <w:tr>
        <w:trPr>
          <w:trHeight w:val="172"/>
        </w:trPr>
        <w:tc>
          <w:tcPr>
            <w:tcW w:w="3960" w:type="dxa"/>
            <w:vAlign w:val="bottom"/>
          </w:tcPr>
          <w:p>
            <w:pPr>
              <w:ind w:left="20"/>
              <w:spacing w:after="0"/>
              <w:rPr>
                <w:sz w:val="20"/>
                <w:szCs w:val="20"/>
                <w:color w:val="auto"/>
              </w:rPr>
            </w:pPr>
            <w:r>
              <w:rPr>
                <w:rFonts w:ascii="Arial" w:cs="Arial" w:eastAsia="Arial" w:hAnsi="Arial"/>
                <w:sz w:val="13"/>
                <w:szCs w:val="13"/>
                <w:color w:val="auto"/>
              </w:rPr>
              <w:t>New units</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40,366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6,628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3,533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2,355</w:t>
            </w: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52,882</w:t>
            </w:r>
          </w:p>
        </w:tc>
      </w:tr>
      <w:tr>
        <w:trPr>
          <w:trHeight w:val="178"/>
        </w:trPr>
        <w:tc>
          <w:tcPr>
            <w:tcW w:w="3960" w:type="dxa"/>
            <w:vAlign w:val="bottom"/>
            <w:shd w:val="clear" w:color="auto" w:fill="DBDBDB"/>
          </w:tcPr>
          <w:p>
            <w:pPr>
              <w:ind w:left="20"/>
              <w:spacing w:after="0"/>
              <w:rPr>
                <w:sz w:val="20"/>
                <w:szCs w:val="20"/>
                <w:color w:val="auto"/>
              </w:rPr>
            </w:pPr>
            <w:r>
              <w:rPr>
                <w:rFonts w:ascii="Arial" w:cs="Arial" w:eastAsia="Arial" w:hAnsi="Arial"/>
                <w:sz w:val="13"/>
                <w:szCs w:val="13"/>
                <w:color w:val="auto"/>
              </w:rPr>
              <w:t>Rental units</w:t>
            </w:r>
          </w:p>
        </w:tc>
        <w:tc>
          <w:tcPr>
            <w:tcW w:w="14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39,505</w:t>
            </w:r>
          </w:p>
        </w:tc>
        <w:tc>
          <w:tcPr>
            <w:tcW w:w="80" w:type="dxa"/>
            <w:vAlign w:val="bottom"/>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12,863</w:t>
            </w:r>
          </w:p>
        </w:tc>
        <w:tc>
          <w:tcPr>
            <w:tcW w:w="100" w:type="dxa"/>
            <w:vAlign w:val="bottom"/>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1,363</w:t>
            </w:r>
          </w:p>
        </w:tc>
        <w:tc>
          <w:tcPr>
            <w:tcW w:w="80" w:type="dxa"/>
            <w:vAlign w:val="bottom"/>
            <w:shd w:val="clear" w:color="auto" w:fill="DBDBDB"/>
          </w:tcPr>
          <w:p>
            <w:pPr>
              <w:spacing w:after="0"/>
              <w:rPr>
                <w:sz w:val="15"/>
                <w:szCs w:val="15"/>
                <w:color w:val="auto"/>
              </w:rPr>
            </w:pPr>
          </w:p>
        </w:tc>
        <w:tc>
          <w:tcPr>
            <w:tcW w:w="340" w:type="dxa"/>
            <w:vAlign w:val="bottom"/>
            <w:tcBorders>
              <w:bottom w:val="single" w:sz="8" w:color="auto"/>
            </w:tcBorders>
            <w:shd w:val="clear" w:color="auto" w:fill="DBDBDB"/>
          </w:tcPr>
          <w:p>
            <w:pPr>
              <w:spacing w:after="0"/>
              <w:rPr>
                <w:sz w:val="15"/>
                <w:szCs w:val="15"/>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1,479</w:t>
            </w:r>
          </w:p>
        </w:tc>
        <w:tc>
          <w:tcPr>
            <w:tcW w:w="54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240" w:type="dxa"/>
            <w:vAlign w:val="bottom"/>
            <w:tcBorders>
              <w:bottom w:val="single" w:sz="8" w:color="auto"/>
            </w:tcBorders>
            <w:shd w:val="clear" w:color="auto" w:fill="DBDBDB"/>
          </w:tcPr>
          <w:p>
            <w:pPr>
              <w:spacing w:after="0"/>
              <w:rPr>
                <w:sz w:val="15"/>
                <w:szCs w:val="15"/>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55,210</w:t>
            </w:r>
          </w:p>
        </w:tc>
      </w:tr>
      <w:tr>
        <w:trPr>
          <w:trHeight w:val="163"/>
        </w:trPr>
        <w:tc>
          <w:tcPr>
            <w:tcW w:w="3960" w:type="dxa"/>
            <w:vAlign w:val="bottom"/>
          </w:tcPr>
          <w:p>
            <w:pPr>
              <w:ind w:left="380"/>
              <w:spacing w:after="0"/>
              <w:rPr>
                <w:sz w:val="20"/>
                <w:szCs w:val="20"/>
                <w:color w:val="auto"/>
              </w:rPr>
            </w:pPr>
            <w:r>
              <w:rPr>
                <w:rFonts w:ascii="Arial" w:cs="Arial" w:eastAsia="Arial" w:hAnsi="Arial"/>
                <w:sz w:val="13"/>
                <w:szCs w:val="13"/>
                <w:color w:val="auto"/>
              </w:rPr>
              <w:t>Total revenues</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1,164,179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508,802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111,025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110,891</w:t>
            </w: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1,894,897</w:t>
            </w:r>
          </w:p>
        </w:tc>
      </w:tr>
      <w:tr>
        <w:trPr>
          <w:trHeight w:val="210"/>
        </w:trPr>
        <w:tc>
          <w:tcPr>
            <w:tcW w:w="39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54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r>
      <w:tr>
        <w:trPr>
          <w:trHeight w:val="172"/>
        </w:trPr>
        <w:tc>
          <w:tcPr>
            <w:tcW w:w="3960" w:type="dxa"/>
            <w:vAlign w:val="bottom"/>
          </w:tcPr>
          <w:p>
            <w:pPr>
              <w:ind w:left="20"/>
              <w:spacing w:after="0"/>
              <w:rPr>
                <w:sz w:val="20"/>
                <w:szCs w:val="20"/>
                <w:color w:val="auto"/>
              </w:rPr>
            </w:pPr>
            <w:r>
              <w:rPr>
                <w:rFonts w:ascii="Arial" w:cs="Arial" w:eastAsia="Arial" w:hAnsi="Arial"/>
                <w:sz w:val="13"/>
                <w:szCs w:val="13"/>
                <w:color w:val="auto"/>
              </w:rPr>
              <w:t>Costs:</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8"/>
        </w:trPr>
        <w:tc>
          <w:tcPr>
            <w:tcW w:w="3960" w:type="dxa"/>
            <w:vAlign w:val="bottom"/>
            <w:shd w:val="clear" w:color="auto" w:fill="DBDBDB"/>
          </w:tcPr>
          <w:p>
            <w:pPr>
              <w:ind w:left="20"/>
              <w:spacing w:after="0"/>
              <w:rPr>
                <w:sz w:val="20"/>
                <w:szCs w:val="20"/>
                <w:color w:val="auto"/>
              </w:rPr>
            </w:pPr>
            <w:r>
              <w:rPr>
                <w:rFonts w:ascii="Arial" w:cs="Arial" w:eastAsia="Arial" w:hAnsi="Arial"/>
                <w:sz w:val="13"/>
                <w:szCs w:val="13"/>
                <w:color w:val="auto"/>
              </w:rPr>
              <w:t>Cost of leasing and services:</w:t>
            </w: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780" w:type="dxa"/>
            <w:vAlign w:val="bottom"/>
            <w:shd w:val="clear" w:color="auto" w:fill="DBDBDB"/>
          </w:tcPr>
          <w:p>
            <w:pPr>
              <w:spacing w:after="0"/>
              <w:rPr>
                <w:sz w:val="15"/>
                <w:szCs w:val="15"/>
                <w:color w:val="auto"/>
              </w:rPr>
            </w:pPr>
          </w:p>
        </w:tc>
        <w:tc>
          <w:tcPr>
            <w:tcW w:w="54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880" w:type="dxa"/>
            <w:vAlign w:val="bottom"/>
            <w:shd w:val="clear" w:color="auto" w:fill="DBDBDB"/>
          </w:tcPr>
          <w:p>
            <w:pPr>
              <w:spacing w:after="0"/>
              <w:rPr>
                <w:sz w:val="15"/>
                <w:szCs w:val="15"/>
                <w:color w:val="auto"/>
              </w:rPr>
            </w:pPr>
          </w:p>
        </w:tc>
      </w:tr>
      <w:tr>
        <w:trPr>
          <w:trHeight w:val="172"/>
        </w:trPr>
        <w:tc>
          <w:tcPr>
            <w:tcW w:w="3960" w:type="dxa"/>
            <w:vAlign w:val="bottom"/>
          </w:tcPr>
          <w:p>
            <w:pPr>
              <w:ind w:left="200"/>
              <w:spacing w:after="0"/>
              <w:rPr>
                <w:sz w:val="20"/>
                <w:szCs w:val="20"/>
                <w:color w:val="auto"/>
              </w:rPr>
            </w:pPr>
            <w:r>
              <w:rPr>
                <w:rFonts w:ascii="Arial" w:cs="Arial" w:eastAsia="Arial" w:hAnsi="Arial"/>
                <w:sz w:val="13"/>
                <w:szCs w:val="13"/>
                <w:color w:val="auto"/>
              </w:rPr>
              <w:t>Leasing</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229,129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53,447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17,440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17,045</w:t>
            </w: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317,061</w:t>
            </w:r>
          </w:p>
        </w:tc>
      </w:tr>
      <w:tr>
        <w:trPr>
          <w:trHeight w:val="178"/>
        </w:trPr>
        <w:tc>
          <w:tcPr>
            <w:tcW w:w="39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Delivery and installation</w:t>
            </w: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196,137</w:t>
            </w: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71,396</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14,271</w:t>
            </w:r>
          </w:p>
        </w:tc>
        <w:tc>
          <w:tcPr>
            <w:tcW w:w="8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25,057</w:t>
            </w:r>
          </w:p>
        </w:tc>
        <w:tc>
          <w:tcPr>
            <w:tcW w:w="54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306,861</w:t>
            </w:r>
          </w:p>
        </w:tc>
      </w:tr>
      <w:tr>
        <w:trPr>
          <w:trHeight w:val="172"/>
        </w:trPr>
        <w:tc>
          <w:tcPr>
            <w:tcW w:w="3960" w:type="dxa"/>
            <w:vAlign w:val="bottom"/>
          </w:tcPr>
          <w:p>
            <w:pPr>
              <w:ind w:left="20"/>
              <w:spacing w:after="0"/>
              <w:rPr>
                <w:sz w:val="20"/>
                <w:szCs w:val="20"/>
                <w:color w:val="auto"/>
              </w:rPr>
            </w:pPr>
            <w:r>
              <w:rPr>
                <w:rFonts w:ascii="Arial" w:cs="Arial" w:eastAsia="Arial" w:hAnsi="Arial"/>
                <w:sz w:val="13"/>
                <w:szCs w:val="13"/>
                <w:color w:val="auto"/>
              </w:rPr>
              <w:t>Cost of sales:</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8"/>
        </w:trPr>
        <w:tc>
          <w:tcPr>
            <w:tcW w:w="39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New units</w:t>
            </w: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27,415</w:t>
            </w: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3,933</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2,357</w:t>
            </w:r>
          </w:p>
        </w:tc>
        <w:tc>
          <w:tcPr>
            <w:tcW w:w="8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1,672</w:t>
            </w:r>
          </w:p>
        </w:tc>
        <w:tc>
          <w:tcPr>
            <w:tcW w:w="54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35,377</w:t>
            </w:r>
          </w:p>
        </w:tc>
      </w:tr>
      <w:tr>
        <w:trPr>
          <w:trHeight w:val="172"/>
        </w:trPr>
        <w:tc>
          <w:tcPr>
            <w:tcW w:w="3960" w:type="dxa"/>
            <w:vAlign w:val="bottom"/>
          </w:tcPr>
          <w:p>
            <w:pPr>
              <w:ind w:left="200"/>
              <w:spacing w:after="0"/>
              <w:rPr>
                <w:sz w:val="20"/>
                <w:szCs w:val="20"/>
                <w:color w:val="auto"/>
              </w:rPr>
            </w:pPr>
            <w:r>
              <w:rPr>
                <w:rFonts w:ascii="Arial" w:cs="Arial" w:eastAsia="Arial" w:hAnsi="Arial"/>
                <w:sz w:val="13"/>
                <w:szCs w:val="13"/>
                <w:color w:val="auto"/>
              </w:rPr>
              <w:t>Rental units</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20,592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7,438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1,287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536</w:t>
            </w: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29,853</w:t>
            </w:r>
          </w:p>
        </w:tc>
      </w:tr>
      <w:tr>
        <w:trPr>
          <w:trHeight w:val="178"/>
        </w:trPr>
        <w:tc>
          <w:tcPr>
            <w:tcW w:w="3960" w:type="dxa"/>
            <w:vAlign w:val="bottom"/>
            <w:shd w:val="clear" w:color="auto" w:fill="DBDBDB"/>
          </w:tcPr>
          <w:p>
            <w:pPr>
              <w:ind w:left="20"/>
              <w:spacing w:after="0"/>
              <w:rPr>
                <w:sz w:val="20"/>
                <w:szCs w:val="20"/>
                <w:color w:val="auto"/>
              </w:rPr>
            </w:pPr>
            <w:r>
              <w:rPr>
                <w:rFonts w:ascii="Arial" w:cs="Arial" w:eastAsia="Arial" w:hAnsi="Arial"/>
                <w:sz w:val="13"/>
                <w:szCs w:val="13"/>
                <w:color w:val="auto"/>
              </w:rPr>
              <w:t>Depreciation of rental equipment</w:t>
            </w:r>
          </w:p>
        </w:tc>
        <w:tc>
          <w:tcPr>
            <w:tcW w:w="14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194,461</w:t>
            </w:r>
          </w:p>
        </w:tc>
        <w:tc>
          <w:tcPr>
            <w:tcW w:w="80" w:type="dxa"/>
            <w:vAlign w:val="bottom"/>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24,329</w:t>
            </w:r>
          </w:p>
        </w:tc>
        <w:tc>
          <w:tcPr>
            <w:tcW w:w="100" w:type="dxa"/>
            <w:vAlign w:val="bottom"/>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4,428</w:t>
            </w:r>
          </w:p>
        </w:tc>
        <w:tc>
          <w:tcPr>
            <w:tcW w:w="80" w:type="dxa"/>
            <w:vAlign w:val="bottom"/>
            <w:shd w:val="clear" w:color="auto" w:fill="DBDBDB"/>
          </w:tcPr>
          <w:p>
            <w:pPr>
              <w:spacing w:after="0"/>
              <w:rPr>
                <w:sz w:val="15"/>
                <w:szCs w:val="15"/>
                <w:color w:val="auto"/>
              </w:rPr>
            </w:pPr>
          </w:p>
        </w:tc>
        <w:tc>
          <w:tcPr>
            <w:tcW w:w="340" w:type="dxa"/>
            <w:vAlign w:val="bottom"/>
            <w:tcBorders>
              <w:bottom w:val="single" w:sz="8" w:color="auto"/>
            </w:tcBorders>
            <w:shd w:val="clear" w:color="auto" w:fill="DBDBDB"/>
          </w:tcPr>
          <w:p>
            <w:pPr>
              <w:spacing w:after="0"/>
              <w:rPr>
                <w:sz w:val="15"/>
                <w:szCs w:val="15"/>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14,319</w:t>
            </w:r>
          </w:p>
        </w:tc>
        <w:tc>
          <w:tcPr>
            <w:tcW w:w="54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240" w:type="dxa"/>
            <w:vAlign w:val="bottom"/>
            <w:tcBorders>
              <w:bottom w:val="single" w:sz="8" w:color="auto"/>
            </w:tcBorders>
            <w:shd w:val="clear" w:color="auto" w:fill="DBDBDB"/>
          </w:tcPr>
          <w:p>
            <w:pPr>
              <w:spacing w:after="0"/>
              <w:rPr>
                <w:sz w:val="15"/>
                <w:szCs w:val="15"/>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237,537</w:t>
            </w:r>
          </w:p>
        </w:tc>
      </w:tr>
      <w:tr>
        <w:trPr>
          <w:trHeight w:val="163"/>
        </w:trPr>
        <w:tc>
          <w:tcPr>
            <w:tcW w:w="3960" w:type="dxa"/>
            <w:vAlign w:val="bottom"/>
          </w:tcPr>
          <w:p>
            <w:pPr>
              <w:ind w:left="200"/>
              <w:spacing w:after="0"/>
              <w:rPr>
                <w:sz w:val="20"/>
                <w:szCs w:val="20"/>
                <w:color w:val="auto"/>
              </w:rPr>
            </w:pPr>
            <w:r>
              <w:rPr>
                <w:rFonts w:ascii="Arial" w:cs="Arial" w:eastAsia="Arial" w:hAnsi="Arial"/>
                <w:sz w:val="13"/>
                <w:szCs w:val="13"/>
                <w:color w:val="auto"/>
              </w:rPr>
              <w:t>Gross profit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496,445</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348,259</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71,242</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center"/>
              <w:ind w:right="174"/>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52,262</w:t>
            </w: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968,208</w:t>
            </w:r>
          </w:p>
        </w:tc>
      </w:tr>
      <w:tr>
        <w:trPr>
          <w:trHeight w:val="20"/>
        </w:trPr>
        <w:tc>
          <w:tcPr>
            <w:tcW w:w="396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DBDBDB"/>
            </w:tcBorders>
          </w:tcPr>
          <w:p>
            <w:pPr>
              <w:spacing w:after="0" w:line="20" w:lineRule="exact"/>
              <w:rPr>
                <w:sz w:val="1"/>
                <w:szCs w:val="1"/>
                <w:color w:val="auto"/>
              </w:rPr>
            </w:pPr>
          </w:p>
        </w:tc>
        <w:tc>
          <w:tcPr>
            <w:tcW w:w="920" w:type="dxa"/>
            <w:vAlign w:val="bottom"/>
            <w:tcBorders>
              <w:bottom w:val="single" w:sz="8" w:color="DBDBDB"/>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39"/>
        </w:trPr>
        <w:tc>
          <w:tcPr>
            <w:tcW w:w="3960" w:type="dxa"/>
            <w:vAlign w:val="bottom"/>
            <w:shd w:val="clear" w:color="auto" w:fill="DBDBDB"/>
          </w:tcPr>
          <w:p>
            <w:pPr>
              <w:ind w:left="20"/>
              <w:spacing w:after="0" w:line="137" w:lineRule="exact"/>
              <w:rPr>
                <w:sz w:val="20"/>
                <w:szCs w:val="20"/>
                <w:color w:val="auto"/>
              </w:rPr>
            </w:pPr>
            <w:r>
              <w:rPr>
                <w:rFonts w:ascii="Arial" w:cs="Arial" w:eastAsia="Arial" w:hAnsi="Arial"/>
                <w:sz w:val="13"/>
                <w:szCs w:val="13"/>
                <w:color w:val="auto"/>
              </w:rPr>
              <w:t>Other selected data:</w:t>
            </w:r>
          </w:p>
        </w:tc>
        <w:tc>
          <w:tcPr>
            <w:tcW w:w="140" w:type="dxa"/>
            <w:vAlign w:val="bottom"/>
            <w:shd w:val="clear" w:color="auto" w:fill="DBDBDB"/>
          </w:tcPr>
          <w:p>
            <w:pPr>
              <w:spacing w:after="0"/>
              <w:rPr>
                <w:sz w:val="12"/>
                <w:szCs w:val="12"/>
                <w:color w:val="auto"/>
              </w:rPr>
            </w:pPr>
          </w:p>
        </w:tc>
        <w:tc>
          <w:tcPr>
            <w:tcW w:w="9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9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9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340" w:type="dxa"/>
            <w:vAlign w:val="bottom"/>
            <w:shd w:val="clear" w:color="auto" w:fill="DBDBDB"/>
          </w:tcPr>
          <w:p>
            <w:pPr>
              <w:spacing w:after="0"/>
              <w:rPr>
                <w:sz w:val="12"/>
                <w:szCs w:val="12"/>
                <w:color w:val="auto"/>
              </w:rPr>
            </w:pPr>
          </w:p>
        </w:tc>
        <w:tc>
          <w:tcPr>
            <w:tcW w:w="780" w:type="dxa"/>
            <w:vAlign w:val="bottom"/>
            <w:shd w:val="clear" w:color="auto" w:fill="DBDBDB"/>
          </w:tcPr>
          <w:p>
            <w:pPr>
              <w:spacing w:after="0"/>
              <w:rPr>
                <w:sz w:val="12"/>
                <w:szCs w:val="12"/>
                <w:color w:val="auto"/>
              </w:rPr>
            </w:pPr>
          </w:p>
        </w:tc>
        <w:tc>
          <w:tcPr>
            <w:tcW w:w="540" w:type="dxa"/>
            <w:vAlign w:val="bottom"/>
            <w:shd w:val="clear" w:color="auto" w:fill="DBDBDB"/>
          </w:tcPr>
          <w:p>
            <w:pPr>
              <w:spacing w:after="0"/>
              <w:rPr>
                <w:sz w:val="12"/>
                <w:szCs w:val="12"/>
                <w:color w:val="auto"/>
              </w:rPr>
            </w:pPr>
          </w:p>
        </w:tc>
        <w:tc>
          <w:tcPr>
            <w:tcW w:w="920" w:type="dxa"/>
            <w:vAlign w:val="bottom"/>
            <w:shd w:val="clear" w:color="auto" w:fill="DBDBDB"/>
          </w:tcPr>
          <w:p>
            <w:pPr>
              <w:spacing w:after="0"/>
              <w:rPr>
                <w:sz w:val="12"/>
                <w:szCs w:val="12"/>
                <w:color w:val="auto"/>
              </w:rPr>
            </w:pPr>
          </w:p>
        </w:tc>
        <w:tc>
          <w:tcPr>
            <w:tcW w:w="24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r>
      <w:tr>
        <w:trPr>
          <w:trHeight w:val="172"/>
        </w:trPr>
        <w:tc>
          <w:tcPr>
            <w:tcW w:w="3960" w:type="dxa"/>
            <w:vAlign w:val="bottom"/>
          </w:tcPr>
          <w:p>
            <w:pPr>
              <w:ind w:left="200"/>
              <w:spacing w:after="0"/>
              <w:rPr>
                <w:sz w:val="20"/>
                <w:szCs w:val="20"/>
                <w:color w:val="auto"/>
              </w:rPr>
            </w:pPr>
            <w:r>
              <w:rPr>
                <w:rFonts w:ascii="Arial" w:cs="Arial" w:eastAsia="Arial" w:hAnsi="Arial"/>
                <w:sz w:val="13"/>
                <w:szCs w:val="13"/>
                <w:color w:val="auto"/>
              </w:rPr>
              <w:t>Adjusted EBITDA</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423,004</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226,600</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49,039</w:t>
            </w:r>
          </w:p>
        </w:tc>
        <w:tc>
          <w:tcPr>
            <w:tcW w:w="80" w:type="dxa"/>
            <w:vAlign w:val="bottom"/>
          </w:tcPr>
          <w:p>
            <w:pPr>
              <w:spacing w:after="0"/>
              <w:rPr>
                <w:sz w:val="14"/>
                <w:szCs w:val="14"/>
                <w:color w:val="auto"/>
              </w:rPr>
            </w:pPr>
          </w:p>
        </w:tc>
        <w:tc>
          <w:tcPr>
            <w:tcW w:w="340" w:type="dxa"/>
            <w:vAlign w:val="bottom"/>
          </w:tcPr>
          <w:p>
            <w:pPr>
              <w:jc w:val="center"/>
              <w:ind w:right="174"/>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41,750</w:t>
            </w:r>
          </w:p>
        </w:tc>
        <w:tc>
          <w:tcPr>
            <w:tcW w:w="540" w:type="dxa"/>
            <w:vAlign w:val="bottom"/>
          </w:tcPr>
          <w:p>
            <w:pPr>
              <w:jc w:val="right"/>
              <w:ind w:right="314"/>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4"/>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740,393</w:t>
            </w:r>
          </w:p>
        </w:tc>
      </w:tr>
      <w:tr>
        <w:trPr>
          <w:trHeight w:val="178"/>
        </w:trPr>
        <w:tc>
          <w:tcPr>
            <w:tcW w:w="39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Selling, general and administrative expense (a)</w:t>
            </w: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266,187</w:t>
            </w: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145,988</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26,630</w:t>
            </w:r>
          </w:p>
        </w:tc>
        <w:tc>
          <w:tcPr>
            <w:tcW w:w="80" w:type="dxa"/>
            <w:vAlign w:val="bottom"/>
            <w:shd w:val="clear" w:color="auto" w:fill="DBDBDB"/>
          </w:tcPr>
          <w:p>
            <w:pPr>
              <w:spacing w:after="0"/>
              <w:rPr>
                <w:sz w:val="15"/>
                <w:szCs w:val="15"/>
                <w:color w:val="auto"/>
              </w:rPr>
            </w:pPr>
          </w:p>
        </w:tc>
        <w:tc>
          <w:tcPr>
            <w:tcW w:w="340" w:type="dxa"/>
            <w:vAlign w:val="bottom"/>
            <w:shd w:val="clear" w:color="auto" w:fill="DBDBDB"/>
          </w:tcPr>
          <w:p>
            <w:pPr>
              <w:jc w:val="center"/>
              <w:ind w:right="174"/>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24,831</w:t>
            </w:r>
          </w:p>
        </w:tc>
        <w:tc>
          <w:tcPr>
            <w:tcW w:w="540" w:type="dxa"/>
            <w:vAlign w:val="bottom"/>
            <w:shd w:val="clear" w:color="auto" w:fill="DBDBDB"/>
          </w:tcPr>
          <w:p>
            <w:pPr>
              <w:jc w:val="right"/>
              <w:ind w:right="314"/>
              <w:spacing w:after="0"/>
              <w:rPr>
                <w:sz w:val="20"/>
                <w:szCs w:val="20"/>
                <w:color w:val="auto"/>
              </w:rPr>
            </w:pPr>
            <w:r>
              <w:rPr>
                <w:rFonts w:ascii="Arial" w:cs="Arial" w:eastAsia="Arial" w:hAnsi="Arial"/>
                <w:sz w:val="13"/>
                <w:szCs w:val="13"/>
                <w:color w:val="auto"/>
              </w:rPr>
              <w:t>$</w:t>
            </w:r>
          </w:p>
        </w:tc>
        <w:tc>
          <w:tcPr>
            <w:tcW w:w="92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49,185</w:t>
            </w:r>
          </w:p>
        </w:tc>
        <w:tc>
          <w:tcPr>
            <w:tcW w:w="2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512,821</w:t>
            </w:r>
          </w:p>
        </w:tc>
      </w:tr>
      <w:tr>
        <w:trPr>
          <w:trHeight w:val="169"/>
        </w:trPr>
        <w:tc>
          <w:tcPr>
            <w:tcW w:w="3960" w:type="dxa"/>
            <w:vAlign w:val="bottom"/>
          </w:tcPr>
          <w:p>
            <w:pPr>
              <w:ind w:left="200"/>
              <w:spacing w:after="0"/>
              <w:rPr>
                <w:sz w:val="20"/>
                <w:szCs w:val="20"/>
                <w:color w:val="auto"/>
              </w:rPr>
            </w:pPr>
            <w:r>
              <w:rPr>
                <w:rFonts w:ascii="Arial" w:cs="Arial" w:eastAsia="Arial" w:hAnsi="Arial"/>
                <w:sz w:val="13"/>
                <w:szCs w:val="13"/>
                <w:color w:val="auto"/>
              </w:rPr>
              <w:t>Purchases of rental equipment and refurbishments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187,495</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45,426</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27,830</w:t>
            </w:r>
          </w:p>
        </w:tc>
        <w:tc>
          <w:tcPr>
            <w:tcW w:w="80" w:type="dxa"/>
            <w:vAlign w:val="bottom"/>
          </w:tcPr>
          <w:p>
            <w:pPr>
              <w:spacing w:after="0"/>
              <w:rPr>
                <w:sz w:val="14"/>
                <w:szCs w:val="14"/>
                <w:color w:val="auto"/>
              </w:rPr>
            </w:pPr>
          </w:p>
        </w:tc>
        <w:tc>
          <w:tcPr>
            <w:tcW w:w="340" w:type="dxa"/>
            <w:vAlign w:val="bottom"/>
          </w:tcPr>
          <w:p>
            <w:pPr>
              <w:jc w:val="center"/>
              <w:ind w:right="174"/>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17,747</w:t>
            </w:r>
          </w:p>
        </w:tc>
        <w:tc>
          <w:tcPr>
            <w:tcW w:w="540" w:type="dxa"/>
            <w:vAlign w:val="bottom"/>
          </w:tcPr>
          <w:p>
            <w:pPr>
              <w:jc w:val="right"/>
              <w:ind w:right="314"/>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4"/>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278,498</w:t>
            </w:r>
          </w:p>
        </w:tc>
      </w:tr>
    </w:tbl>
    <w:p>
      <w:pPr>
        <w:spacing w:after="0" w:line="86" w:lineRule="exact"/>
        <w:rPr>
          <w:sz w:val="20"/>
          <w:szCs w:val="20"/>
          <w:color w:val="auto"/>
        </w:rPr>
      </w:pPr>
    </w:p>
    <w:p>
      <w:pPr>
        <w:spacing w:after="0"/>
        <w:rPr>
          <w:sz w:val="20"/>
          <w:szCs w:val="20"/>
          <w:color w:val="auto"/>
        </w:rPr>
      </w:pPr>
      <w:r>
        <w:rPr>
          <w:rFonts w:ascii="Arial" w:cs="Arial" w:eastAsia="Arial" w:hAnsi="Arial"/>
          <w:sz w:val="12"/>
          <w:szCs w:val="12"/>
          <w:color w:val="auto"/>
        </w:rPr>
        <w:t>(a) Includes both SG&amp;A expense and Transaction costs from the consolidated statement of operations.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960" w:type="dxa"/>
            <w:vAlign w:val="bottom"/>
            <w:shd w:val="clear" w:color="auto" w:fill="1D2758"/>
          </w:tcPr>
          <w:p>
            <w:pPr>
              <w:spacing w:after="0"/>
              <w:rPr>
                <w:sz w:val="14"/>
                <w:szCs w:val="14"/>
                <w:color w:val="auto"/>
              </w:rPr>
            </w:pPr>
          </w:p>
        </w:tc>
        <w:tc>
          <w:tcPr>
            <w:tcW w:w="140" w:type="dxa"/>
            <w:vAlign w:val="bottom"/>
            <w:shd w:val="clear" w:color="auto" w:fill="1D2758"/>
          </w:tcPr>
          <w:p>
            <w:pPr>
              <w:spacing w:after="0"/>
              <w:rPr>
                <w:sz w:val="14"/>
                <w:szCs w:val="14"/>
                <w:color w:val="auto"/>
              </w:rPr>
            </w:pPr>
          </w:p>
        </w:tc>
        <w:tc>
          <w:tcPr>
            <w:tcW w:w="98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140" w:type="dxa"/>
            <w:vAlign w:val="bottom"/>
            <w:shd w:val="clear" w:color="auto" w:fill="1D2758"/>
          </w:tcPr>
          <w:p>
            <w:pPr>
              <w:spacing w:after="0"/>
              <w:rPr>
                <w:sz w:val="14"/>
                <w:szCs w:val="14"/>
                <w:color w:val="auto"/>
              </w:rPr>
            </w:pPr>
          </w:p>
        </w:tc>
        <w:tc>
          <w:tcPr>
            <w:tcW w:w="980" w:type="dxa"/>
            <w:vAlign w:val="bottom"/>
            <w:shd w:val="clear" w:color="auto" w:fill="1D2758"/>
          </w:tcPr>
          <w:p>
            <w:pPr>
              <w:spacing w:after="0"/>
              <w:rPr>
                <w:sz w:val="14"/>
                <w:szCs w:val="14"/>
                <w:color w:val="auto"/>
              </w:rPr>
            </w:pPr>
          </w:p>
        </w:tc>
        <w:tc>
          <w:tcPr>
            <w:tcW w:w="100" w:type="dxa"/>
            <w:vAlign w:val="bottom"/>
            <w:shd w:val="clear" w:color="auto" w:fill="1D2758"/>
          </w:tcPr>
          <w:p>
            <w:pPr>
              <w:spacing w:after="0"/>
              <w:rPr>
                <w:sz w:val="14"/>
                <w:szCs w:val="14"/>
                <w:color w:val="auto"/>
              </w:rPr>
            </w:pPr>
          </w:p>
        </w:tc>
        <w:tc>
          <w:tcPr>
            <w:tcW w:w="140" w:type="dxa"/>
            <w:vAlign w:val="bottom"/>
            <w:shd w:val="clear" w:color="auto" w:fill="1D2758"/>
          </w:tcPr>
          <w:p>
            <w:pPr>
              <w:spacing w:after="0"/>
              <w:rPr>
                <w:sz w:val="14"/>
                <w:szCs w:val="14"/>
                <w:color w:val="auto"/>
              </w:rPr>
            </w:pPr>
          </w:p>
        </w:tc>
        <w:tc>
          <w:tcPr>
            <w:tcW w:w="2180" w:type="dxa"/>
            <w:vAlign w:val="bottom"/>
            <w:gridSpan w:val="4"/>
            <w:shd w:val="clear" w:color="auto" w:fill="1D2758"/>
          </w:tcPr>
          <w:p>
            <w:pPr>
              <w:jc w:val="center"/>
              <w:spacing w:after="0"/>
              <w:rPr>
                <w:sz w:val="20"/>
                <w:szCs w:val="20"/>
                <w:color w:val="auto"/>
              </w:rPr>
            </w:pPr>
            <w:r>
              <w:rPr>
                <w:rFonts w:ascii="Arial" w:cs="Arial" w:eastAsia="Arial" w:hAnsi="Arial"/>
                <w:sz w:val="13"/>
                <w:szCs w:val="13"/>
                <w:b w:val="1"/>
                <w:bCs w:val="1"/>
                <w:color w:val="FFFFFF"/>
                <w:w w:val="99"/>
              </w:rPr>
              <w:t>Year Ended December 31, 2020</w:t>
            </w:r>
          </w:p>
        </w:tc>
        <w:tc>
          <w:tcPr>
            <w:tcW w:w="540" w:type="dxa"/>
            <w:vAlign w:val="bottom"/>
            <w:shd w:val="clear" w:color="auto" w:fill="1D2758"/>
          </w:tcPr>
          <w:p>
            <w:pPr>
              <w:spacing w:after="0"/>
              <w:rPr>
                <w:sz w:val="14"/>
                <w:szCs w:val="14"/>
                <w:color w:val="auto"/>
              </w:rPr>
            </w:pPr>
          </w:p>
        </w:tc>
        <w:tc>
          <w:tcPr>
            <w:tcW w:w="920" w:type="dxa"/>
            <w:vAlign w:val="bottom"/>
            <w:shd w:val="clear" w:color="auto" w:fill="1D2758"/>
          </w:tcPr>
          <w:p>
            <w:pPr>
              <w:spacing w:after="0"/>
              <w:rPr>
                <w:sz w:val="14"/>
                <w:szCs w:val="14"/>
                <w:color w:val="auto"/>
              </w:rPr>
            </w:pPr>
          </w:p>
        </w:tc>
        <w:tc>
          <w:tcPr>
            <w:tcW w:w="240" w:type="dxa"/>
            <w:vAlign w:val="bottom"/>
            <w:shd w:val="clear" w:color="auto" w:fill="1D2758"/>
          </w:tcPr>
          <w:p>
            <w:pPr>
              <w:spacing w:after="0"/>
              <w:rPr>
                <w:sz w:val="14"/>
                <w:szCs w:val="14"/>
                <w:color w:val="auto"/>
              </w:rPr>
            </w:pPr>
          </w:p>
        </w:tc>
        <w:tc>
          <w:tcPr>
            <w:tcW w:w="880" w:type="dxa"/>
            <w:vAlign w:val="bottom"/>
            <w:shd w:val="clear" w:color="auto" w:fill="1D2758"/>
          </w:tcPr>
          <w:p>
            <w:pPr>
              <w:spacing w:after="0"/>
              <w:rPr>
                <w:sz w:val="14"/>
                <w:szCs w:val="14"/>
                <w:color w:val="auto"/>
              </w:rPr>
            </w:pPr>
          </w:p>
        </w:tc>
      </w:tr>
      <w:tr>
        <w:trPr>
          <w:trHeight w:val="175"/>
        </w:trPr>
        <w:tc>
          <w:tcPr>
            <w:tcW w:w="396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140" w:type="dxa"/>
            <w:vAlign w:val="bottom"/>
            <w:shd w:val="clear" w:color="auto" w:fill="1D2758"/>
          </w:tcPr>
          <w:p>
            <w:pPr>
              <w:spacing w:after="0"/>
              <w:rPr>
                <w:sz w:val="15"/>
                <w:szCs w:val="15"/>
                <w:color w:val="auto"/>
              </w:rPr>
            </w:pPr>
          </w:p>
        </w:tc>
        <w:tc>
          <w:tcPr>
            <w:tcW w:w="1060" w:type="dxa"/>
            <w:vAlign w:val="bottom"/>
            <w:gridSpan w:val="2"/>
            <w:shd w:val="clear" w:color="auto" w:fill="1D2758"/>
          </w:tcPr>
          <w:p>
            <w:pPr>
              <w:ind w:left="40"/>
              <w:spacing w:after="0"/>
              <w:rPr>
                <w:sz w:val="20"/>
                <w:szCs w:val="20"/>
                <w:color w:val="auto"/>
              </w:rPr>
            </w:pPr>
            <w:r>
              <w:rPr>
                <w:rFonts w:ascii="Arial" w:cs="Arial" w:eastAsia="Arial" w:hAnsi="Arial"/>
                <w:sz w:val="13"/>
                <w:szCs w:val="13"/>
                <w:b w:val="1"/>
                <w:bCs w:val="1"/>
                <w:color w:val="FFFFFF"/>
              </w:rPr>
              <w:t>NA Modular</w:t>
            </w:r>
          </w:p>
        </w:tc>
        <w:tc>
          <w:tcPr>
            <w:tcW w:w="140" w:type="dxa"/>
            <w:vAlign w:val="bottom"/>
            <w:shd w:val="clear" w:color="auto" w:fill="1D2758"/>
          </w:tcPr>
          <w:p>
            <w:pPr>
              <w:spacing w:after="0"/>
              <w:rPr>
                <w:sz w:val="15"/>
                <w:szCs w:val="15"/>
                <w:color w:val="auto"/>
              </w:rPr>
            </w:pPr>
          </w:p>
        </w:tc>
        <w:tc>
          <w:tcPr>
            <w:tcW w:w="1080" w:type="dxa"/>
            <w:vAlign w:val="bottom"/>
            <w:gridSpan w:val="2"/>
            <w:shd w:val="clear" w:color="auto" w:fill="1D2758"/>
          </w:tcPr>
          <w:p>
            <w:pPr>
              <w:ind w:left="60"/>
              <w:spacing w:after="0"/>
              <w:rPr>
                <w:sz w:val="20"/>
                <w:szCs w:val="20"/>
                <w:color w:val="auto"/>
              </w:rPr>
            </w:pPr>
            <w:r>
              <w:rPr>
                <w:rFonts w:ascii="Arial" w:cs="Arial" w:eastAsia="Arial" w:hAnsi="Arial"/>
                <w:sz w:val="13"/>
                <w:szCs w:val="13"/>
                <w:b w:val="1"/>
                <w:bCs w:val="1"/>
                <w:color w:val="FFFFFF"/>
              </w:rPr>
              <w:t>NA Storage</w:t>
            </w:r>
          </w:p>
        </w:tc>
        <w:tc>
          <w:tcPr>
            <w:tcW w:w="140" w:type="dxa"/>
            <w:vAlign w:val="bottom"/>
            <w:shd w:val="clear" w:color="auto" w:fill="1D2758"/>
          </w:tcPr>
          <w:p>
            <w:pPr>
              <w:spacing w:after="0"/>
              <w:rPr>
                <w:sz w:val="15"/>
                <w:szCs w:val="15"/>
                <w:color w:val="auto"/>
              </w:rPr>
            </w:pPr>
          </w:p>
        </w:tc>
        <w:tc>
          <w:tcPr>
            <w:tcW w:w="1060" w:type="dxa"/>
            <w:vAlign w:val="bottom"/>
            <w:gridSpan w:val="2"/>
            <w:shd w:val="clear" w:color="auto" w:fill="1D2758"/>
          </w:tcPr>
          <w:p>
            <w:pPr>
              <w:ind w:left="60"/>
              <w:spacing w:after="0"/>
              <w:rPr>
                <w:sz w:val="20"/>
                <w:szCs w:val="20"/>
                <w:color w:val="auto"/>
              </w:rPr>
            </w:pPr>
            <w:r>
              <w:rPr>
                <w:rFonts w:ascii="Arial" w:cs="Arial" w:eastAsia="Arial" w:hAnsi="Arial"/>
                <w:sz w:val="13"/>
                <w:szCs w:val="13"/>
                <w:b w:val="1"/>
                <w:bCs w:val="1"/>
                <w:color w:val="FFFFFF"/>
              </w:rPr>
              <w:t>UK Storage</w:t>
            </w:r>
          </w:p>
        </w:tc>
        <w:tc>
          <w:tcPr>
            <w:tcW w:w="1120" w:type="dxa"/>
            <w:vAlign w:val="bottom"/>
            <w:gridSpan w:val="2"/>
            <w:shd w:val="clear" w:color="auto" w:fill="1D2758"/>
          </w:tcPr>
          <w:p>
            <w:pPr>
              <w:jc w:val="right"/>
              <w:ind w:right="14"/>
              <w:spacing w:after="0"/>
              <w:rPr>
                <w:sz w:val="20"/>
                <w:szCs w:val="20"/>
                <w:color w:val="auto"/>
              </w:rPr>
            </w:pPr>
            <w:r>
              <w:rPr>
                <w:rFonts w:ascii="Arial" w:cs="Arial" w:eastAsia="Arial" w:hAnsi="Arial"/>
                <w:sz w:val="13"/>
                <w:szCs w:val="13"/>
                <w:b w:val="1"/>
                <w:bCs w:val="1"/>
                <w:color w:val="FFFFFF"/>
              </w:rPr>
              <w:t>Tank and Pump</w:t>
            </w:r>
          </w:p>
        </w:tc>
        <w:tc>
          <w:tcPr>
            <w:tcW w:w="1460" w:type="dxa"/>
            <w:vAlign w:val="bottom"/>
            <w:gridSpan w:val="2"/>
            <w:shd w:val="clear" w:color="auto" w:fill="1D2758"/>
          </w:tcPr>
          <w:p>
            <w:pPr>
              <w:jc w:val="right"/>
              <w:ind w:right="94"/>
              <w:spacing w:after="0"/>
              <w:rPr>
                <w:sz w:val="20"/>
                <w:szCs w:val="20"/>
                <w:color w:val="auto"/>
              </w:rPr>
            </w:pPr>
            <w:r>
              <w:rPr>
                <w:rFonts w:ascii="Arial" w:cs="Arial" w:eastAsia="Arial" w:hAnsi="Arial"/>
                <w:sz w:val="13"/>
                <w:szCs w:val="13"/>
                <w:b w:val="1"/>
                <w:bCs w:val="1"/>
                <w:color w:val="FFFFFF"/>
              </w:rPr>
              <w:t>Unallocated Costs</w:t>
            </w:r>
          </w:p>
        </w:tc>
        <w:tc>
          <w:tcPr>
            <w:tcW w:w="240" w:type="dxa"/>
            <w:vAlign w:val="bottom"/>
            <w:shd w:val="clear" w:color="auto" w:fill="1D2758"/>
          </w:tcPr>
          <w:p>
            <w:pPr>
              <w:spacing w:after="0"/>
              <w:rPr>
                <w:sz w:val="15"/>
                <w:szCs w:val="15"/>
                <w:color w:val="auto"/>
              </w:rPr>
            </w:pPr>
          </w:p>
        </w:tc>
        <w:tc>
          <w:tcPr>
            <w:tcW w:w="880" w:type="dxa"/>
            <w:vAlign w:val="bottom"/>
            <w:shd w:val="clear" w:color="auto" w:fill="1D2758"/>
          </w:tcPr>
          <w:p>
            <w:pPr>
              <w:jc w:val="right"/>
              <w:ind w:right="354"/>
              <w:spacing w:after="0"/>
              <w:rPr>
                <w:sz w:val="20"/>
                <w:szCs w:val="20"/>
                <w:color w:val="auto"/>
              </w:rPr>
            </w:pPr>
            <w:r>
              <w:rPr>
                <w:rFonts w:ascii="Arial" w:cs="Arial" w:eastAsia="Arial" w:hAnsi="Arial"/>
                <w:sz w:val="13"/>
                <w:szCs w:val="13"/>
                <w:b w:val="1"/>
                <w:bCs w:val="1"/>
                <w:color w:val="FFFFFF"/>
              </w:rPr>
              <w:t>Total</w:t>
            </w:r>
          </w:p>
        </w:tc>
      </w:tr>
      <w:tr>
        <w:trPr>
          <w:trHeight w:val="175"/>
        </w:trPr>
        <w:tc>
          <w:tcPr>
            <w:tcW w:w="3960" w:type="dxa"/>
            <w:vAlign w:val="bottom"/>
            <w:shd w:val="clear" w:color="auto" w:fill="DBDBDB"/>
          </w:tcPr>
          <w:p>
            <w:pPr>
              <w:ind w:left="20"/>
              <w:spacing w:after="0"/>
              <w:rPr>
                <w:sz w:val="20"/>
                <w:szCs w:val="20"/>
                <w:color w:val="auto"/>
              </w:rPr>
            </w:pPr>
            <w:r>
              <w:rPr>
                <w:rFonts w:ascii="Arial" w:cs="Arial" w:eastAsia="Arial" w:hAnsi="Arial"/>
                <w:sz w:val="13"/>
                <w:szCs w:val="13"/>
                <w:color w:val="auto"/>
              </w:rPr>
              <w:t>Revenues:</w:t>
            </w: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760" w:type="dxa"/>
            <w:vAlign w:val="bottom"/>
            <w:shd w:val="clear" w:color="auto" w:fill="DBDBDB"/>
          </w:tcPr>
          <w:p>
            <w:pPr>
              <w:spacing w:after="0"/>
              <w:rPr>
                <w:sz w:val="15"/>
                <w:szCs w:val="15"/>
                <w:color w:val="auto"/>
              </w:rPr>
            </w:pPr>
          </w:p>
        </w:tc>
        <w:tc>
          <w:tcPr>
            <w:tcW w:w="54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880" w:type="dxa"/>
            <w:vAlign w:val="bottom"/>
            <w:shd w:val="clear" w:color="auto" w:fill="DBDBDB"/>
          </w:tcPr>
          <w:p>
            <w:pPr>
              <w:spacing w:after="0"/>
              <w:rPr>
                <w:sz w:val="15"/>
                <w:szCs w:val="15"/>
                <w:color w:val="auto"/>
              </w:rPr>
            </w:pPr>
          </w:p>
        </w:tc>
      </w:tr>
      <w:tr>
        <w:trPr>
          <w:trHeight w:val="172"/>
        </w:trPr>
        <w:tc>
          <w:tcPr>
            <w:tcW w:w="3960" w:type="dxa"/>
            <w:vAlign w:val="bottom"/>
          </w:tcPr>
          <w:p>
            <w:pPr>
              <w:ind w:left="20"/>
              <w:spacing w:after="0"/>
              <w:rPr>
                <w:sz w:val="20"/>
                <w:szCs w:val="20"/>
                <w:color w:val="auto"/>
              </w:rPr>
            </w:pPr>
            <w:r>
              <w:rPr>
                <w:rFonts w:ascii="Arial" w:cs="Arial" w:eastAsia="Arial" w:hAnsi="Arial"/>
                <w:sz w:val="13"/>
                <w:szCs w:val="13"/>
                <w:color w:val="auto"/>
              </w:rPr>
              <w:t>Leasing and services revenue:</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8"/>
        </w:trPr>
        <w:tc>
          <w:tcPr>
            <w:tcW w:w="39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Leasing</w:t>
            </w: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770,330</w:t>
            </w: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166,128</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32,633</w:t>
            </w: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jc w:val="center"/>
              <w:ind w:right="194"/>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32,356</w:t>
            </w:r>
          </w:p>
        </w:tc>
        <w:tc>
          <w:tcPr>
            <w:tcW w:w="54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2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1,001,447</w:t>
            </w:r>
          </w:p>
        </w:tc>
      </w:tr>
      <w:tr>
        <w:trPr>
          <w:trHeight w:val="172"/>
        </w:trPr>
        <w:tc>
          <w:tcPr>
            <w:tcW w:w="3960" w:type="dxa"/>
            <w:vAlign w:val="bottom"/>
          </w:tcPr>
          <w:p>
            <w:pPr>
              <w:ind w:left="200"/>
              <w:spacing w:after="0"/>
              <w:rPr>
                <w:sz w:val="20"/>
                <w:szCs w:val="20"/>
                <w:color w:val="auto"/>
              </w:rPr>
            </w:pPr>
            <w:r>
              <w:rPr>
                <w:rFonts w:ascii="Arial" w:cs="Arial" w:eastAsia="Arial" w:hAnsi="Arial"/>
                <w:sz w:val="13"/>
                <w:szCs w:val="13"/>
                <w:color w:val="auto"/>
              </w:rPr>
              <w:t>Delivery and installation</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208,079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42,655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9,409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14,013</w:t>
            </w: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274,156</w:t>
            </w:r>
          </w:p>
        </w:tc>
      </w:tr>
      <w:tr>
        <w:trPr>
          <w:trHeight w:val="178"/>
        </w:trPr>
        <w:tc>
          <w:tcPr>
            <w:tcW w:w="3960" w:type="dxa"/>
            <w:vAlign w:val="bottom"/>
            <w:shd w:val="clear" w:color="auto" w:fill="DBDBDB"/>
          </w:tcPr>
          <w:p>
            <w:pPr>
              <w:ind w:left="20"/>
              <w:spacing w:after="0"/>
              <w:rPr>
                <w:sz w:val="20"/>
                <w:szCs w:val="20"/>
                <w:color w:val="auto"/>
              </w:rPr>
            </w:pPr>
            <w:r>
              <w:rPr>
                <w:rFonts w:ascii="Arial" w:cs="Arial" w:eastAsia="Arial" w:hAnsi="Arial"/>
                <w:sz w:val="13"/>
                <w:szCs w:val="13"/>
                <w:color w:val="auto"/>
              </w:rPr>
              <w:t>Sales revenue:</w:t>
            </w: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760" w:type="dxa"/>
            <w:vAlign w:val="bottom"/>
            <w:shd w:val="clear" w:color="auto" w:fill="DBDBDB"/>
          </w:tcPr>
          <w:p>
            <w:pPr>
              <w:spacing w:after="0"/>
              <w:rPr>
                <w:sz w:val="15"/>
                <w:szCs w:val="15"/>
                <w:color w:val="auto"/>
              </w:rPr>
            </w:pPr>
          </w:p>
        </w:tc>
        <w:tc>
          <w:tcPr>
            <w:tcW w:w="54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880" w:type="dxa"/>
            <w:vAlign w:val="bottom"/>
            <w:shd w:val="clear" w:color="auto" w:fill="DBDBDB"/>
          </w:tcPr>
          <w:p>
            <w:pPr>
              <w:spacing w:after="0"/>
              <w:rPr>
                <w:sz w:val="15"/>
                <w:szCs w:val="15"/>
                <w:color w:val="auto"/>
              </w:rPr>
            </w:pPr>
          </w:p>
        </w:tc>
      </w:tr>
      <w:tr>
        <w:trPr>
          <w:trHeight w:val="172"/>
        </w:trPr>
        <w:tc>
          <w:tcPr>
            <w:tcW w:w="3960" w:type="dxa"/>
            <w:vAlign w:val="bottom"/>
          </w:tcPr>
          <w:p>
            <w:pPr>
              <w:ind w:left="200"/>
              <w:spacing w:after="0"/>
              <w:rPr>
                <w:sz w:val="20"/>
                <w:szCs w:val="20"/>
                <w:color w:val="auto"/>
              </w:rPr>
            </w:pPr>
            <w:r>
              <w:rPr>
                <w:rFonts w:ascii="Arial" w:cs="Arial" w:eastAsia="Arial" w:hAnsi="Arial"/>
                <w:sz w:val="13"/>
                <w:szCs w:val="13"/>
                <w:color w:val="auto"/>
              </w:rPr>
              <w:t>New units</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41,858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6,976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3,124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1,135</w:t>
            </w: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53,093</w:t>
            </w:r>
          </w:p>
        </w:tc>
      </w:tr>
      <w:tr>
        <w:trPr>
          <w:trHeight w:val="178"/>
        </w:trPr>
        <w:tc>
          <w:tcPr>
            <w:tcW w:w="39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Rental units</w:t>
            </w:r>
          </w:p>
        </w:tc>
        <w:tc>
          <w:tcPr>
            <w:tcW w:w="14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30,895</w:t>
            </w:r>
          </w:p>
        </w:tc>
        <w:tc>
          <w:tcPr>
            <w:tcW w:w="80" w:type="dxa"/>
            <w:vAlign w:val="bottom"/>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6,070</w:t>
            </w:r>
          </w:p>
        </w:tc>
        <w:tc>
          <w:tcPr>
            <w:tcW w:w="100" w:type="dxa"/>
            <w:vAlign w:val="bottom"/>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1,195</w:t>
            </w:r>
          </w:p>
        </w:tc>
        <w:tc>
          <w:tcPr>
            <w:tcW w:w="80" w:type="dxa"/>
            <w:vAlign w:val="bottom"/>
            <w:shd w:val="clear" w:color="auto" w:fill="DBDBDB"/>
          </w:tcPr>
          <w:p>
            <w:pPr>
              <w:spacing w:after="0"/>
              <w:rPr>
                <w:sz w:val="15"/>
                <w:szCs w:val="15"/>
                <w:color w:val="auto"/>
              </w:rPr>
            </w:pPr>
          </w:p>
        </w:tc>
        <w:tc>
          <w:tcPr>
            <w:tcW w:w="360" w:type="dxa"/>
            <w:vAlign w:val="bottom"/>
            <w:tcBorders>
              <w:bottom w:val="single" w:sz="8" w:color="auto"/>
            </w:tcBorders>
            <w:shd w:val="clear" w:color="auto" w:fill="DBDBDB"/>
          </w:tcPr>
          <w:p>
            <w:pPr>
              <w:spacing w:after="0"/>
              <w:rPr>
                <w:sz w:val="15"/>
                <w:szCs w:val="15"/>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789</w:t>
            </w:r>
          </w:p>
        </w:tc>
        <w:tc>
          <w:tcPr>
            <w:tcW w:w="54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240" w:type="dxa"/>
            <w:vAlign w:val="bottom"/>
            <w:tcBorders>
              <w:bottom w:val="single" w:sz="8" w:color="auto"/>
            </w:tcBorders>
            <w:shd w:val="clear" w:color="auto" w:fill="DBDBDB"/>
          </w:tcPr>
          <w:p>
            <w:pPr>
              <w:spacing w:after="0"/>
              <w:rPr>
                <w:sz w:val="15"/>
                <w:szCs w:val="15"/>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38,949</w:t>
            </w:r>
          </w:p>
        </w:tc>
      </w:tr>
      <w:tr>
        <w:trPr>
          <w:trHeight w:val="163"/>
        </w:trPr>
        <w:tc>
          <w:tcPr>
            <w:tcW w:w="3960" w:type="dxa"/>
            <w:vAlign w:val="bottom"/>
          </w:tcPr>
          <w:p>
            <w:pPr>
              <w:ind w:left="380"/>
              <w:spacing w:after="0"/>
              <w:rPr>
                <w:sz w:val="20"/>
                <w:szCs w:val="20"/>
                <w:color w:val="auto"/>
              </w:rPr>
            </w:pPr>
            <w:r>
              <w:rPr>
                <w:rFonts w:ascii="Arial" w:cs="Arial" w:eastAsia="Arial" w:hAnsi="Arial"/>
                <w:sz w:val="13"/>
                <w:szCs w:val="13"/>
                <w:color w:val="auto"/>
              </w:rPr>
              <w:t>Total Revenues</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1,051,162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221,829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46,361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48,293</w:t>
            </w: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1,367,645</w:t>
            </w:r>
          </w:p>
        </w:tc>
      </w:tr>
      <w:tr>
        <w:trPr>
          <w:trHeight w:val="210"/>
        </w:trPr>
        <w:tc>
          <w:tcPr>
            <w:tcW w:w="39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54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r>
      <w:tr>
        <w:trPr>
          <w:trHeight w:val="172"/>
        </w:trPr>
        <w:tc>
          <w:tcPr>
            <w:tcW w:w="3960" w:type="dxa"/>
            <w:vAlign w:val="bottom"/>
          </w:tcPr>
          <w:p>
            <w:pPr>
              <w:ind w:left="20"/>
              <w:spacing w:after="0"/>
              <w:rPr>
                <w:sz w:val="20"/>
                <w:szCs w:val="20"/>
                <w:color w:val="auto"/>
              </w:rPr>
            </w:pPr>
            <w:r>
              <w:rPr>
                <w:rFonts w:ascii="Arial" w:cs="Arial" w:eastAsia="Arial" w:hAnsi="Arial"/>
                <w:sz w:val="13"/>
                <w:szCs w:val="13"/>
                <w:color w:val="auto"/>
              </w:rPr>
              <w:t>Costs:</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8"/>
        </w:trPr>
        <w:tc>
          <w:tcPr>
            <w:tcW w:w="3960" w:type="dxa"/>
            <w:vAlign w:val="bottom"/>
            <w:shd w:val="clear" w:color="auto" w:fill="DBDBDB"/>
          </w:tcPr>
          <w:p>
            <w:pPr>
              <w:ind w:left="20"/>
              <w:spacing w:after="0"/>
              <w:rPr>
                <w:sz w:val="20"/>
                <w:szCs w:val="20"/>
                <w:color w:val="auto"/>
              </w:rPr>
            </w:pPr>
            <w:r>
              <w:rPr>
                <w:rFonts w:ascii="Arial" w:cs="Arial" w:eastAsia="Arial" w:hAnsi="Arial"/>
                <w:sz w:val="13"/>
                <w:szCs w:val="13"/>
                <w:color w:val="auto"/>
              </w:rPr>
              <w:t>Cost of leasing and services:</w:t>
            </w: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760" w:type="dxa"/>
            <w:vAlign w:val="bottom"/>
            <w:shd w:val="clear" w:color="auto" w:fill="DBDBDB"/>
          </w:tcPr>
          <w:p>
            <w:pPr>
              <w:spacing w:after="0"/>
              <w:rPr>
                <w:sz w:val="15"/>
                <w:szCs w:val="15"/>
                <w:color w:val="auto"/>
              </w:rPr>
            </w:pPr>
          </w:p>
        </w:tc>
        <w:tc>
          <w:tcPr>
            <w:tcW w:w="54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880" w:type="dxa"/>
            <w:vAlign w:val="bottom"/>
            <w:shd w:val="clear" w:color="auto" w:fill="DBDBDB"/>
          </w:tcPr>
          <w:p>
            <w:pPr>
              <w:spacing w:after="0"/>
              <w:rPr>
                <w:sz w:val="15"/>
                <w:szCs w:val="15"/>
                <w:color w:val="auto"/>
              </w:rPr>
            </w:pPr>
          </w:p>
        </w:tc>
      </w:tr>
      <w:tr>
        <w:trPr>
          <w:trHeight w:val="172"/>
        </w:trPr>
        <w:tc>
          <w:tcPr>
            <w:tcW w:w="3960" w:type="dxa"/>
            <w:vAlign w:val="bottom"/>
          </w:tcPr>
          <w:p>
            <w:pPr>
              <w:ind w:left="200"/>
              <w:spacing w:after="0"/>
              <w:rPr>
                <w:sz w:val="20"/>
                <w:szCs w:val="20"/>
                <w:color w:val="auto"/>
              </w:rPr>
            </w:pPr>
            <w:r>
              <w:rPr>
                <w:rFonts w:ascii="Arial" w:cs="Arial" w:eastAsia="Arial" w:hAnsi="Arial"/>
                <w:sz w:val="13"/>
                <w:szCs w:val="13"/>
                <w:color w:val="auto"/>
              </w:rPr>
              <w:t>Leasing</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194,442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19,925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7,391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5,618</w:t>
            </w: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227,376</w:t>
            </w:r>
          </w:p>
        </w:tc>
      </w:tr>
      <w:tr>
        <w:trPr>
          <w:trHeight w:val="178"/>
        </w:trPr>
        <w:tc>
          <w:tcPr>
            <w:tcW w:w="39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Delivery and installation</w:t>
            </w: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175,705</w:t>
            </w: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27,029</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6,353</w:t>
            </w: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11,015</w:t>
            </w:r>
          </w:p>
        </w:tc>
        <w:tc>
          <w:tcPr>
            <w:tcW w:w="54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220,102</w:t>
            </w:r>
          </w:p>
        </w:tc>
      </w:tr>
      <w:tr>
        <w:trPr>
          <w:trHeight w:val="172"/>
        </w:trPr>
        <w:tc>
          <w:tcPr>
            <w:tcW w:w="3960" w:type="dxa"/>
            <w:vAlign w:val="bottom"/>
          </w:tcPr>
          <w:p>
            <w:pPr>
              <w:ind w:left="20"/>
              <w:spacing w:after="0"/>
              <w:rPr>
                <w:sz w:val="20"/>
                <w:szCs w:val="20"/>
                <w:color w:val="auto"/>
              </w:rPr>
            </w:pPr>
            <w:r>
              <w:rPr>
                <w:rFonts w:ascii="Arial" w:cs="Arial" w:eastAsia="Arial" w:hAnsi="Arial"/>
                <w:sz w:val="13"/>
                <w:szCs w:val="13"/>
                <w:color w:val="auto"/>
              </w:rPr>
              <w:t>Cost of sales:</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8"/>
        </w:trPr>
        <w:tc>
          <w:tcPr>
            <w:tcW w:w="39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New units</w:t>
            </w: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27,555</w:t>
            </w: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4,244</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2,301</w:t>
            </w: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741</w:t>
            </w:r>
          </w:p>
        </w:tc>
        <w:tc>
          <w:tcPr>
            <w:tcW w:w="54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34,841</w:t>
            </w:r>
          </w:p>
        </w:tc>
      </w:tr>
      <w:tr>
        <w:trPr>
          <w:trHeight w:val="172"/>
        </w:trPr>
        <w:tc>
          <w:tcPr>
            <w:tcW w:w="3960" w:type="dxa"/>
            <w:vAlign w:val="bottom"/>
          </w:tcPr>
          <w:p>
            <w:pPr>
              <w:ind w:left="200"/>
              <w:spacing w:after="0"/>
              <w:rPr>
                <w:sz w:val="20"/>
                <w:szCs w:val="20"/>
                <w:color w:val="auto"/>
              </w:rPr>
            </w:pPr>
            <w:r>
              <w:rPr>
                <w:rFonts w:ascii="Arial" w:cs="Arial" w:eastAsia="Arial" w:hAnsi="Arial"/>
                <w:sz w:val="13"/>
                <w:szCs w:val="13"/>
                <w:color w:val="auto"/>
              </w:rPr>
              <w:t>Rental units</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19,213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4,261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1,026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272</w:t>
            </w: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24,772</w:t>
            </w:r>
          </w:p>
        </w:tc>
      </w:tr>
      <w:tr>
        <w:trPr>
          <w:trHeight w:val="178"/>
        </w:trPr>
        <w:tc>
          <w:tcPr>
            <w:tcW w:w="3960" w:type="dxa"/>
            <w:vAlign w:val="bottom"/>
            <w:shd w:val="clear" w:color="auto" w:fill="DBDBDB"/>
          </w:tcPr>
          <w:p>
            <w:pPr>
              <w:ind w:left="20"/>
              <w:spacing w:after="0"/>
              <w:rPr>
                <w:sz w:val="20"/>
                <w:szCs w:val="20"/>
                <w:color w:val="auto"/>
              </w:rPr>
            </w:pPr>
            <w:r>
              <w:rPr>
                <w:rFonts w:ascii="Arial" w:cs="Arial" w:eastAsia="Arial" w:hAnsi="Arial"/>
                <w:sz w:val="13"/>
                <w:szCs w:val="13"/>
                <w:color w:val="auto"/>
              </w:rPr>
              <w:t>Depreciation of rental equipment</w:t>
            </w:r>
          </w:p>
        </w:tc>
        <w:tc>
          <w:tcPr>
            <w:tcW w:w="14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182,605</w:t>
            </w:r>
          </w:p>
        </w:tc>
        <w:tc>
          <w:tcPr>
            <w:tcW w:w="80" w:type="dxa"/>
            <w:vAlign w:val="bottom"/>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9,585</w:t>
            </w:r>
          </w:p>
        </w:tc>
        <w:tc>
          <w:tcPr>
            <w:tcW w:w="100" w:type="dxa"/>
            <w:vAlign w:val="bottom"/>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1,648</w:t>
            </w:r>
          </w:p>
        </w:tc>
        <w:tc>
          <w:tcPr>
            <w:tcW w:w="80" w:type="dxa"/>
            <w:vAlign w:val="bottom"/>
            <w:shd w:val="clear" w:color="auto" w:fill="DBDBDB"/>
          </w:tcPr>
          <w:p>
            <w:pPr>
              <w:spacing w:after="0"/>
              <w:rPr>
                <w:sz w:val="15"/>
                <w:szCs w:val="15"/>
                <w:color w:val="auto"/>
              </w:rPr>
            </w:pPr>
          </w:p>
        </w:tc>
        <w:tc>
          <w:tcPr>
            <w:tcW w:w="360" w:type="dxa"/>
            <w:vAlign w:val="bottom"/>
            <w:tcBorders>
              <w:bottom w:val="single" w:sz="8" w:color="auto"/>
            </w:tcBorders>
            <w:shd w:val="clear" w:color="auto" w:fill="DBDBDB"/>
          </w:tcPr>
          <w:p>
            <w:pPr>
              <w:spacing w:after="0"/>
              <w:rPr>
                <w:sz w:val="15"/>
                <w:szCs w:val="15"/>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6,743</w:t>
            </w:r>
          </w:p>
        </w:tc>
        <w:tc>
          <w:tcPr>
            <w:tcW w:w="54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240" w:type="dxa"/>
            <w:vAlign w:val="bottom"/>
            <w:tcBorders>
              <w:bottom w:val="single" w:sz="8" w:color="auto"/>
            </w:tcBorders>
            <w:shd w:val="clear" w:color="auto" w:fill="DBDBDB"/>
          </w:tcPr>
          <w:p>
            <w:pPr>
              <w:spacing w:after="0"/>
              <w:rPr>
                <w:sz w:val="15"/>
                <w:szCs w:val="15"/>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200,581</w:t>
            </w:r>
          </w:p>
        </w:tc>
      </w:tr>
      <w:tr>
        <w:trPr>
          <w:trHeight w:val="163"/>
        </w:trPr>
        <w:tc>
          <w:tcPr>
            <w:tcW w:w="3960" w:type="dxa"/>
            <w:vAlign w:val="bottom"/>
          </w:tcPr>
          <w:p>
            <w:pPr>
              <w:ind w:left="200"/>
              <w:spacing w:after="0"/>
              <w:rPr>
                <w:sz w:val="20"/>
                <w:szCs w:val="20"/>
                <w:color w:val="auto"/>
              </w:rPr>
            </w:pPr>
            <w:r>
              <w:rPr>
                <w:rFonts w:ascii="Arial" w:cs="Arial" w:eastAsia="Arial" w:hAnsi="Arial"/>
                <w:sz w:val="13"/>
                <w:szCs w:val="13"/>
                <w:color w:val="auto"/>
              </w:rPr>
              <w:t>Gross profit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451,642</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156,785</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27,642</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center"/>
              <w:ind w:right="194"/>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23,904</w:t>
            </w: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659,973</w:t>
            </w:r>
          </w:p>
        </w:tc>
      </w:tr>
      <w:tr>
        <w:trPr>
          <w:trHeight w:val="20"/>
        </w:trPr>
        <w:tc>
          <w:tcPr>
            <w:tcW w:w="396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DBDBDB"/>
            </w:tcBorders>
          </w:tcPr>
          <w:p>
            <w:pPr>
              <w:spacing w:after="0" w:line="20" w:lineRule="exact"/>
              <w:rPr>
                <w:sz w:val="1"/>
                <w:szCs w:val="1"/>
                <w:color w:val="auto"/>
              </w:rPr>
            </w:pPr>
          </w:p>
        </w:tc>
        <w:tc>
          <w:tcPr>
            <w:tcW w:w="920" w:type="dxa"/>
            <w:vAlign w:val="bottom"/>
            <w:tcBorders>
              <w:bottom w:val="single" w:sz="8" w:color="DBDBDB"/>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39"/>
        </w:trPr>
        <w:tc>
          <w:tcPr>
            <w:tcW w:w="3960" w:type="dxa"/>
            <w:vAlign w:val="bottom"/>
            <w:shd w:val="clear" w:color="auto" w:fill="DBDBDB"/>
          </w:tcPr>
          <w:p>
            <w:pPr>
              <w:ind w:left="20"/>
              <w:spacing w:after="0" w:line="137" w:lineRule="exact"/>
              <w:rPr>
                <w:sz w:val="20"/>
                <w:szCs w:val="20"/>
                <w:color w:val="auto"/>
              </w:rPr>
            </w:pPr>
            <w:r>
              <w:rPr>
                <w:rFonts w:ascii="Arial" w:cs="Arial" w:eastAsia="Arial" w:hAnsi="Arial"/>
                <w:sz w:val="13"/>
                <w:szCs w:val="13"/>
                <w:color w:val="auto"/>
              </w:rPr>
              <w:t>Other selected data:</w:t>
            </w:r>
          </w:p>
        </w:tc>
        <w:tc>
          <w:tcPr>
            <w:tcW w:w="140" w:type="dxa"/>
            <w:vAlign w:val="bottom"/>
            <w:shd w:val="clear" w:color="auto" w:fill="DBDBDB"/>
          </w:tcPr>
          <w:p>
            <w:pPr>
              <w:spacing w:after="0"/>
              <w:rPr>
                <w:sz w:val="12"/>
                <w:szCs w:val="12"/>
                <w:color w:val="auto"/>
              </w:rPr>
            </w:pPr>
          </w:p>
        </w:tc>
        <w:tc>
          <w:tcPr>
            <w:tcW w:w="9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9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9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360" w:type="dxa"/>
            <w:vAlign w:val="bottom"/>
            <w:shd w:val="clear" w:color="auto" w:fill="DBDBDB"/>
          </w:tcPr>
          <w:p>
            <w:pPr>
              <w:spacing w:after="0"/>
              <w:rPr>
                <w:sz w:val="12"/>
                <w:szCs w:val="12"/>
                <w:color w:val="auto"/>
              </w:rPr>
            </w:pPr>
          </w:p>
        </w:tc>
        <w:tc>
          <w:tcPr>
            <w:tcW w:w="760" w:type="dxa"/>
            <w:vAlign w:val="bottom"/>
            <w:shd w:val="clear" w:color="auto" w:fill="DBDBDB"/>
          </w:tcPr>
          <w:p>
            <w:pPr>
              <w:spacing w:after="0"/>
              <w:rPr>
                <w:sz w:val="12"/>
                <w:szCs w:val="12"/>
                <w:color w:val="auto"/>
              </w:rPr>
            </w:pPr>
          </w:p>
        </w:tc>
        <w:tc>
          <w:tcPr>
            <w:tcW w:w="540" w:type="dxa"/>
            <w:vAlign w:val="bottom"/>
            <w:shd w:val="clear" w:color="auto" w:fill="DBDBDB"/>
          </w:tcPr>
          <w:p>
            <w:pPr>
              <w:spacing w:after="0"/>
              <w:rPr>
                <w:sz w:val="12"/>
                <w:szCs w:val="12"/>
                <w:color w:val="auto"/>
              </w:rPr>
            </w:pPr>
          </w:p>
        </w:tc>
        <w:tc>
          <w:tcPr>
            <w:tcW w:w="920" w:type="dxa"/>
            <w:vAlign w:val="bottom"/>
            <w:shd w:val="clear" w:color="auto" w:fill="DBDBDB"/>
          </w:tcPr>
          <w:p>
            <w:pPr>
              <w:spacing w:after="0"/>
              <w:rPr>
                <w:sz w:val="12"/>
                <w:szCs w:val="12"/>
                <w:color w:val="auto"/>
              </w:rPr>
            </w:pPr>
          </w:p>
        </w:tc>
        <w:tc>
          <w:tcPr>
            <w:tcW w:w="24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r>
      <w:tr>
        <w:trPr>
          <w:trHeight w:val="172"/>
        </w:trPr>
        <w:tc>
          <w:tcPr>
            <w:tcW w:w="3960" w:type="dxa"/>
            <w:vAlign w:val="bottom"/>
          </w:tcPr>
          <w:p>
            <w:pPr>
              <w:ind w:left="200"/>
              <w:spacing w:after="0"/>
              <w:rPr>
                <w:sz w:val="20"/>
                <w:szCs w:val="20"/>
                <w:color w:val="auto"/>
              </w:rPr>
            </w:pPr>
            <w:r>
              <w:rPr>
                <w:rFonts w:ascii="Arial" w:cs="Arial" w:eastAsia="Arial" w:hAnsi="Arial"/>
                <w:sz w:val="13"/>
                <w:szCs w:val="13"/>
                <w:color w:val="auto"/>
              </w:rPr>
              <w:t>Adjusted EBITDA</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394,805</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99,837</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17,822</w:t>
            </w:r>
          </w:p>
        </w:tc>
        <w:tc>
          <w:tcPr>
            <w:tcW w:w="80" w:type="dxa"/>
            <w:vAlign w:val="bottom"/>
          </w:tcPr>
          <w:p>
            <w:pPr>
              <w:spacing w:after="0"/>
              <w:rPr>
                <w:sz w:val="14"/>
                <w:szCs w:val="14"/>
                <w:color w:val="auto"/>
              </w:rPr>
            </w:pPr>
          </w:p>
        </w:tc>
        <w:tc>
          <w:tcPr>
            <w:tcW w:w="360" w:type="dxa"/>
            <w:vAlign w:val="bottom"/>
          </w:tcPr>
          <w:p>
            <w:pPr>
              <w:jc w:val="center"/>
              <w:ind w:right="194"/>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17,843</w:t>
            </w:r>
          </w:p>
        </w:tc>
        <w:tc>
          <w:tcPr>
            <w:tcW w:w="540" w:type="dxa"/>
            <w:vAlign w:val="bottom"/>
          </w:tcPr>
          <w:p>
            <w:pPr>
              <w:jc w:val="right"/>
              <w:ind w:right="314"/>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4"/>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530,307</w:t>
            </w:r>
          </w:p>
        </w:tc>
      </w:tr>
      <w:tr>
        <w:trPr>
          <w:trHeight w:val="178"/>
        </w:trPr>
        <w:tc>
          <w:tcPr>
            <w:tcW w:w="39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Selling, general and administrative expense</w:t>
            </w: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242,010</w:t>
            </w: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66,533</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11,468</w:t>
            </w: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jc w:val="center"/>
              <w:ind w:right="194"/>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12,804</w:t>
            </w:r>
          </w:p>
        </w:tc>
        <w:tc>
          <w:tcPr>
            <w:tcW w:w="540" w:type="dxa"/>
            <w:vAlign w:val="bottom"/>
            <w:shd w:val="clear" w:color="auto" w:fill="DBDBDB"/>
          </w:tcPr>
          <w:p>
            <w:pPr>
              <w:jc w:val="right"/>
              <w:ind w:right="314"/>
              <w:spacing w:after="0"/>
              <w:rPr>
                <w:sz w:val="20"/>
                <w:szCs w:val="20"/>
                <w:color w:val="auto"/>
              </w:rPr>
            </w:pPr>
            <w:r>
              <w:rPr>
                <w:rFonts w:ascii="Arial" w:cs="Arial" w:eastAsia="Arial" w:hAnsi="Arial"/>
                <w:sz w:val="13"/>
                <w:szCs w:val="13"/>
                <w:color w:val="auto"/>
              </w:rPr>
              <w:t>$</w:t>
            </w:r>
          </w:p>
        </w:tc>
        <w:tc>
          <w:tcPr>
            <w:tcW w:w="92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91,864</w:t>
            </w:r>
          </w:p>
        </w:tc>
        <w:tc>
          <w:tcPr>
            <w:tcW w:w="2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424,679</w:t>
            </w:r>
          </w:p>
        </w:tc>
      </w:tr>
      <w:tr>
        <w:trPr>
          <w:trHeight w:val="169"/>
        </w:trPr>
        <w:tc>
          <w:tcPr>
            <w:tcW w:w="3960" w:type="dxa"/>
            <w:vAlign w:val="bottom"/>
          </w:tcPr>
          <w:p>
            <w:pPr>
              <w:ind w:left="200"/>
              <w:spacing w:after="0"/>
              <w:rPr>
                <w:sz w:val="20"/>
                <w:szCs w:val="20"/>
                <w:color w:val="auto"/>
              </w:rPr>
            </w:pPr>
            <w:r>
              <w:rPr>
                <w:rFonts w:ascii="Arial" w:cs="Arial" w:eastAsia="Arial" w:hAnsi="Arial"/>
                <w:sz w:val="13"/>
                <w:szCs w:val="13"/>
                <w:color w:val="auto"/>
              </w:rPr>
              <w:t>Purchases of rental equipment and refurbishments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153,327</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14,969</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1,693</w:t>
            </w:r>
          </w:p>
        </w:tc>
        <w:tc>
          <w:tcPr>
            <w:tcW w:w="80" w:type="dxa"/>
            <w:vAlign w:val="bottom"/>
          </w:tcPr>
          <w:p>
            <w:pPr>
              <w:spacing w:after="0"/>
              <w:rPr>
                <w:sz w:val="14"/>
                <w:szCs w:val="14"/>
                <w:color w:val="auto"/>
              </w:rPr>
            </w:pPr>
          </w:p>
        </w:tc>
        <w:tc>
          <w:tcPr>
            <w:tcW w:w="360" w:type="dxa"/>
            <w:vAlign w:val="bottom"/>
          </w:tcPr>
          <w:p>
            <w:pPr>
              <w:jc w:val="center"/>
              <w:ind w:right="194"/>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2,394</w:t>
            </w:r>
          </w:p>
        </w:tc>
        <w:tc>
          <w:tcPr>
            <w:tcW w:w="540" w:type="dxa"/>
            <w:vAlign w:val="bottom"/>
          </w:tcPr>
          <w:p>
            <w:pPr>
              <w:jc w:val="right"/>
              <w:ind w:right="314"/>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4"/>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172,383</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2"/>
          <w:szCs w:val="12"/>
          <w:color w:val="auto"/>
        </w:rPr>
        <w:t>(a) Includes both SG&amp;A expense and Transaction costs from the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48" w:right="31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75"/>
        </w:trPr>
        <w:tc>
          <w:tcPr>
            <w:tcW w:w="3960" w:type="dxa"/>
            <w:vAlign w:val="bottom"/>
            <w:shd w:val="clear" w:color="auto" w:fill="1D2758"/>
          </w:tcPr>
          <w:p>
            <w:pPr>
              <w:spacing w:after="0"/>
              <w:rPr>
                <w:sz w:val="15"/>
                <w:szCs w:val="15"/>
                <w:color w:val="auto"/>
              </w:rPr>
            </w:pPr>
          </w:p>
        </w:tc>
        <w:tc>
          <w:tcPr>
            <w:tcW w:w="140" w:type="dxa"/>
            <w:vAlign w:val="bottom"/>
            <w:shd w:val="clear" w:color="auto" w:fill="1D2758"/>
          </w:tcPr>
          <w:p>
            <w:pPr>
              <w:spacing w:after="0"/>
              <w:rPr>
                <w:sz w:val="15"/>
                <w:szCs w:val="15"/>
                <w:color w:val="auto"/>
              </w:rPr>
            </w:pPr>
          </w:p>
        </w:tc>
        <w:tc>
          <w:tcPr>
            <w:tcW w:w="980" w:type="dxa"/>
            <w:vAlign w:val="bottom"/>
            <w:shd w:val="clear" w:color="auto" w:fill="1D2758"/>
          </w:tcPr>
          <w:p>
            <w:pPr>
              <w:spacing w:after="0"/>
              <w:rPr>
                <w:sz w:val="15"/>
                <w:szCs w:val="15"/>
                <w:color w:val="auto"/>
              </w:rPr>
            </w:pPr>
          </w:p>
        </w:tc>
        <w:tc>
          <w:tcPr>
            <w:tcW w:w="100" w:type="dxa"/>
            <w:vAlign w:val="bottom"/>
            <w:shd w:val="clear" w:color="auto" w:fill="1D2758"/>
          </w:tcPr>
          <w:p>
            <w:pPr>
              <w:spacing w:after="0"/>
              <w:rPr>
                <w:sz w:val="15"/>
                <w:szCs w:val="15"/>
                <w:color w:val="auto"/>
              </w:rPr>
            </w:pPr>
          </w:p>
        </w:tc>
        <w:tc>
          <w:tcPr>
            <w:tcW w:w="140" w:type="dxa"/>
            <w:vAlign w:val="bottom"/>
            <w:shd w:val="clear" w:color="auto" w:fill="1D2758"/>
          </w:tcPr>
          <w:p>
            <w:pPr>
              <w:spacing w:after="0"/>
              <w:rPr>
                <w:sz w:val="15"/>
                <w:szCs w:val="15"/>
                <w:color w:val="auto"/>
              </w:rPr>
            </w:pPr>
          </w:p>
        </w:tc>
        <w:tc>
          <w:tcPr>
            <w:tcW w:w="960" w:type="dxa"/>
            <w:vAlign w:val="bottom"/>
            <w:shd w:val="clear" w:color="auto" w:fill="1D2758"/>
          </w:tcPr>
          <w:p>
            <w:pPr>
              <w:spacing w:after="0"/>
              <w:rPr>
                <w:sz w:val="15"/>
                <w:szCs w:val="15"/>
                <w:color w:val="auto"/>
              </w:rPr>
            </w:pPr>
          </w:p>
        </w:tc>
        <w:tc>
          <w:tcPr>
            <w:tcW w:w="100" w:type="dxa"/>
            <w:vAlign w:val="bottom"/>
            <w:shd w:val="clear" w:color="auto" w:fill="1D2758"/>
          </w:tcPr>
          <w:p>
            <w:pPr>
              <w:spacing w:after="0"/>
              <w:rPr>
                <w:sz w:val="15"/>
                <w:szCs w:val="15"/>
                <w:color w:val="auto"/>
              </w:rPr>
            </w:pPr>
          </w:p>
        </w:tc>
        <w:tc>
          <w:tcPr>
            <w:tcW w:w="140" w:type="dxa"/>
            <w:vAlign w:val="bottom"/>
            <w:shd w:val="clear" w:color="auto" w:fill="1D2758"/>
          </w:tcPr>
          <w:p>
            <w:pPr>
              <w:spacing w:after="0"/>
              <w:rPr>
                <w:sz w:val="15"/>
                <w:szCs w:val="15"/>
                <w:color w:val="auto"/>
              </w:rPr>
            </w:pPr>
          </w:p>
        </w:tc>
        <w:tc>
          <w:tcPr>
            <w:tcW w:w="2180" w:type="dxa"/>
            <w:vAlign w:val="bottom"/>
            <w:gridSpan w:val="4"/>
            <w:shd w:val="clear" w:color="auto" w:fill="1D2758"/>
          </w:tcPr>
          <w:p>
            <w:pPr>
              <w:jc w:val="center"/>
              <w:spacing w:after="0"/>
              <w:rPr>
                <w:sz w:val="20"/>
                <w:szCs w:val="20"/>
                <w:color w:val="auto"/>
              </w:rPr>
            </w:pPr>
            <w:r>
              <w:rPr>
                <w:rFonts w:ascii="Arial" w:cs="Arial" w:eastAsia="Arial" w:hAnsi="Arial"/>
                <w:sz w:val="13"/>
                <w:szCs w:val="13"/>
                <w:b w:val="1"/>
                <w:bCs w:val="1"/>
                <w:color w:val="FFFFFF"/>
                <w:w w:val="99"/>
              </w:rPr>
              <w:t>Year Ended December 31, 2019</w:t>
            </w:r>
          </w:p>
        </w:tc>
        <w:tc>
          <w:tcPr>
            <w:tcW w:w="540" w:type="dxa"/>
            <w:vAlign w:val="bottom"/>
            <w:shd w:val="clear" w:color="auto" w:fill="1D2758"/>
          </w:tcPr>
          <w:p>
            <w:pPr>
              <w:spacing w:after="0"/>
              <w:rPr>
                <w:sz w:val="15"/>
                <w:szCs w:val="15"/>
                <w:color w:val="auto"/>
              </w:rPr>
            </w:pPr>
          </w:p>
        </w:tc>
        <w:tc>
          <w:tcPr>
            <w:tcW w:w="920" w:type="dxa"/>
            <w:vAlign w:val="bottom"/>
            <w:shd w:val="clear" w:color="auto" w:fill="1D2758"/>
          </w:tcPr>
          <w:p>
            <w:pPr>
              <w:spacing w:after="0"/>
              <w:rPr>
                <w:sz w:val="15"/>
                <w:szCs w:val="15"/>
                <w:color w:val="auto"/>
              </w:rPr>
            </w:pPr>
          </w:p>
        </w:tc>
        <w:tc>
          <w:tcPr>
            <w:tcW w:w="240" w:type="dxa"/>
            <w:vAlign w:val="bottom"/>
            <w:shd w:val="clear" w:color="auto" w:fill="1D2758"/>
          </w:tcPr>
          <w:p>
            <w:pPr>
              <w:spacing w:after="0"/>
              <w:rPr>
                <w:sz w:val="15"/>
                <w:szCs w:val="15"/>
                <w:color w:val="auto"/>
              </w:rPr>
            </w:pPr>
          </w:p>
        </w:tc>
        <w:tc>
          <w:tcPr>
            <w:tcW w:w="880" w:type="dxa"/>
            <w:vAlign w:val="bottom"/>
            <w:shd w:val="clear" w:color="auto" w:fill="1D2758"/>
          </w:tcPr>
          <w:p>
            <w:pPr>
              <w:spacing w:after="0"/>
              <w:rPr>
                <w:sz w:val="15"/>
                <w:szCs w:val="15"/>
                <w:color w:val="auto"/>
              </w:rPr>
            </w:pPr>
          </w:p>
        </w:tc>
      </w:tr>
      <w:tr>
        <w:trPr>
          <w:trHeight w:val="175"/>
        </w:trPr>
        <w:tc>
          <w:tcPr>
            <w:tcW w:w="396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140" w:type="dxa"/>
            <w:vAlign w:val="bottom"/>
            <w:shd w:val="clear" w:color="auto" w:fill="1D2758"/>
          </w:tcPr>
          <w:p>
            <w:pPr>
              <w:spacing w:after="0"/>
              <w:rPr>
                <w:sz w:val="15"/>
                <w:szCs w:val="15"/>
                <w:color w:val="auto"/>
              </w:rPr>
            </w:pPr>
          </w:p>
        </w:tc>
        <w:tc>
          <w:tcPr>
            <w:tcW w:w="1080" w:type="dxa"/>
            <w:vAlign w:val="bottom"/>
            <w:gridSpan w:val="2"/>
            <w:shd w:val="clear" w:color="auto" w:fill="1D2758"/>
          </w:tcPr>
          <w:p>
            <w:pPr>
              <w:ind w:left="60"/>
              <w:spacing w:after="0"/>
              <w:rPr>
                <w:sz w:val="20"/>
                <w:szCs w:val="20"/>
                <w:color w:val="auto"/>
              </w:rPr>
            </w:pPr>
            <w:r>
              <w:rPr>
                <w:rFonts w:ascii="Arial" w:cs="Arial" w:eastAsia="Arial" w:hAnsi="Arial"/>
                <w:sz w:val="13"/>
                <w:szCs w:val="13"/>
                <w:b w:val="1"/>
                <w:bCs w:val="1"/>
                <w:color w:val="FFFFFF"/>
              </w:rPr>
              <w:t>NA Modular</w:t>
            </w:r>
          </w:p>
        </w:tc>
        <w:tc>
          <w:tcPr>
            <w:tcW w:w="140" w:type="dxa"/>
            <w:vAlign w:val="bottom"/>
            <w:shd w:val="clear" w:color="auto" w:fill="1D2758"/>
          </w:tcPr>
          <w:p>
            <w:pPr>
              <w:spacing w:after="0"/>
              <w:rPr>
                <w:sz w:val="15"/>
                <w:szCs w:val="15"/>
                <w:color w:val="auto"/>
              </w:rPr>
            </w:pPr>
          </w:p>
        </w:tc>
        <w:tc>
          <w:tcPr>
            <w:tcW w:w="1060" w:type="dxa"/>
            <w:vAlign w:val="bottom"/>
            <w:gridSpan w:val="2"/>
            <w:shd w:val="clear" w:color="auto" w:fill="1D2758"/>
          </w:tcPr>
          <w:p>
            <w:pPr>
              <w:ind w:left="60"/>
              <w:spacing w:after="0"/>
              <w:rPr>
                <w:sz w:val="20"/>
                <w:szCs w:val="20"/>
                <w:color w:val="auto"/>
              </w:rPr>
            </w:pPr>
            <w:r>
              <w:rPr>
                <w:rFonts w:ascii="Arial" w:cs="Arial" w:eastAsia="Arial" w:hAnsi="Arial"/>
                <w:sz w:val="13"/>
                <w:szCs w:val="13"/>
                <w:b w:val="1"/>
                <w:bCs w:val="1"/>
                <w:color w:val="FFFFFF"/>
              </w:rPr>
              <w:t>NA Storage</w:t>
            </w:r>
          </w:p>
        </w:tc>
        <w:tc>
          <w:tcPr>
            <w:tcW w:w="140" w:type="dxa"/>
            <w:vAlign w:val="bottom"/>
            <w:shd w:val="clear" w:color="auto" w:fill="1D2758"/>
          </w:tcPr>
          <w:p>
            <w:pPr>
              <w:spacing w:after="0"/>
              <w:rPr>
                <w:sz w:val="15"/>
                <w:szCs w:val="15"/>
                <w:color w:val="auto"/>
              </w:rPr>
            </w:pPr>
          </w:p>
        </w:tc>
        <w:tc>
          <w:tcPr>
            <w:tcW w:w="1060" w:type="dxa"/>
            <w:vAlign w:val="bottom"/>
            <w:gridSpan w:val="2"/>
            <w:shd w:val="clear" w:color="auto" w:fill="1D2758"/>
          </w:tcPr>
          <w:p>
            <w:pPr>
              <w:ind w:left="60"/>
              <w:spacing w:after="0"/>
              <w:rPr>
                <w:sz w:val="20"/>
                <w:szCs w:val="20"/>
                <w:color w:val="auto"/>
              </w:rPr>
            </w:pPr>
            <w:r>
              <w:rPr>
                <w:rFonts w:ascii="Arial" w:cs="Arial" w:eastAsia="Arial" w:hAnsi="Arial"/>
                <w:sz w:val="13"/>
                <w:szCs w:val="13"/>
                <w:b w:val="1"/>
                <w:bCs w:val="1"/>
                <w:color w:val="FFFFFF"/>
              </w:rPr>
              <w:t>UK Storage</w:t>
            </w:r>
          </w:p>
        </w:tc>
        <w:tc>
          <w:tcPr>
            <w:tcW w:w="1120" w:type="dxa"/>
            <w:vAlign w:val="bottom"/>
            <w:gridSpan w:val="2"/>
            <w:shd w:val="clear" w:color="auto" w:fill="1D2758"/>
          </w:tcPr>
          <w:p>
            <w:pPr>
              <w:ind w:left="80"/>
              <w:spacing w:after="0"/>
              <w:rPr>
                <w:sz w:val="20"/>
                <w:szCs w:val="20"/>
                <w:color w:val="auto"/>
              </w:rPr>
            </w:pPr>
            <w:r>
              <w:rPr>
                <w:rFonts w:ascii="Arial" w:cs="Arial" w:eastAsia="Arial" w:hAnsi="Arial"/>
                <w:sz w:val="13"/>
                <w:szCs w:val="13"/>
                <w:b w:val="1"/>
                <w:bCs w:val="1"/>
                <w:color w:val="FFFFFF"/>
              </w:rPr>
              <w:t>Tank and Pump</w:t>
            </w:r>
          </w:p>
        </w:tc>
        <w:tc>
          <w:tcPr>
            <w:tcW w:w="1460" w:type="dxa"/>
            <w:vAlign w:val="bottom"/>
            <w:gridSpan w:val="2"/>
            <w:shd w:val="clear" w:color="auto" w:fill="1D2758"/>
          </w:tcPr>
          <w:p>
            <w:pPr>
              <w:jc w:val="right"/>
              <w:ind w:right="94"/>
              <w:spacing w:after="0"/>
              <w:rPr>
                <w:sz w:val="20"/>
                <w:szCs w:val="20"/>
                <w:color w:val="auto"/>
              </w:rPr>
            </w:pPr>
            <w:r>
              <w:rPr>
                <w:rFonts w:ascii="Arial" w:cs="Arial" w:eastAsia="Arial" w:hAnsi="Arial"/>
                <w:sz w:val="13"/>
                <w:szCs w:val="13"/>
                <w:b w:val="1"/>
                <w:bCs w:val="1"/>
                <w:color w:val="FFFFFF"/>
              </w:rPr>
              <w:t>Unallocated Costs</w:t>
            </w:r>
          </w:p>
        </w:tc>
        <w:tc>
          <w:tcPr>
            <w:tcW w:w="240" w:type="dxa"/>
            <w:vAlign w:val="bottom"/>
            <w:shd w:val="clear" w:color="auto" w:fill="1D2758"/>
          </w:tcPr>
          <w:p>
            <w:pPr>
              <w:spacing w:after="0"/>
              <w:rPr>
                <w:sz w:val="15"/>
                <w:szCs w:val="15"/>
                <w:color w:val="auto"/>
              </w:rPr>
            </w:pPr>
          </w:p>
        </w:tc>
        <w:tc>
          <w:tcPr>
            <w:tcW w:w="880" w:type="dxa"/>
            <w:vAlign w:val="bottom"/>
            <w:shd w:val="clear" w:color="auto" w:fill="1D2758"/>
          </w:tcPr>
          <w:p>
            <w:pPr>
              <w:jc w:val="right"/>
              <w:ind w:right="354"/>
              <w:spacing w:after="0"/>
              <w:rPr>
                <w:sz w:val="20"/>
                <w:szCs w:val="20"/>
                <w:color w:val="auto"/>
              </w:rPr>
            </w:pPr>
            <w:r>
              <w:rPr>
                <w:rFonts w:ascii="Arial" w:cs="Arial" w:eastAsia="Arial" w:hAnsi="Arial"/>
                <w:sz w:val="13"/>
                <w:szCs w:val="13"/>
                <w:b w:val="1"/>
                <w:bCs w:val="1"/>
                <w:color w:val="FFFFFF"/>
              </w:rPr>
              <w:t>Total</w:t>
            </w:r>
          </w:p>
        </w:tc>
      </w:tr>
      <w:tr>
        <w:trPr>
          <w:trHeight w:val="175"/>
        </w:trPr>
        <w:tc>
          <w:tcPr>
            <w:tcW w:w="3960" w:type="dxa"/>
            <w:vAlign w:val="bottom"/>
            <w:shd w:val="clear" w:color="auto" w:fill="DBDBDB"/>
          </w:tcPr>
          <w:p>
            <w:pPr>
              <w:ind w:left="20"/>
              <w:spacing w:after="0"/>
              <w:rPr>
                <w:sz w:val="20"/>
                <w:szCs w:val="20"/>
                <w:color w:val="auto"/>
              </w:rPr>
            </w:pPr>
            <w:r>
              <w:rPr>
                <w:rFonts w:ascii="Arial" w:cs="Arial" w:eastAsia="Arial" w:hAnsi="Arial"/>
                <w:sz w:val="13"/>
                <w:szCs w:val="13"/>
                <w:color w:val="auto"/>
              </w:rPr>
              <w:t>Revenues:</w:t>
            </w: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500" w:type="dxa"/>
            <w:vAlign w:val="bottom"/>
            <w:shd w:val="clear" w:color="auto" w:fill="DBDBDB"/>
          </w:tcPr>
          <w:p>
            <w:pPr>
              <w:spacing w:after="0"/>
              <w:rPr>
                <w:sz w:val="15"/>
                <w:szCs w:val="15"/>
                <w:color w:val="auto"/>
              </w:rPr>
            </w:pPr>
          </w:p>
        </w:tc>
        <w:tc>
          <w:tcPr>
            <w:tcW w:w="620" w:type="dxa"/>
            <w:vAlign w:val="bottom"/>
            <w:shd w:val="clear" w:color="auto" w:fill="DBDBDB"/>
          </w:tcPr>
          <w:p>
            <w:pPr>
              <w:spacing w:after="0"/>
              <w:rPr>
                <w:sz w:val="15"/>
                <w:szCs w:val="15"/>
                <w:color w:val="auto"/>
              </w:rPr>
            </w:pPr>
          </w:p>
        </w:tc>
        <w:tc>
          <w:tcPr>
            <w:tcW w:w="54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880" w:type="dxa"/>
            <w:vAlign w:val="bottom"/>
            <w:shd w:val="clear" w:color="auto" w:fill="DBDBDB"/>
          </w:tcPr>
          <w:p>
            <w:pPr>
              <w:spacing w:after="0"/>
              <w:rPr>
                <w:sz w:val="15"/>
                <w:szCs w:val="15"/>
                <w:color w:val="auto"/>
              </w:rPr>
            </w:pPr>
          </w:p>
        </w:tc>
      </w:tr>
      <w:tr>
        <w:trPr>
          <w:trHeight w:val="172"/>
        </w:trPr>
        <w:tc>
          <w:tcPr>
            <w:tcW w:w="3960" w:type="dxa"/>
            <w:vAlign w:val="bottom"/>
          </w:tcPr>
          <w:p>
            <w:pPr>
              <w:ind w:left="20"/>
              <w:spacing w:after="0"/>
              <w:rPr>
                <w:sz w:val="20"/>
                <w:szCs w:val="20"/>
                <w:color w:val="auto"/>
              </w:rPr>
            </w:pPr>
            <w:r>
              <w:rPr>
                <w:rFonts w:ascii="Arial" w:cs="Arial" w:eastAsia="Arial" w:hAnsi="Arial"/>
                <w:sz w:val="13"/>
                <w:szCs w:val="13"/>
                <w:color w:val="auto"/>
              </w:rPr>
              <w:t>Leasing and services revenue:</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8"/>
        </w:trPr>
        <w:tc>
          <w:tcPr>
            <w:tcW w:w="39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Leasing</w:t>
            </w: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744,185</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DBDBDB"/>
          </w:tcPr>
          <w:p>
            <w:pPr>
              <w:ind w:left="78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DBDBDB"/>
          </w:tcPr>
          <w:p>
            <w:pPr>
              <w:ind w:left="780"/>
              <w:spacing w:after="0"/>
              <w:rPr>
                <w:sz w:val="20"/>
                <w:szCs w:val="20"/>
                <w:color w:val="auto"/>
              </w:rPr>
            </w:pPr>
            <w:r>
              <w:rPr>
                <w:rFonts w:ascii="Arial" w:cs="Arial" w:eastAsia="Arial" w:hAnsi="Arial"/>
                <w:sz w:val="13"/>
                <w:szCs w:val="13"/>
                <w:color w:val="auto"/>
              </w:rPr>
              <w:t>—</w:t>
            </w:r>
          </w:p>
        </w:tc>
        <w:tc>
          <w:tcPr>
            <w:tcW w:w="500" w:type="dxa"/>
            <w:vAlign w:val="bottom"/>
            <w:shd w:val="clear" w:color="auto" w:fill="DBDBDB"/>
          </w:tcPr>
          <w:p>
            <w:pPr>
              <w:jc w:val="center"/>
              <w:ind w:right="334"/>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DBDBDB"/>
          </w:tcPr>
          <w:p>
            <w:pPr>
              <w:ind w:left="420"/>
              <w:spacing w:after="0"/>
              <w:rPr>
                <w:sz w:val="20"/>
                <w:szCs w:val="20"/>
                <w:color w:val="auto"/>
              </w:rPr>
            </w:pPr>
            <w:r>
              <w:rPr>
                <w:rFonts w:ascii="Arial" w:cs="Arial" w:eastAsia="Arial" w:hAnsi="Arial"/>
                <w:sz w:val="13"/>
                <w:szCs w:val="13"/>
                <w:color w:val="auto"/>
              </w:rPr>
              <w:t>—</w:t>
            </w:r>
          </w:p>
        </w:tc>
        <w:tc>
          <w:tcPr>
            <w:tcW w:w="54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2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744,185</w:t>
            </w:r>
          </w:p>
        </w:tc>
      </w:tr>
      <w:tr>
        <w:trPr>
          <w:trHeight w:val="172"/>
        </w:trPr>
        <w:tc>
          <w:tcPr>
            <w:tcW w:w="3960" w:type="dxa"/>
            <w:vAlign w:val="bottom"/>
          </w:tcPr>
          <w:p>
            <w:pPr>
              <w:ind w:left="200"/>
              <w:spacing w:after="0"/>
              <w:rPr>
                <w:sz w:val="20"/>
                <w:szCs w:val="20"/>
                <w:color w:val="auto"/>
              </w:rPr>
            </w:pPr>
            <w:r>
              <w:rPr>
                <w:rFonts w:ascii="Arial" w:cs="Arial" w:eastAsia="Arial" w:hAnsi="Arial"/>
                <w:sz w:val="13"/>
                <w:szCs w:val="13"/>
                <w:color w:val="auto"/>
              </w:rPr>
              <w:t>Delivery and installation</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220,057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620" w:type="dxa"/>
            <w:vAlign w:val="bottom"/>
          </w:tcPr>
          <w:p>
            <w:pPr>
              <w:ind w:left="42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220,057</w:t>
            </w:r>
          </w:p>
        </w:tc>
      </w:tr>
      <w:tr>
        <w:trPr>
          <w:trHeight w:val="178"/>
        </w:trPr>
        <w:tc>
          <w:tcPr>
            <w:tcW w:w="3960" w:type="dxa"/>
            <w:vAlign w:val="bottom"/>
            <w:shd w:val="clear" w:color="auto" w:fill="DBDBDB"/>
          </w:tcPr>
          <w:p>
            <w:pPr>
              <w:ind w:left="20"/>
              <w:spacing w:after="0"/>
              <w:rPr>
                <w:sz w:val="20"/>
                <w:szCs w:val="20"/>
                <w:color w:val="auto"/>
              </w:rPr>
            </w:pPr>
            <w:r>
              <w:rPr>
                <w:rFonts w:ascii="Arial" w:cs="Arial" w:eastAsia="Arial" w:hAnsi="Arial"/>
                <w:sz w:val="13"/>
                <w:szCs w:val="13"/>
                <w:color w:val="auto"/>
              </w:rPr>
              <w:t>Sales revenue:</w:t>
            </w: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500" w:type="dxa"/>
            <w:vAlign w:val="bottom"/>
            <w:shd w:val="clear" w:color="auto" w:fill="DBDBDB"/>
          </w:tcPr>
          <w:p>
            <w:pPr>
              <w:spacing w:after="0"/>
              <w:rPr>
                <w:sz w:val="15"/>
                <w:szCs w:val="15"/>
                <w:color w:val="auto"/>
              </w:rPr>
            </w:pPr>
          </w:p>
        </w:tc>
        <w:tc>
          <w:tcPr>
            <w:tcW w:w="620" w:type="dxa"/>
            <w:vAlign w:val="bottom"/>
            <w:shd w:val="clear" w:color="auto" w:fill="DBDBDB"/>
          </w:tcPr>
          <w:p>
            <w:pPr>
              <w:spacing w:after="0"/>
              <w:rPr>
                <w:sz w:val="15"/>
                <w:szCs w:val="15"/>
                <w:color w:val="auto"/>
              </w:rPr>
            </w:pPr>
          </w:p>
        </w:tc>
        <w:tc>
          <w:tcPr>
            <w:tcW w:w="54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880" w:type="dxa"/>
            <w:vAlign w:val="bottom"/>
            <w:shd w:val="clear" w:color="auto" w:fill="DBDBDB"/>
          </w:tcPr>
          <w:p>
            <w:pPr>
              <w:spacing w:after="0"/>
              <w:rPr>
                <w:sz w:val="15"/>
                <w:szCs w:val="15"/>
                <w:color w:val="auto"/>
              </w:rPr>
            </w:pPr>
          </w:p>
        </w:tc>
      </w:tr>
      <w:tr>
        <w:trPr>
          <w:trHeight w:val="172"/>
        </w:trPr>
        <w:tc>
          <w:tcPr>
            <w:tcW w:w="3960" w:type="dxa"/>
            <w:vAlign w:val="bottom"/>
          </w:tcPr>
          <w:p>
            <w:pPr>
              <w:ind w:left="200"/>
              <w:spacing w:after="0"/>
              <w:rPr>
                <w:sz w:val="20"/>
                <w:szCs w:val="20"/>
                <w:color w:val="auto"/>
              </w:rPr>
            </w:pPr>
            <w:r>
              <w:rPr>
                <w:rFonts w:ascii="Arial" w:cs="Arial" w:eastAsia="Arial" w:hAnsi="Arial"/>
                <w:sz w:val="13"/>
                <w:szCs w:val="13"/>
                <w:color w:val="auto"/>
              </w:rPr>
              <w:t>New units</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59,085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620" w:type="dxa"/>
            <w:vAlign w:val="bottom"/>
          </w:tcPr>
          <w:p>
            <w:pPr>
              <w:ind w:left="42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59,085</w:t>
            </w:r>
          </w:p>
        </w:tc>
      </w:tr>
      <w:tr>
        <w:trPr>
          <w:trHeight w:val="178"/>
        </w:trPr>
        <w:tc>
          <w:tcPr>
            <w:tcW w:w="39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Rental units</w:t>
            </w:r>
          </w:p>
        </w:tc>
        <w:tc>
          <w:tcPr>
            <w:tcW w:w="14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40,338</w:t>
            </w:r>
          </w:p>
        </w:tc>
        <w:tc>
          <w:tcPr>
            <w:tcW w:w="100" w:type="dxa"/>
            <w:vAlign w:val="bottom"/>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960" w:type="dxa"/>
            <w:vAlign w:val="bottom"/>
            <w:tcBorders>
              <w:bottom w:val="single" w:sz="8" w:color="auto"/>
            </w:tcBorders>
            <w:shd w:val="clear" w:color="auto" w:fill="DBDBDB"/>
          </w:tcPr>
          <w:p>
            <w:pPr>
              <w:ind w:left="780"/>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ind w:left="780"/>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5"/>
                <w:szCs w:val="15"/>
                <w:color w:val="auto"/>
              </w:rPr>
            </w:pPr>
          </w:p>
        </w:tc>
        <w:tc>
          <w:tcPr>
            <w:tcW w:w="500" w:type="dxa"/>
            <w:vAlign w:val="bottom"/>
            <w:tcBorders>
              <w:bottom w:val="single" w:sz="8" w:color="auto"/>
            </w:tcBorders>
            <w:shd w:val="clear" w:color="auto" w:fill="DBDBDB"/>
          </w:tcPr>
          <w:p>
            <w:pPr>
              <w:spacing w:after="0"/>
              <w:rPr>
                <w:sz w:val="15"/>
                <w:szCs w:val="15"/>
                <w:color w:val="auto"/>
              </w:rPr>
            </w:pPr>
          </w:p>
        </w:tc>
        <w:tc>
          <w:tcPr>
            <w:tcW w:w="620" w:type="dxa"/>
            <w:vAlign w:val="bottom"/>
            <w:tcBorders>
              <w:bottom w:val="single" w:sz="8" w:color="auto"/>
            </w:tcBorders>
            <w:shd w:val="clear" w:color="auto" w:fill="DBDBDB"/>
          </w:tcPr>
          <w:p>
            <w:pPr>
              <w:ind w:left="420"/>
              <w:spacing w:after="0"/>
              <w:rPr>
                <w:sz w:val="20"/>
                <w:szCs w:val="20"/>
                <w:color w:val="auto"/>
              </w:rPr>
            </w:pPr>
            <w:r>
              <w:rPr>
                <w:rFonts w:ascii="Arial" w:cs="Arial" w:eastAsia="Arial" w:hAnsi="Arial"/>
                <w:sz w:val="13"/>
                <w:szCs w:val="13"/>
                <w:color w:val="auto"/>
              </w:rPr>
              <w:t>—</w:t>
            </w:r>
          </w:p>
        </w:tc>
        <w:tc>
          <w:tcPr>
            <w:tcW w:w="54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240" w:type="dxa"/>
            <w:vAlign w:val="bottom"/>
            <w:tcBorders>
              <w:bottom w:val="single" w:sz="8" w:color="auto"/>
            </w:tcBorders>
            <w:shd w:val="clear" w:color="auto" w:fill="DBDBDB"/>
          </w:tcPr>
          <w:p>
            <w:pPr>
              <w:spacing w:after="0"/>
              <w:rPr>
                <w:sz w:val="15"/>
                <w:szCs w:val="15"/>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40,338</w:t>
            </w:r>
          </w:p>
        </w:tc>
      </w:tr>
      <w:tr>
        <w:trPr>
          <w:trHeight w:val="163"/>
        </w:trPr>
        <w:tc>
          <w:tcPr>
            <w:tcW w:w="3960" w:type="dxa"/>
            <w:vAlign w:val="bottom"/>
          </w:tcPr>
          <w:p>
            <w:pPr>
              <w:ind w:left="20"/>
              <w:spacing w:after="0"/>
              <w:rPr>
                <w:sz w:val="20"/>
                <w:szCs w:val="20"/>
                <w:color w:val="auto"/>
              </w:rPr>
            </w:pPr>
            <w:r>
              <w:rPr>
                <w:rFonts w:ascii="Arial" w:cs="Arial" w:eastAsia="Arial" w:hAnsi="Arial"/>
                <w:sz w:val="13"/>
                <w:szCs w:val="13"/>
                <w:color w:val="auto"/>
              </w:rPr>
              <w:t>Total revenues</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1,063,665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620" w:type="dxa"/>
            <w:vAlign w:val="bottom"/>
          </w:tcPr>
          <w:p>
            <w:pPr>
              <w:ind w:left="42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1,063,665</w:t>
            </w:r>
          </w:p>
        </w:tc>
      </w:tr>
      <w:tr>
        <w:trPr>
          <w:trHeight w:val="210"/>
        </w:trPr>
        <w:tc>
          <w:tcPr>
            <w:tcW w:w="39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500" w:type="dxa"/>
            <w:vAlign w:val="bottom"/>
            <w:shd w:val="clear" w:color="auto" w:fill="DBDBDB"/>
          </w:tcPr>
          <w:p>
            <w:pPr>
              <w:spacing w:after="0"/>
              <w:rPr>
                <w:sz w:val="18"/>
                <w:szCs w:val="18"/>
                <w:color w:val="auto"/>
              </w:rPr>
            </w:pPr>
          </w:p>
        </w:tc>
        <w:tc>
          <w:tcPr>
            <w:tcW w:w="620" w:type="dxa"/>
            <w:vAlign w:val="bottom"/>
            <w:shd w:val="clear" w:color="auto" w:fill="DBDBDB"/>
          </w:tcPr>
          <w:p>
            <w:pPr>
              <w:spacing w:after="0"/>
              <w:rPr>
                <w:sz w:val="18"/>
                <w:szCs w:val="18"/>
                <w:color w:val="auto"/>
              </w:rPr>
            </w:pPr>
          </w:p>
        </w:tc>
        <w:tc>
          <w:tcPr>
            <w:tcW w:w="54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r>
      <w:tr>
        <w:trPr>
          <w:trHeight w:val="172"/>
        </w:trPr>
        <w:tc>
          <w:tcPr>
            <w:tcW w:w="3960" w:type="dxa"/>
            <w:vAlign w:val="bottom"/>
          </w:tcPr>
          <w:p>
            <w:pPr>
              <w:ind w:left="20"/>
              <w:spacing w:after="0"/>
              <w:rPr>
                <w:sz w:val="20"/>
                <w:szCs w:val="20"/>
                <w:color w:val="auto"/>
              </w:rPr>
            </w:pPr>
            <w:r>
              <w:rPr>
                <w:rFonts w:ascii="Arial" w:cs="Arial" w:eastAsia="Arial" w:hAnsi="Arial"/>
                <w:sz w:val="13"/>
                <w:szCs w:val="13"/>
                <w:color w:val="auto"/>
              </w:rPr>
              <w:t>Costs:</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8"/>
        </w:trPr>
        <w:tc>
          <w:tcPr>
            <w:tcW w:w="3960" w:type="dxa"/>
            <w:vAlign w:val="bottom"/>
            <w:shd w:val="clear" w:color="auto" w:fill="DBDBDB"/>
          </w:tcPr>
          <w:p>
            <w:pPr>
              <w:ind w:left="20"/>
              <w:spacing w:after="0"/>
              <w:rPr>
                <w:sz w:val="20"/>
                <w:szCs w:val="20"/>
                <w:color w:val="auto"/>
              </w:rPr>
            </w:pPr>
            <w:r>
              <w:rPr>
                <w:rFonts w:ascii="Arial" w:cs="Arial" w:eastAsia="Arial" w:hAnsi="Arial"/>
                <w:sz w:val="13"/>
                <w:szCs w:val="13"/>
                <w:color w:val="auto"/>
              </w:rPr>
              <w:t>Cost of leasing and services:</w:t>
            </w: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500" w:type="dxa"/>
            <w:vAlign w:val="bottom"/>
            <w:shd w:val="clear" w:color="auto" w:fill="DBDBDB"/>
          </w:tcPr>
          <w:p>
            <w:pPr>
              <w:spacing w:after="0"/>
              <w:rPr>
                <w:sz w:val="15"/>
                <w:szCs w:val="15"/>
                <w:color w:val="auto"/>
              </w:rPr>
            </w:pPr>
          </w:p>
        </w:tc>
        <w:tc>
          <w:tcPr>
            <w:tcW w:w="620" w:type="dxa"/>
            <w:vAlign w:val="bottom"/>
            <w:shd w:val="clear" w:color="auto" w:fill="DBDBDB"/>
          </w:tcPr>
          <w:p>
            <w:pPr>
              <w:spacing w:after="0"/>
              <w:rPr>
                <w:sz w:val="15"/>
                <w:szCs w:val="15"/>
                <w:color w:val="auto"/>
              </w:rPr>
            </w:pPr>
          </w:p>
        </w:tc>
        <w:tc>
          <w:tcPr>
            <w:tcW w:w="54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880" w:type="dxa"/>
            <w:vAlign w:val="bottom"/>
            <w:shd w:val="clear" w:color="auto" w:fill="DBDBDB"/>
          </w:tcPr>
          <w:p>
            <w:pPr>
              <w:spacing w:after="0"/>
              <w:rPr>
                <w:sz w:val="15"/>
                <w:szCs w:val="15"/>
                <w:color w:val="auto"/>
              </w:rPr>
            </w:pPr>
          </w:p>
        </w:tc>
      </w:tr>
      <w:tr>
        <w:trPr>
          <w:trHeight w:val="172"/>
        </w:trPr>
        <w:tc>
          <w:tcPr>
            <w:tcW w:w="3960" w:type="dxa"/>
            <w:vAlign w:val="bottom"/>
          </w:tcPr>
          <w:p>
            <w:pPr>
              <w:ind w:left="200"/>
              <w:spacing w:after="0"/>
              <w:rPr>
                <w:sz w:val="20"/>
                <w:szCs w:val="20"/>
                <w:color w:val="auto"/>
              </w:rPr>
            </w:pPr>
            <w:r>
              <w:rPr>
                <w:rFonts w:ascii="Arial" w:cs="Arial" w:eastAsia="Arial" w:hAnsi="Arial"/>
                <w:sz w:val="13"/>
                <w:szCs w:val="13"/>
                <w:color w:val="auto"/>
              </w:rPr>
              <w:t>Leasing</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213,151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620" w:type="dxa"/>
            <w:vAlign w:val="bottom"/>
          </w:tcPr>
          <w:p>
            <w:pPr>
              <w:ind w:left="42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213,151</w:t>
            </w:r>
          </w:p>
        </w:tc>
      </w:tr>
      <w:tr>
        <w:trPr>
          <w:trHeight w:val="178"/>
        </w:trPr>
        <w:tc>
          <w:tcPr>
            <w:tcW w:w="39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Delivery and installation</w:t>
            </w: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194,107</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60" w:type="dxa"/>
            <w:vAlign w:val="bottom"/>
            <w:gridSpan w:val="2"/>
            <w:shd w:val="clear" w:color="auto" w:fill="DBDBDB"/>
          </w:tcPr>
          <w:p>
            <w:pPr>
              <w:ind w:left="78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5"/>
                <w:szCs w:val="15"/>
                <w:color w:val="auto"/>
              </w:rPr>
            </w:pPr>
          </w:p>
        </w:tc>
        <w:tc>
          <w:tcPr>
            <w:tcW w:w="1060" w:type="dxa"/>
            <w:vAlign w:val="bottom"/>
            <w:gridSpan w:val="2"/>
            <w:shd w:val="clear" w:color="auto" w:fill="DBDBDB"/>
          </w:tcPr>
          <w:p>
            <w:pPr>
              <w:ind w:left="780"/>
              <w:spacing w:after="0"/>
              <w:rPr>
                <w:sz w:val="20"/>
                <w:szCs w:val="20"/>
                <w:color w:val="auto"/>
              </w:rPr>
            </w:pPr>
            <w:r>
              <w:rPr>
                <w:rFonts w:ascii="Arial" w:cs="Arial" w:eastAsia="Arial" w:hAnsi="Arial"/>
                <w:sz w:val="13"/>
                <w:szCs w:val="13"/>
                <w:color w:val="auto"/>
              </w:rPr>
              <w:t>—</w:t>
            </w:r>
          </w:p>
        </w:tc>
        <w:tc>
          <w:tcPr>
            <w:tcW w:w="500" w:type="dxa"/>
            <w:vAlign w:val="bottom"/>
            <w:shd w:val="clear" w:color="auto" w:fill="DBDBDB"/>
          </w:tcPr>
          <w:p>
            <w:pPr>
              <w:spacing w:after="0"/>
              <w:rPr>
                <w:sz w:val="15"/>
                <w:szCs w:val="15"/>
                <w:color w:val="auto"/>
              </w:rPr>
            </w:pPr>
          </w:p>
        </w:tc>
        <w:tc>
          <w:tcPr>
            <w:tcW w:w="620" w:type="dxa"/>
            <w:vAlign w:val="bottom"/>
            <w:shd w:val="clear" w:color="auto" w:fill="DBDBDB"/>
          </w:tcPr>
          <w:p>
            <w:pPr>
              <w:ind w:left="420"/>
              <w:spacing w:after="0"/>
              <w:rPr>
                <w:sz w:val="20"/>
                <w:szCs w:val="20"/>
                <w:color w:val="auto"/>
              </w:rPr>
            </w:pPr>
            <w:r>
              <w:rPr>
                <w:rFonts w:ascii="Arial" w:cs="Arial" w:eastAsia="Arial" w:hAnsi="Arial"/>
                <w:sz w:val="13"/>
                <w:szCs w:val="13"/>
                <w:color w:val="auto"/>
              </w:rPr>
              <w:t>—</w:t>
            </w:r>
          </w:p>
        </w:tc>
        <w:tc>
          <w:tcPr>
            <w:tcW w:w="54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194,107</w:t>
            </w:r>
          </w:p>
        </w:tc>
      </w:tr>
      <w:tr>
        <w:trPr>
          <w:trHeight w:val="172"/>
        </w:trPr>
        <w:tc>
          <w:tcPr>
            <w:tcW w:w="3960" w:type="dxa"/>
            <w:vAlign w:val="bottom"/>
          </w:tcPr>
          <w:p>
            <w:pPr>
              <w:ind w:left="20"/>
              <w:spacing w:after="0"/>
              <w:rPr>
                <w:sz w:val="20"/>
                <w:szCs w:val="20"/>
                <w:color w:val="auto"/>
              </w:rPr>
            </w:pPr>
            <w:r>
              <w:rPr>
                <w:rFonts w:ascii="Arial" w:cs="Arial" w:eastAsia="Arial" w:hAnsi="Arial"/>
                <w:sz w:val="13"/>
                <w:szCs w:val="13"/>
                <w:color w:val="auto"/>
              </w:rPr>
              <w:t>Cost of sales:</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8"/>
        </w:trPr>
        <w:tc>
          <w:tcPr>
            <w:tcW w:w="39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New units</w:t>
            </w: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42,160</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60" w:type="dxa"/>
            <w:vAlign w:val="bottom"/>
            <w:gridSpan w:val="2"/>
            <w:shd w:val="clear" w:color="auto" w:fill="DBDBDB"/>
          </w:tcPr>
          <w:p>
            <w:pPr>
              <w:ind w:left="78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5"/>
                <w:szCs w:val="15"/>
                <w:color w:val="auto"/>
              </w:rPr>
            </w:pPr>
          </w:p>
        </w:tc>
        <w:tc>
          <w:tcPr>
            <w:tcW w:w="1060" w:type="dxa"/>
            <w:vAlign w:val="bottom"/>
            <w:gridSpan w:val="2"/>
            <w:shd w:val="clear" w:color="auto" w:fill="DBDBDB"/>
          </w:tcPr>
          <w:p>
            <w:pPr>
              <w:ind w:left="780"/>
              <w:spacing w:after="0"/>
              <w:rPr>
                <w:sz w:val="20"/>
                <w:szCs w:val="20"/>
                <w:color w:val="auto"/>
              </w:rPr>
            </w:pPr>
            <w:r>
              <w:rPr>
                <w:rFonts w:ascii="Arial" w:cs="Arial" w:eastAsia="Arial" w:hAnsi="Arial"/>
                <w:sz w:val="13"/>
                <w:szCs w:val="13"/>
                <w:color w:val="auto"/>
              </w:rPr>
              <w:t>—</w:t>
            </w:r>
          </w:p>
        </w:tc>
        <w:tc>
          <w:tcPr>
            <w:tcW w:w="500" w:type="dxa"/>
            <w:vAlign w:val="bottom"/>
            <w:shd w:val="clear" w:color="auto" w:fill="DBDBDB"/>
          </w:tcPr>
          <w:p>
            <w:pPr>
              <w:spacing w:after="0"/>
              <w:rPr>
                <w:sz w:val="15"/>
                <w:szCs w:val="15"/>
                <w:color w:val="auto"/>
              </w:rPr>
            </w:pPr>
          </w:p>
        </w:tc>
        <w:tc>
          <w:tcPr>
            <w:tcW w:w="620" w:type="dxa"/>
            <w:vAlign w:val="bottom"/>
            <w:shd w:val="clear" w:color="auto" w:fill="DBDBDB"/>
          </w:tcPr>
          <w:p>
            <w:pPr>
              <w:ind w:left="420"/>
              <w:spacing w:after="0"/>
              <w:rPr>
                <w:sz w:val="20"/>
                <w:szCs w:val="20"/>
                <w:color w:val="auto"/>
              </w:rPr>
            </w:pPr>
            <w:r>
              <w:rPr>
                <w:rFonts w:ascii="Arial" w:cs="Arial" w:eastAsia="Arial" w:hAnsi="Arial"/>
                <w:sz w:val="13"/>
                <w:szCs w:val="13"/>
                <w:color w:val="auto"/>
              </w:rPr>
              <w:t>—</w:t>
            </w:r>
          </w:p>
        </w:tc>
        <w:tc>
          <w:tcPr>
            <w:tcW w:w="54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42,160</w:t>
            </w:r>
          </w:p>
        </w:tc>
      </w:tr>
      <w:tr>
        <w:trPr>
          <w:trHeight w:val="172"/>
        </w:trPr>
        <w:tc>
          <w:tcPr>
            <w:tcW w:w="3960" w:type="dxa"/>
            <w:vAlign w:val="bottom"/>
          </w:tcPr>
          <w:p>
            <w:pPr>
              <w:ind w:left="200"/>
              <w:spacing w:after="0"/>
              <w:rPr>
                <w:sz w:val="20"/>
                <w:szCs w:val="20"/>
                <w:color w:val="auto"/>
              </w:rPr>
            </w:pPr>
            <w:r>
              <w:rPr>
                <w:rFonts w:ascii="Arial" w:cs="Arial" w:eastAsia="Arial" w:hAnsi="Arial"/>
                <w:sz w:val="13"/>
                <w:szCs w:val="13"/>
                <w:color w:val="auto"/>
              </w:rPr>
              <w:t>Rental units</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26,255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620" w:type="dxa"/>
            <w:vAlign w:val="bottom"/>
          </w:tcPr>
          <w:p>
            <w:pPr>
              <w:ind w:left="42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26,255</w:t>
            </w:r>
          </w:p>
        </w:tc>
      </w:tr>
      <w:tr>
        <w:trPr>
          <w:trHeight w:val="178"/>
        </w:trPr>
        <w:tc>
          <w:tcPr>
            <w:tcW w:w="39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Depreciation of rental equipment</w:t>
            </w:r>
          </w:p>
        </w:tc>
        <w:tc>
          <w:tcPr>
            <w:tcW w:w="14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174,679</w:t>
            </w:r>
          </w:p>
        </w:tc>
        <w:tc>
          <w:tcPr>
            <w:tcW w:w="100" w:type="dxa"/>
            <w:vAlign w:val="bottom"/>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960" w:type="dxa"/>
            <w:vAlign w:val="bottom"/>
            <w:tcBorders>
              <w:bottom w:val="single" w:sz="8" w:color="auto"/>
            </w:tcBorders>
            <w:shd w:val="clear" w:color="auto" w:fill="DBDBDB"/>
          </w:tcPr>
          <w:p>
            <w:pPr>
              <w:ind w:left="780"/>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ind w:left="780"/>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5"/>
                <w:szCs w:val="15"/>
                <w:color w:val="auto"/>
              </w:rPr>
            </w:pPr>
          </w:p>
        </w:tc>
        <w:tc>
          <w:tcPr>
            <w:tcW w:w="500" w:type="dxa"/>
            <w:vAlign w:val="bottom"/>
            <w:tcBorders>
              <w:bottom w:val="single" w:sz="8" w:color="auto"/>
            </w:tcBorders>
            <w:shd w:val="clear" w:color="auto" w:fill="DBDBDB"/>
          </w:tcPr>
          <w:p>
            <w:pPr>
              <w:spacing w:after="0"/>
              <w:rPr>
                <w:sz w:val="15"/>
                <w:szCs w:val="15"/>
                <w:color w:val="auto"/>
              </w:rPr>
            </w:pPr>
          </w:p>
        </w:tc>
        <w:tc>
          <w:tcPr>
            <w:tcW w:w="620" w:type="dxa"/>
            <w:vAlign w:val="bottom"/>
            <w:tcBorders>
              <w:bottom w:val="single" w:sz="8" w:color="auto"/>
            </w:tcBorders>
            <w:shd w:val="clear" w:color="auto" w:fill="DBDBDB"/>
          </w:tcPr>
          <w:p>
            <w:pPr>
              <w:ind w:left="420"/>
              <w:spacing w:after="0"/>
              <w:rPr>
                <w:sz w:val="20"/>
                <w:szCs w:val="20"/>
                <w:color w:val="auto"/>
              </w:rPr>
            </w:pPr>
            <w:r>
              <w:rPr>
                <w:rFonts w:ascii="Arial" w:cs="Arial" w:eastAsia="Arial" w:hAnsi="Arial"/>
                <w:sz w:val="13"/>
                <w:szCs w:val="13"/>
                <w:color w:val="auto"/>
              </w:rPr>
              <w:t>—</w:t>
            </w:r>
          </w:p>
        </w:tc>
        <w:tc>
          <w:tcPr>
            <w:tcW w:w="54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240" w:type="dxa"/>
            <w:vAlign w:val="bottom"/>
            <w:tcBorders>
              <w:bottom w:val="single" w:sz="8" w:color="auto"/>
            </w:tcBorders>
            <w:shd w:val="clear" w:color="auto" w:fill="DBDBDB"/>
          </w:tcPr>
          <w:p>
            <w:pPr>
              <w:spacing w:after="0"/>
              <w:rPr>
                <w:sz w:val="15"/>
                <w:szCs w:val="15"/>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174,679</w:t>
            </w:r>
          </w:p>
        </w:tc>
      </w:tr>
      <w:tr>
        <w:trPr>
          <w:trHeight w:val="163"/>
        </w:trPr>
        <w:tc>
          <w:tcPr>
            <w:tcW w:w="3960" w:type="dxa"/>
            <w:vAlign w:val="bottom"/>
          </w:tcPr>
          <w:p>
            <w:pPr>
              <w:ind w:left="380"/>
              <w:spacing w:after="0"/>
              <w:rPr>
                <w:sz w:val="20"/>
                <w:szCs w:val="20"/>
                <w:color w:val="auto"/>
              </w:rPr>
            </w:pPr>
            <w:r>
              <w:rPr>
                <w:rFonts w:ascii="Arial" w:cs="Arial" w:eastAsia="Arial" w:hAnsi="Arial"/>
                <w:sz w:val="13"/>
                <w:szCs w:val="13"/>
                <w:color w:val="auto"/>
              </w:rPr>
              <w:t>Gross profit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413,313</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500" w:type="dxa"/>
            <w:vAlign w:val="bottom"/>
          </w:tcPr>
          <w:p>
            <w:pPr>
              <w:jc w:val="center"/>
              <w:ind w:right="334"/>
              <w:spacing w:after="0"/>
              <w:rPr>
                <w:sz w:val="20"/>
                <w:szCs w:val="20"/>
                <w:color w:val="auto"/>
              </w:rPr>
            </w:pPr>
            <w:r>
              <w:rPr>
                <w:rFonts w:ascii="Arial" w:cs="Arial" w:eastAsia="Arial" w:hAnsi="Arial"/>
                <w:sz w:val="13"/>
                <w:szCs w:val="13"/>
                <w:color w:val="auto"/>
                <w:w w:val="82"/>
              </w:rPr>
              <w:t>$</w:t>
            </w:r>
          </w:p>
        </w:tc>
        <w:tc>
          <w:tcPr>
            <w:tcW w:w="620" w:type="dxa"/>
            <w:vAlign w:val="bottom"/>
          </w:tcPr>
          <w:p>
            <w:pPr>
              <w:ind w:left="42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jc w:val="right"/>
              <w:ind w:right="94"/>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413,313</w:t>
            </w:r>
          </w:p>
        </w:tc>
      </w:tr>
      <w:tr>
        <w:trPr>
          <w:trHeight w:val="20"/>
        </w:trPr>
        <w:tc>
          <w:tcPr>
            <w:tcW w:w="3960" w:type="dxa"/>
            <w:vAlign w:val="bottom"/>
            <w:tcBorders>
              <w:bottom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bottom w:val="single" w:sz="8" w:color="DBDBDB"/>
            </w:tcBorders>
          </w:tcPr>
          <w:p>
            <w:pPr>
              <w:spacing w:after="0" w:line="20" w:lineRule="exact"/>
              <w:rPr>
                <w:sz w:val="1"/>
                <w:szCs w:val="1"/>
                <w:color w:val="auto"/>
              </w:rPr>
            </w:pPr>
          </w:p>
        </w:tc>
        <w:tc>
          <w:tcPr>
            <w:tcW w:w="920" w:type="dxa"/>
            <w:vAlign w:val="bottom"/>
            <w:tcBorders>
              <w:bottom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39"/>
        </w:trPr>
        <w:tc>
          <w:tcPr>
            <w:tcW w:w="3960" w:type="dxa"/>
            <w:vAlign w:val="bottom"/>
            <w:shd w:val="clear" w:color="auto" w:fill="DBDBDB"/>
          </w:tcPr>
          <w:p>
            <w:pPr>
              <w:ind w:left="20"/>
              <w:spacing w:after="0" w:line="137" w:lineRule="exact"/>
              <w:rPr>
                <w:sz w:val="20"/>
                <w:szCs w:val="20"/>
                <w:color w:val="auto"/>
              </w:rPr>
            </w:pPr>
            <w:r>
              <w:rPr>
                <w:rFonts w:ascii="Arial" w:cs="Arial" w:eastAsia="Arial" w:hAnsi="Arial"/>
                <w:sz w:val="13"/>
                <w:szCs w:val="13"/>
                <w:color w:val="auto"/>
              </w:rPr>
              <w:t>Other selected data:</w:t>
            </w:r>
          </w:p>
        </w:tc>
        <w:tc>
          <w:tcPr>
            <w:tcW w:w="140" w:type="dxa"/>
            <w:vAlign w:val="bottom"/>
            <w:shd w:val="clear" w:color="auto" w:fill="DBDBDB"/>
          </w:tcPr>
          <w:p>
            <w:pPr>
              <w:spacing w:after="0"/>
              <w:rPr>
                <w:sz w:val="12"/>
                <w:szCs w:val="12"/>
                <w:color w:val="auto"/>
              </w:rPr>
            </w:pPr>
          </w:p>
        </w:tc>
        <w:tc>
          <w:tcPr>
            <w:tcW w:w="9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9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9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00" w:type="dxa"/>
            <w:vAlign w:val="bottom"/>
            <w:shd w:val="clear" w:color="auto" w:fill="DBDBDB"/>
          </w:tcPr>
          <w:p>
            <w:pPr>
              <w:spacing w:after="0"/>
              <w:rPr>
                <w:sz w:val="12"/>
                <w:szCs w:val="12"/>
                <w:color w:val="auto"/>
              </w:rPr>
            </w:pPr>
          </w:p>
        </w:tc>
        <w:tc>
          <w:tcPr>
            <w:tcW w:w="620" w:type="dxa"/>
            <w:vAlign w:val="bottom"/>
            <w:shd w:val="clear" w:color="auto" w:fill="DBDBDB"/>
          </w:tcPr>
          <w:p>
            <w:pPr>
              <w:spacing w:after="0"/>
              <w:rPr>
                <w:sz w:val="12"/>
                <w:szCs w:val="12"/>
                <w:color w:val="auto"/>
              </w:rPr>
            </w:pPr>
          </w:p>
        </w:tc>
        <w:tc>
          <w:tcPr>
            <w:tcW w:w="540" w:type="dxa"/>
            <w:vAlign w:val="bottom"/>
            <w:shd w:val="clear" w:color="auto" w:fill="DBDBDB"/>
          </w:tcPr>
          <w:p>
            <w:pPr>
              <w:spacing w:after="0"/>
              <w:rPr>
                <w:sz w:val="12"/>
                <w:szCs w:val="12"/>
                <w:color w:val="auto"/>
              </w:rPr>
            </w:pPr>
          </w:p>
        </w:tc>
        <w:tc>
          <w:tcPr>
            <w:tcW w:w="920" w:type="dxa"/>
            <w:vAlign w:val="bottom"/>
            <w:shd w:val="clear" w:color="auto" w:fill="DBDBDB"/>
          </w:tcPr>
          <w:p>
            <w:pPr>
              <w:spacing w:after="0"/>
              <w:rPr>
                <w:sz w:val="12"/>
                <w:szCs w:val="12"/>
                <w:color w:val="auto"/>
              </w:rPr>
            </w:pPr>
          </w:p>
        </w:tc>
        <w:tc>
          <w:tcPr>
            <w:tcW w:w="24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r>
      <w:tr>
        <w:trPr>
          <w:trHeight w:val="172"/>
        </w:trPr>
        <w:tc>
          <w:tcPr>
            <w:tcW w:w="3960" w:type="dxa"/>
            <w:vAlign w:val="bottom"/>
          </w:tcPr>
          <w:p>
            <w:pPr>
              <w:ind w:left="200"/>
              <w:spacing w:after="0"/>
              <w:rPr>
                <w:sz w:val="20"/>
                <w:szCs w:val="20"/>
                <w:color w:val="auto"/>
              </w:rPr>
            </w:pPr>
            <w:r>
              <w:rPr>
                <w:rFonts w:ascii="Arial" w:cs="Arial" w:eastAsia="Arial" w:hAnsi="Arial"/>
                <w:sz w:val="13"/>
                <w:szCs w:val="13"/>
                <w:color w:val="auto"/>
              </w:rPr>
              <w:t>Adjusted EBITDA</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356,548</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500" w:type="dxa"/>
            <w:vAlign w:val="bottom"/>
          </w:tcPr>
          <w:p>
            <w:pPr>
              <w:jc w:val="center"/>
              <w:ind w:right="334"/>
              <w:spacing w:after="0"/>
              <w:rPr>
                <w:sz w:val="20"/>
                <w:szCs w:val="20"/>
                <w:color w:val="auto"/>
              </w:rPr>
            </w:pPr>
            <w:r>
              <w:rPr>
                <w:rFonts w:ascii="Arial" w:cs="Arial" w:eastAsia="Arial" w:hAnsi="Arial"/>
                <w:sz w:val="13"/>
                <w:szCs w:val="13"/>
                <w:color w:val="auto"/>
                <w:w w:val="82"/>
              </w:rPr>
              <w:t>$</w:t>
            </w:r>
          </w:p>
        </w:tc>
        <w:tc>
          <w:tcPr>
            <w:tcW w:w="620" w:type="dxa"/>
            <w:vAlign w:val="bottom"/>
          </w:tcPr>
          <w:p>
            <w:pPr>
              <w:ind w:left="42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14"/>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4"/>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356,548</w:t>
            </w:r>
          </w:p>
        </w:tc>
      </w:tr>
      <w:tr>
        <w:trPr>
          <w:trHeight w:val="178"/>
        </w:trPr>
        <w:tc>
          <w:tcPr>
            <w:tcW w:w="3960" w:type="dxa"/>
            <w:vAlign w:val="bottom"/>
            <w:shd w:val="clear" w:color="auto" w:fill="DBDBDB"/>
          </w:tcPr>
          <w:p>
            <w:pPr>
              <w:ind w:left="200"/>
              <w:spacing w:after="0"/>
              <w:rPr>
                <w:sz w:val="20"/>
                <w:szCs w:val="20"/>
                <w:color w:val="auto"/>
              </w:rPr>
            </w:pPr>
            <w:r>
              <w:rPr>
                <w:rFonts w:ascii="Arial" w:cs="Arial" w:eastAsia="Arial" w:hAnsi="Arial"/>
                <w:sz w:val="13"/>
                <w:szCs w:val="13"/>
                <w:color w:val="auto"/>
              </w:rPr>
              <w:t>Selling, general and administrative expense</w:t>
            </w: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235,228</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DBDBDB"/>
          </w:tcPr>
          <w:p>
            <w:pPr>
              <w:ind w:left="78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DBDBDB"/>
          </w:tcPr>
          <w:p>
            <w:pPr>
              <w:ind w:left="780"/>
              <w:spacing w:after="0"/>
              <w:rPr>
                <w:sz w:val="20"/>
                <w:szCs w:val="20"/>
                <w:color w:val="auto"/>
              </w:rPr>
            </w:pPr>
            <w:r>
              <w:rPr>
                <w:rFonts w:ascii="Arial" w:cs="Arial" w:eastAsia="Arial" w:hAnsi="Arial"/>
                <w:sz w:val="13"/>
                <w:szCs w:val="13"/>
                <w:color w:val="auto"/>
              </w:rPr>
              <w:t>—</w:t>
            </w:r>
          </w:p>
        </w:tc>
        <w:tc>
          <w:tcPr>
            <w:tcW w:w="500" w:type="dxa"/>
            <w:vAlign w:val="bottom"/>
            <w:shd w:val="clear" w:color="auto" w:fill="DBDBDB"/>
          </w:tcPr>
          <w:p>
            <w:pPr>
              <w:jc w:val="center"/>
              <w:ind w:right="334"/>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DBDBDB"/>
          </w:tcPr>
          <w:p>
            <w:pPr>
              <w:ind w:left="420"/>
              <w:spacing w:after="0"/>
              <w:rPr>
                <w:sz w:val="20"/>
                <w:szCs w:val="20"/>
                <w:color w:val="auto"/>
              </w:rPr>
            </w:pPr>
            <w:r>
              <w:rPr>
                <w:rFonts w:ascii="Arial" w:cs="Arial" w:eastAsia="Arial" w:hAnsi="Arial"/>
                <w:sz w:val="13"/>
                <w:szCs w:val="13"/>
                <w:color w:val="auto"/>
              </w:rPr>
              <w:t>—</w:t>
            </w:r>
          </w:p>
        </w:tc>
        <w:tc>
          <w:tcPr>
            <w:tcW w:w="540" w:type="dxa"/>
            <w:vAlign w:val="bottom"/>
            <w:shd w:val="clear" w:color="auto" w:fill="DBDBDB"/>
          </w:tcPr>
          <w:p>
            <w:pPr>
              <w:jc w:val="right"/>
              <w:ind w:right="314"/>
              <w:spacing w:after="0"/>
              <w:rPr>
                <w:sz w:val="20"/>
                <w:szCs w:val="20"/>
                <w:color w:val="auto"/>
              </w:rPr>
            </w:pPr>
            <w:r>
              <w:rPr>
                <w:rFonts w:ascii="Arial" w:cs="Arial" w:eastAsia="Arial" w:hAnsi="Arial"/>
                <w:sz w:val="13"/>
                <w:szCs w:val="13"/>
                <w:color w:val="auto"/>
              </w:rPr>
              <w:t>$</w:t>
            </w:r>
          </w:p>
        </w:tc>
        <w:tc>
          <w:tcPr>
            <w:tcW w:w="92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35,776</w:t>
            </w:r>
          </w:p>
        </w:tc>
        <w:tc>
          <w:tcPr>
            <w:tcW w:w="24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271,004</w:t>
            </w:r>
          </w:p>
        </w:tc>
      </w:tr>
      <w:tr>
        <w:trPr>
          <w:trHeight w:val="169"/>
        </w:trPr>
        <w:tc>
          <w:tcPr>
            <w:tcW w:w="3960" w:type="dxa"/>
            <w:vAlign w:val="bottom"/>
          </w:tcPr>
          <w:p>
            <w:pPr>
              <w:ind w:left="200"/>
              <w:spacing w:after="0"/>
              <w:rPr>
                <w:sz w:val="20"/>
                <w:szCs w:val="20"/>
                <w:color w:val="auto"/>
              </w:rPr>
            </w:pPr>
            <w:r>
              <w:rPr>
                <w:rFonts w:ascii="Arial" w:cs="Arial" w:eastAsia="Arial" w:hAnsi="Arial"/>
                <w:sz w:val="13"/>
                <w:szCs w:val="13"/>
                <w:color w:val="auto"/>
              </w:rPr>
              <w:t>Purchase of rental equipment and refurbishments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205,106</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500" w:type="dxa"/>
            <w:vAlign w:val="bottom"/>
          </w:tcPr>
          <w:p>
            <w:pPr>
              <w:jc w:val="center"/>
              <w:ind w:right="334"/>
              <w:spacing w:after="0"/>
              <w:rPr>
                <w:sz w:val="20"/>
                <w:szCs w:val="20"/>
                <w:color w:val="auto"/>
              </w:rPr>
            </w:pPr>
            <w:r>
              <w:rPr>
                <w:rFonts w:ascii="Arial" w:cs="Arial" w:eastAsia="Arial" w:hAnsi="Arial"/>
                <w:sz w:val="13"/>
                <w:szCs w:val="13"/>
                <w:color w:val="auto"/>
                <w:w w:val="82"/>
              </w:rPr>
              <w:t>$</w:t>
            </w:r>
          </w:p>
        </w:tc>
        <w:tc>
          <w:tcPr>
            <w:tcW w:w="620" w:type="dxa"/>
            <w:vAlign w:val="bottom"/>
          </w:tcPr>
          <w:p>
            <w:pPr>
              <w:ind w:left="42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14"/>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4"/>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205,106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48" w:right="319" w:bottom="1440" w:gutter="0" w:footer="0" w:header="0"/>
        </w:sectPr>
      </w:pPr>
    </w:p>
    <w:bookmarkStart w:id="112" w:name="page113"/>
    <w:bookmarkEnd w:id="112"/>
    <w:p>
      <w:pPr>
        <w:ind w:left="540"/>
        <w:spacing w:after="0"/>
        <w:rPr>
          <w:sz w:val="20"/>
          <w:szCs w:val="20"/>
          <w:color w:val="auto"/>
        </w:rPr>
      </w:pPr>
      <w:r>
        <w:rPr>
          <w:rFonts w:ascii="Arial" w:cs="Arial" w:eastAsia="Arial" w:hAnsi="Arial"/>
          <w:sz w:val="13"/>
          <w:szCs w:val="13"/>
          <w:color w:val="auto"/>
        </w:rPr>
        <w:t>The following tables present a reconciliation of the Company’s Net Income (Loss) to Adjusted EBITDA for the years ended December 31, 2021, 2020, and 2019, respectively:</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40" w:type="dxa"/>
            <w:vAlign w:val="bottom"/>
            <w:shd w:val="clear" w:color="auto" w:fill="1D2758"/>
          </w:tcPr>
          <w:p>
            <w:pPr>
              <w:spacing w:after="0"/>
              <w:rPr>
                <w:sz w:val="15"/>
                <w:szCs w:val="15"/>
                <w:color w:val="auto"/>
              </w:rPr>
            </w:pPr>
          </w:p>
        </w:tc>
        <w:tc>
          <w:tcPr>
            <w:tcW w:w="420" w:type="dxa"/>
            <w:vAlign w:val="bottom"/>
            <w:shd w:val="clear" w:color="auto" w:fill="1D2758"/>
          </w:tcPr>
          <w:p>
            <w:pPr>
              <w:spacing w:after="0"/>
              <w:rPr>
                <w:sz w:val="15"/>
                <w:szCs w:val="15"/>
                <w:color w:val="auto"/>
              </w:rPr>
            </w:pPr>
          </w:p>
        </w:tc>
        <w:tc>
          <w:tcPr>
            <w:tcW w:w="1360" w:type="dxa"/>
            <w:vAlign w:val="bottom"/>
            <w:shd w:val="clear" w:color="auto" w:fill="1D2758"/>
          </w:tcPr>
          <w:p>
            <w:pPr>
              <w:spacing w:after="0"/>
              <w:rPr>
                <w:sz w:val="15"/>
                <w:szCs w:val="15"/>
                <w:color w:val="auto"/>
              </w:rPr>
            </w:pPr>
          </w:p>
        </w:tc>
        <w:tc>
          <w:tcPr>
            <w:tcW w:w="10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1780" w:type="dxa"/>
            <w:vAlign w:val="bottom"/>
            <w:gridSpan w:val="2"/>
            <w:shd w:val="clear" w:color="auto" w:fill="1D2758"/>
          </w:tcPr>
          <w:p>
            <w:pPr>
              <w:spacing w:after="0"/>
              <w:rPr>
                <w:sz w:val="20"/>
                <w:szCs w:val="20"/>
                <w:color w:val="auto"/>
              </w:rPr>
            </w:pPr>
            <w:r>
              <w:rPr>
                <w:rFonts w:ascii="Arial" w:cs="Arial" w:eastAsia="Arial" w:hAnsi="Arial"/>
                <w:sz w:val="13"/>
                <w:szCs w:val="13"/>
                <w:b w:val="1"/>
                <w:bCs w:val="1"/>
                <w:color w:val="FFFFFF"/>
              </w:rPr>
              <w:t>Year Ended December 31,</w:t>
            </w:r>
          </w:p>
        </w:tc>
        <w:tc>
          <w:tcPr>
            <w:tcW w:w="420" w:type="dxa"/>
            <w:vAlign w:val="bottom"/>
            <w:shd w:val="clear" w:color="auto" w:fill="1D2758"/>
          </w:tcPr>
          <w:p>
            <w:pPr>
              <w:spacing w:after="0"/>
              <w:rPr>
                <w:sz w:val="15"/>
                <w:szCs w:val="15"/>
                <w:color w:val="auto"/>
              </w:rPr>
            </w:pPr>
          </w:p>
        </w:tc>
        <w:tc>
          <w:tcPr>
            <w:tcW w:w="1380" w:type="dxa"/>
            <w:vAlign w:val="bottom"/>
            <w:shd w:val="clear" w:color="auto" w:fill="1D2758"/>
          </w:tcPr>
          <w:p>
            <w:pPr>
              <w:spacing w:after="0"/>
              <w:rPr>
                <w:sz w:val="15"/>
                <w:szCs w:val="15"/>
                <w:color w:val="auto"/>
              </w:rPr>
            </w:pPr>
          </w:p>
        </w:tc>
      </w:tr>
      <w:tr>
        <w:trPr>
          <w:trHeight w:val="175"/>
        </w:trPr>
        <w:tc>
          <w:tcPr>
            <w:tcW w:w="574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420" w:type="dxa"/>
            <w:vAlign w:val="bottom"/>
            <w:shd w:val="clear" w:color="auto" w:fill="1D2758"/>
          </w:tcPr>
          <w:p>
            <w:pPr>
              <w:spacing w:after="0"/>
              <w:rPr>
                <w:sz w:val="15"/>
                <w:szCs w:val="15"/>
                <w:color w:val="auto"/>
              </w:rPr>
            </w:pPr>
          </w:p>
        </w:tc>
        <w:tc>
          <w:tcPr>
            <w:tcW w:w="1360" w:type="dxa"/>
            <w:vAlign w:val="bottom"/>
            <w:shd w:val="clear" w:color="auto" w:fill="1D2758"/>
          </w:tcPr>
          <w:p>
            <w:pPr>
              <w:jc w:val="right"/>
              <w:ind w:right="674"/>
              <w:spacing w:after="0"/>
              <w:rPr>
                <w:sz w:val="20"/>
                <w:szCs w:val="20"/>
                <w:color w:val="auto"/>
              </w:rPr>
            </w:pPr>
            <w:r>
              <w:rPr>
                <w:rFonts w:ascii="Arial" w:cs="Arial" w:eastAsia="Arial" w:hAnsi="Arial"/>
                <w:sz w:val="13"/>
                <w:szCs w:val="13"/>
                <w:b w:val="1"/>
                <w:bCs w:val="1"/>
                <w:color w:val="FFFFFF"/>
              </w:rPr>
              <w:t>2021</w:t>
            </w:r>
          </w:p>
        </w:tc>
        <w:tc>
          <w:tcPr>
            <w:tcW w:w="10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1700" w:type="dxa"/>
            <w:vAlign w:val="bottom"/>
            <w:shd w:val="clear" w:color="auto" w:fill="1D2758"/>
          </w:tcPr>
          <w:p>
            <w:pPr>
              <w:jc w:val="right"/>
              <w:ind w:right="674"/>
              <w:spacing w:after="0"/>
              <w:rPr>
                <w:sz w:val="20"/>
                <w:szCs w:val="20"/>
                <w:color w:val="auto"/>
              </w:rPr>
            </w:pPr>
            <w:r>
              <w:rPr>
                <w:rFonts w:ascii="Arial" w:cs="Arial" w:eastAsia="Arial" w:hAnsi="Arial"/>
                <w:sz w:val="13"/>
                <w:szCs w:val="13"/>
                <w:b w:val="1"/>
                <w:bCs w:val="1"/>
                <w:color w:val="FFFFFF"/>
              </w:rPr>
              <w:t>2020</w:t>
            </w:r>
          </w:p>
        </w:tc>
        <w:tc>
          <w:tcPr>
            <w:tcW w:w="80" w:type="dxa"/>
            <w:vAlign w:val="bottom"/>
            <w:shd w:val="clear" w:color="auto" w:fill="1D2758"/>
          </w:tcPr>
          <w:p>
            <w:pPr>
              <w:spacing w:after="0"/>
              <w:rPr>
                <w:sz w:val="15"/>
                <w:szCs w:val="15"/>
                <w:color w:val="auto"/>
              </w:rPr>
            </w:pPr>
          </w:p>
        </w:tc>
        <w:tc>
          <w:tcPr>
            <w:tcW w:w="420" w:type="dxa"/>
            <w:vAlign w:val="bottom"/>
            <w:shd w:val="clear" w:color="auto" w:fill="1D2758"/>
          </w:tcPr>
          <w:p>
            <w:pPr>
              <w:spacing w:after="0"/>
              <w:rPr>
                <w:sz w:val="15"/>
                <w:szCs w:val="15"/>
                <w:color w:val="auto"/>
              </w:rPr>
            </w:pPr>
          </w:p>
        </w:tc>
        <w:tc>
          <w:tcPr>
            <w:tcW w:w="1380" w:type="dxa"/>
            <w:vAlign w:val="bottom"/>
            <w:shd w:val="clear" w:color="auto" w:fill="1D2758"/>
          </w:tcPr>
          <w:p>
            <w:pPr>
              <w:jc w:val="right"/>
              <w:ind w:right="674"/>
              <w:spacing w:after="0"/>
              <w:rPr>
                <w:sz w:val="20"/>
                <w:szCs w:val="20"/>
                <w:color w:val="auto"/>
              </w:rPr>
            </w:pPr>
            <w:r>
              <w:rPr>
                <w:rFonts w:ascii="Arial" w:cs="Arial" w:eastAsia="Arial" w:hAnsi="Arial"/>
                <w:sz w:val="13"/>
                <w:szCs w:val="13"/>
                <w:b w:val="1"/>
                <w:bCs w:val="1"/>
                <w:color w:val="FFFFFF"/>
              </w:rPr>
              <w:t>2019</w:t>
            </w:r>
          </w:p>
        </w:tc>
      </w:tr>
      <w:tr>
        <w:trPr>
          <w:trHeight w:val="175"/>
        </w:trPr>
        <w:tc>
          <w:tcPr>
            <w:tcW w:w="5740" w:type="dxa"/>
            <w:vAlign w:val="bottom"/>
            <w:shd w:val="clear" w:color="auto" w:fill="DBDBDB"/>
          </w:tcPr>
          <w:p>
            <w:pPr>
              <w:ind w:left="20"/>
              <w:spacing w:after="0"/>
              <w:rPr>
                <w:sz w:val="20"/>
                <w:szCs w:val="20"/>
                <w:color w:val="auto"/>
              </w:rPr>
            </w:pPr>
            <w:r>
              <w:rPr>
                <w:rFonts w:ascii="Arial" w:cs="Arial" w:eastAsia="Arial" w:hAnsi="Arial"/>
                <w:sz w:val="13"/>
                <w:szCs w:val="13"/>
                <w:color w:val="auto"/>
              </w:rPr>
              <w:t>Net income (loss) attributable to WillScot Mobile Mini</w:t>
            </w:r>
          </w:p>
        </w:tc>
        <w:tc>
          <w:tcPr>
            <w:tcW w:w="420" w:type="dxa"/>
            <w:vAlign w:val="bottom"/>
            <w:shd w:val="clear" w:color="auto" w:fill="DBDBDB"/>
          </w:tcPr>
          <w:p>
            <w:pPr>
              <w:jc w:val="right"/>
              <w:ind w:right="274"/>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160,144</w:t>
            </w:r>
          </w:p>
        </w:tc>
        <w:tc>
          <w:tcPr>
            <w:tcW w:w="100" w:type="dxa"/>
            <w:vAlign w:val="bottom"/>
            <w:shd w:val="clear" w:color="auto" w:fill="DBDBDB"/>
          </w:tcPr>
          <w:p>
            <w:pPr>
              <w:spacing w:after="0"/>
              <w:rPr>
                <w:sz w:val="15"/>
                <w:szCs w:val="15"/>
                <w:color w:val="auto"/>
              </w:rPr>
            </w:pPr>
          </w:p>
        </w:tc>
        <w:tc>
          <w:tcPr>
            <w:tcW w:w="8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1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74,127</w:t>
            </w:r>
          </w:p>
        </w:tc>
        <w:tc>
          <w:tcPr>
            <w:tcW w:w="80" w:type="dxa"/>
            <w:vAlign w:val="bottom"/>
            <w:shd w:val="clear" w:color="auto" w:fill="DBDBDB"/>
          </w:tcPr>
          <w:p>
            <w:pPr>
              <w:spacing w:after="0"/>
              <w:rPr>
                <w:sz w:val="15"/>
                <w:szCs w:val="15"/>
                <w:color w:val="auto"/>
              </w:rPr>
            </w:pPr>
          </w:p>
        </w:tc>
        <w:tc>
          <w:tcPr>
            <w:tcW w:w="420" w:type="dxa"/>
            <w:vAlign w:val="bottom"/>
            <w:shd w:val="clear" w:color="auto" w:fill="DBDBDB"/>
          </w:tcPr>
          <w:p>
            <w:pPr>
              <w:jc w:val="right"/>
              <w:ind w:right="254"/>
              <w:spacing w:after="0"/>
              <w:rPr>
                <w:sz w:val="20"/>
                <w:szCs w:val="20"/>
                <w:color w:val="auto"/>
              </w:rPr>
            </w:pPr>
            <w:r>
              <w:rPr>
                <w:rFonts w:ascii="Arial" w:cs="Arial" w:eastAsia="Arial" w:hAnsi="Arial"/>
                <w:sz w:val="13"/>
                <w:szCs w:val="13"/>
                <w:color w:val="auto"/>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(120,744)</w:t>
            </w:r>
          </w:p>
        </w:tc>
      </w:tr>
      <w:tr>
        <w:trPr>
          <w:trHeight w:val="172"/>
        </w:trPr>
        <w:tc>
          <w:tcPr>
            <w:tcW w:w="5740" w:type="dxa"/>
            <w:vAlign w:val="bottom"/>
          </w:tcPr>
          <w:p>
            <w:pPr>
              <w:ind w:left="200"/>
              <w:spacing w:after="0"/>
              <w:rPr>
                <w:sz w:val="20"/>
                <w:szCs w:val="20"/>
                <w:color w:val="auto"/>
              </w:rPr>
            </w:pPr>
            <w:r>
              <w:rPr>
                <w:rFonts w:ascii="Arial" w:cs="Arial" w:eastAsia="Arial" w:hAnsi="Arial"/>
                <w:sz w:val="13"/>
                <w:szCs w:val="13"/>
                <w:color w:val="auto"/>
              </w:rPr>
              <w:t>Net income (loss) attributable to non-controlling interest, net of tax</w:t>
            </w:r>
          </w:p>
        </w:tc>
        <w:tc>
          <w:tcPr>
            <w:tcW w:w="420" w:type="dxa"/>
            <w:vAlign w:val="bottom"/>
          </w:tcPr>
          <w:p>
            <w:pPr>
              <w:spacing w:after="0"/>
              <w:rPr>
                <w:sz w:val="14"/>
                <w:szCs w:val="14"/>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1,213</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(421)</w:t>
            </w:r>
          </w:p>
        </w:tc>
      </w:tr>
      <w:tr>
        <w:trPr>
          <w:trHeight w:val="178"/>
        </w:trPr>
        <w:tc>
          <w:tcPr>
            <w:tcW w:w="57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Loss on extinguishment of debt</w:t>
            </w:r>
          </w:p>
        </w:tc>
        <w:tc>
          <w:tcPr>
            <w:tcW w:w="420" w:type="dxa"/>
            <w:vAlign w:val="bottom"/>
            <w:shd w:val="clear" w:color="auto" w:fill="DBDBDB"/>
          </w:tcPr>
          <w:p>
            <w:pPr>
              <w:spacing w:after="0"/>
              <w:rPr>
                <w:sz w:val="15"/>
                <w:szCs w:val="15"/>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5,999</w:t>
            </w:r>
          </w:p>
        </w:tc>
        <w:tc>
          <w:tcPr>
            <w:tcW w:w="1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42,401</w:t>
            </w:r>
          </w:p>
        </w:tc>
        <w:tc>
          <w:tcPr>
            <w:tcW w:w="8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8,755</w:t>
            </w:r>
          </w:p>
        </w:tc>
      </w:tr>
      <w:tr>
        <w:trPr>
          <w:trHeight w:val="172"/>
        </w:trPr>
        <w:tc>
          <w:tcPr>
            <w:tcW w:w="5740" w:type="dxa"/>
            <w:vAlign w:val="bottom"/>
          </w:tcPr>
          <w:p>
            <w:pPr>
              <w:ind w:left="200"/>
              <w:spacing w:after="0"/>
              <w:rPr>
                <w:sz w:val="20"/>
                <w:szCs w:val="20"/>
                <w:color w:val="auto"/>
              </w:rPr>
            </w:pPr>
            <w:r>
              <w:rPr>
                <w:rFonts w:ascii="Arial" w:cs="Arial" w:eastAsia="Arial" w:hAnsi="Arial"/>
                <w:sz w:val="13"/>
                <w:szCs w:val="13"/>
                <w:color w:val="auto"/>
              </w:rPr>
              <w:t>Income tax expense (benefit)</w:t>
            </w:r>
          </w:p>
        </w:tc>
        <w:tc>
          <w:tcPr>
            <w:tcW w:w="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49,546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(51,451)</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(2,191)</w:t>
            </w:r>
          </w:p>
        </w:tc>
      </w:tr>
      <w:tr>
        <w:trPr>
          <w:trHeight w:val="178"/>
        </w:trPr>
        <w:tc>
          <w:tcPr>
            <w:tcW w:w="57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Interest expense</w:t>
            </w:r>
          </w:p>
        </w:tc>
        <w:tc>
          <w:tcPr>
            <w:tcW w:w="420" w:type="dxa"/>
            <w:vAlign w:val="bottom"/>
            <w:shd w:val="clear" w:color="auto" w:fill="DBDBDB"/>
          </w:tcPr>
          <w:p>
            <w:pPr>
              <w:spacing w:after="0"/>
              <w:rPr>
                <w:sz w:val="15"/>
                <w:szCs w:val="15"/>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117,987</w:t>
            </w:r>
          </w:p>
        </w:tc>
        <w:tc>
          <w:tcPr>
            <w:tcW w:w="1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119,886</w:t>
            </w:r>
          </w:p>
        </w:tc>
        <w:tc>
          <w:tcPr>
            <w:tcW w:w="8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122,504</w:t>
            </w:r>
          </w:p>
        </w:tc>
      </w:tr>
      <w:tr>
        <w:trPr>
          <w:trHeight w:val="172"/>
        </w:trPr>
        <w:tc>
          <w:tcPr>
            <w:tcW w:w="5740" w:type="dxa"/>
            <w:vAlign w:val="bottom"/>
          </w:tcPr>
          <w:p>
            <w:pPr>
              <w:ind w:left="200"/>
              <w:spacing w:after="0"/>
              <w:rPr>
                <w:sz w:val="20"/>
                <w:szCs w:val="20"/>
                <w:color w:val="auto"/>
              </w:rPr>
            </w:pPr>
            <w:r>
              <w:rPr>
                <w:rFonts w:ascii="Arial" w:cs="Arial" w:eastAsia="Arial" w:hAnsi="Arial"/>
                <w:sz w:val="13"/>
                <w:szCs w:val="13"/>
                <w:color w:val="auto"/>
              </w:rPr>
              <w:t>Depreciation and amortization</w:t>
            </w:r>
          </w:p>
        </w:tc>
        <w:tc>
          <w:tcPr>
            <w:tcW w:w="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315,567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243,830</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187,074</w:t>
            </w:r>
          </w:p>
        </w:tc>
      </w:tr>
      <w:tr>
        <w:trPr>
          <w:trHeight w:val="178"/>
        </w:trPr>
        <w:tc>
          <w:tcPr>
            <w:tcW w:w="57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Fair value loss (gain) on common stock warrant liabilities</w:t>
            </w:r>
          </w:p>
        </w:tc>
        <w:tc>
          <w:tcPr>
            <w:tcW w:w="420" w:type="dxa"/>
            <w:vAlign w:val="bottom"/>
            <w:shd w:val="clear" w:color="auto" w:fill="DBDBDB"/>
          </w:tcPr>
          <w:p>
            <w:pPr>
              <w:spacing w:after="0"/>
              <w:rPr>
                <w:sz w:val="15"/>
                <w:szCs w:val="15"/>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26,597</w:t>
            </w:r>
          </w:p>
        </w:tc>
        <w:tc>
          <w:tcPr>
            <w:tcW w:w="1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(3,461)</w:t>
            </w:r>
          </w:p>
        </w:tc>
        <w:tc>
          <w:tcPr>
            <w:tcW w:w="8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109,622</w:t>
            </w:r>
          </w:p>
        </w:tc>
      </w:tr>
      <w:tr>
        <w:trPr>
          <w:trHeight w:val="172"/>
        </w:trPr>
        <w:tc>
          <w:tcPr>
            <w:tcW w:w="5740" w:type="dxa"/>
            <w:vAlign w:val="bottom"/>
          </w:tcPr>
          <w:p>
            <w:pPr>
              <w:ind w:left="200"/>
              <w:spacing w:after="0"/>
              <w:rPr>
                <w:sz w:val="20"/>
                <w:szCs w:val="20"/>
                <w:color w:val="auto"/>
              </w:rPr>
            </w:pPr>
            <w:r>
              <w:rPr>
                <w:rFonts w:ascii="Arial" w:cs="Arial" w:eastAsia="Arial" w:hAnsi="Arial"/>
                <w:sz w:val="13"/>
                <w:szCs w:val="13"/>
                <w:color w:val="auto"/>
              </w:rPr>
              <w:t>Currency losses (gains), net</w:t>
            </w:r>
          </w:p>
        </w:tc>
        <w:tc>
          <w:tcPr>
            <w:tcW w:w="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548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(355)</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(688)</w:t>
            </w:r>
          </w:p>
        </w:tc>
      </w:tr>
      <w:tr>
        <w:trPr>
          <w:trHeight w:val="178"/>
        </w:trPr>
        <w:tc>
          <w:tcPr>
            <w:tcW w:w="57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Impairment losses on long-lived assets</w:t>
            </w:r>
          </w:p>
        </w:tc>
        <w:tc>
          <w:tcPr>
            <w:tcW w:w="420" w:type="dxa"/>
            <w:vAlign w:val="bottom"/>
            <w:shd w:val="clear" w:color="auto" w:fill="DBDBDB"/>
          </w:tcPr>
          <w:p>
            <w:pPr>
              <w:spacing w:after="0"/>
              <w:rPr>
                <w:sz w:val="15"/>
                <w:szCs w:val="15"/>
                <w:color w:val="auto"/>
              </w:rPr>
            </w:pPr>
          </w:p>
        </w:tc>
        <w:tc>
          <w:tcPr>
            <w:tcW w:w="146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5"/>
                <w:szCs w:val="15"/>
                <w:color w:val="auto"/>
              </w:rPr>
            </w:pPr>
          </w:p>
        </w:tc>
        <w:tc>
          <w:tcPr>
            <w:tcW w:w="178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shd w:val="clear" w:color="auto" w:fill="DBDBDB"/>
          </w:tcPr>
          <w:p>
            <w:pPr>
              <w:spacing w:after="0"/>
              <w:rPr>
                <w:sz w:val="15"/>
                <w:szCs w:val="15"/>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2,848</w:t>
            </w:r>
          </w:p>
        </w:tc>
      </w:tr>
      <w:tr>
        <w:trPr>
          <w:trHeight w:val="172"/>
        </w:trPr>
        <w:tc>
          <w:tcPr>
            <w:tcW w:w="5740" w:type="dxa"/>
            <w:vAlign w:val="bottom"/>
          </w:tcPr>
          <w:p>
            <w:pPr>
              <w:ind w:left="200"/>
              <w:spacing w:after="0"/>
              <w:rPr>
                <w:sz w:val="20"/>
                <w:szCs w:val="20"/>
                <w:color w:val="auto"/>
              </w:rPr>
            </w:pPr>
            <w:r>
              <w:rPr>
                <w:rFonts w:ascii="Arial" w:cs="Arial" w:eastAsia="Arial" w:hAnsi="Arial"/>
                <w:sz w:val="13"/>
                <w:szCs w:val="13"/>
                <w:color w:val="auto"/>
              </w:rPr>
              <w:t>Restructuring costs, lease impairment expense and other related charges</w:t>
            </w:r>
          </w:p>
        </w:tc>
        <w:tc>
          <w:tcPr>
            <w:tcW w:w="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14,756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11,403</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12,429</w:t>
            </w:r>
          </w:p>
        </w:tc>
      </w:tr>
      <w:tr>
        <w:trPr>
          <w:trHeight w:val="178"/>
        </w:trPr>
        <w:tc>
          <w:tcPr>
            <w:tcW w:w="57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Transaction costs</w:t>
            </w:r>
          </w:p>
        </w:tc>
        <w:tc>
          <w:tcPr>
            <w:tcW w:w="420" w:type="dxa"/>
            <w:vAlign w:val="bottom"/>
            <w:shd w:val="clear" w:color="auto" w:fill="DBDBDB"/>
          </w:tcPr>
          <w:p>
            <w:pPr>
              <w:spacing w:after="0"/>
              <w:rPr>
                <w:sz w:val="15"/>
                <w:szCs w:val="15"/>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1,375</w:t>
            </w:r>
          </w:p>
        </w:tc>
        <w:tc>
          <w:tcPr>
            <w:tcW w:w="1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64,053</w:t>
            </w:r>
          </w:p>
        </w:tc>
        <w:tc>
          <w:tcPr>
            <w:tcW w:w="8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5740" w:type="dxa"/>
            <w:vAlign w:val="bottom"/>
          </w:tcPr>
          <w:p>
            <w:pPr>
              <w:ind w:left="200"/>
              <w:spacing w:after="0"/>
              <w:rPr>
                <w:sz w:val="20"/>
                <w:szCs w:val="20"/>
                <w:color w:val="auto"/>
              </w:rPr>
            </w:pPr>
            <w:r>
              <w:rPr>
                <w:rFonts w:ascii="Arial" w:cs="Arial" w:eastAsia="Arial" w:hAnsi="Arial"/>
                <w:sz w:val="13"/>
                <w:szCs w:val="13"/>
                <w:color w:val="auto"/>
              </w:rPr>
              <w:t>Integration costs</w:t>
            </w:r>
          </w:p>
        </w:tc>
        <w:tc>
          <w:tcPr>
            <w:tcW w:w="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28,424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18,338</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26,607</w:t>
            </w:r>
          </w:p>
        </w:tc>
      </w:tr>
      <w:tr>
        <w:trPr>
          <w:trHeight w:val="178"/>
        </w:trPr>
        <w:tc>
          <w:tcPr>
            <w:tcW w:w="5740" w:type="dxa"/>
            <w:vAlign w:val="bottom"/>
            <w:shd w:val="clear" w:color="auto" w:fill="DBDBDB"/>
          </w:tcPr>
          <w:p>
            <w:pPr>
              <w:ind w:left="200"/>
              <w:spacing w:after="0"/>
              <w:rPr>
                <w:sz w:val="20"/>
                <w:szCs w:val="20"/>
                <w:color w:val="auto"/>
              </w:rPr>
            </w:pPr>
            <w:r>
              <w:rPr>
                <w:rFonts w:ascii="Arial" w:cs="Arial" w:eastAsia="Arial" w:hAnsi="Arial"/>
                <w:sz w:val="13"/>
                <w:szCs w:val="13"/>
                <w:color w:val="auto"/>
              </w:rPr>
              <w:t>Stock compensation expense</w:t>
            </w:r>
          </w:p>
        </w:tc>
        <w:tc>
          <w:tcPr>
            <w:tcW w:w="420" w:type="dxa"/>
            <w:vAlign w:val="bottom"/>
            <w:shd w:val="clear" w:color="auto" w:fill="DBDBDB"/>
          </w:tcPr>
          <w:p>
            <w:pPr>
              <w:spacing w:after="0"/>
              <w:rPr>
                <w:sz w:val="15"/>
                <w:szCs w:val="15"/>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18,989</w:t>
            </w:r>
          </w:p>
        </w:tc>
        <w:tc>
          <w:tcPr>
            <w:tcW w:w="1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9,879</w:t>
            </w:r>
          </w:p>
        </w:tc>
        <w:tc>
          <w:tcPr>
            <w:tcW w:w="8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6,686</w:t>
            </w:r>
          </w:p>
        </w:tc>
      </w:tr>
      <w:tr>
        <w:trPr>
          <w:trHeight w:val="172"/>
        </w:trPr>
        <w:tc>
          <w:tcPr>
            <w:tcW w:w="5740" w:type="dxa"/>
            <w:vAlign w:val="bottom"/>
            <w:tcBorders>
              <w:bottom w:val="single" w:sz="8" w:color="DBDBDB"/>
            </w:tcBorders>
          </w:tcPr>
          <w:p>
            <w:pPr>
              <w:ind w:left="200"/>
              <w:spacing w:after="0"/>
              <w:rPr>
                <w:sz w:val="20"/>
                <w:szCs w:val="20"/>
                <w:color w:val="auto"/>
              </w:rPr>
            </w:pPr>
            <w:r>
              <w:rPr>
                <w:rFonts w:ascii="Arial" w:cs="Arial" w:eastAsia="Arial" w:hAnsi="Arial"/>
                <w:sz w:val="13"/>
                <w:szCs w:val="13"/>
                <w:color w:val="auto"/>
              </w:rPr>
              <w:t>Other</w:t>
            </w: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461</w:t>
            </w:r>
          </w:p>
        </w:tc>
        <w:tc>
          <w:tcPr>
            <w:tcW w:w="100" w:type="dxa"/>
            <w:vAlign w:val="bottom"/>
            <w:tcBorders>
              <w:bottom w:val="single" w:sz="8" w:color="DBDBDB"/>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444</w:t>
            </w:r>
          </w:p>
        </w:tc>
        <w:tc>
          <w:tcPr>
            <w:tcW w:w="80" w:type="dxa"/>
            <w:vAlign w:val="bottom"/>
            <w:tcBorders>
              <w:bottom w:val="single" w:sz="8" w:color="DBDBDB"/>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4,067</w:t>
            </w:r>
          </w:p>
        </w:tc>
      </w:tr>
      <w:tr>
        <w:trPr>
          <w:trHeight w:val="194"/>
        </w:trPr>
        <w:tc>
          <w:tcPr>
            <w:tcW w:w="57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Adjusted EBITDA</w:t>
            </w:r>
          </w:p>
        </w:tc>
        <w:tc>
          <w:tcPr>
            <w:tcW w:w="420" w:type="dxa"/>
            <w:vAlign w:val="bottom"/>
            <w:tcBorders>
              <w:bottom w:val="single" w:sz="8" w:color="auto"/>
            </w:tcBorders>
            <w:shd w:val="clear" w:color="auto" w:fill="DBDBDB"/>
          </w:tcPr>
          <w:p>
            <w:pPr>
              <w:jc w:val="right"/>
              <w:ind w:right="274"/>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740,393</w:t>
            </w:r>
          </w:p>
        </w:tc>
        <w:tc>
          <w:tcPr>
            <w:tcW w:w="100" w:type="dxa"/>
            <w:vAlign w:val="bottom"/>
            <w:tcBorders>
              <w:bottom w:val="single" w:sz="8" w:color="DBDBDB"/>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530,307</w:t>
            </w:r>
          </w:p>
        </w:tc>
        <w:tc>
          <w:tcPr>
            <w:tcW w:w="80" w:type="dxa"/>
            <w:vAlign w:val="bottom"/>
            <w:tcBorders>
              <w:bottom w:val="single" w:sz="8" w:color="DBDBDB"/>
            </w:tcBorders>
            <w:shd w:val="clear" w:color="auto" w:fill="DBDBDB"/>
          </w:tcPr>
          <w:p>
            <w:pPr>
              <w:spacing w:after="0"/>
              <w:rPr>
                <w:sz w:val="16"/>
                <w:szCs w:val="16"/>
                <w:color w:val="auto"/>
              </w:rPr>
            </w:pPr>
          </w:p>
        </w:tc>
        <w:tc>
          <w:tcPr>
            <w:tcW w:w="420" w:type="dxa"/>
            <w:vAlign w:val="bottom"/>
            <w:tcBorders>
              <w:bottom w:val="single" w:sz="8" w:color="auto"/>
            </w:tcBorders>
            <w:shd w:val="clear" w:color="auto" w:fill="DBDBDB"/>
          </w:tcPr>
          <w:p>
            <w:pPr>
              <w:jc w:val="right"/>
              <w:ind w:right="254"/>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356,548</w:t>
            </w:r>
          </w:p>
        </w:tc>
      </w:tr>
      <w:tr>
        <w:trPr>
          <w:trHeight w:val="20"/>
        </w:trPr>
        <w:tc>
          <w:tcPr>
            <w:tcW w:w="574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bottom w:val="single" w:sz="8" w:color="auto"/>
            </w:tcBorders>
          </w:tcPr>
          <w:p>
            <w:pPr>
              <w:spacing w:after="0" w:line="20" w:lineRule="exact"/>
              <w:rPr>
                <w:sz w:val="1"/>
                <w:szCs w:val="1"/>
                <w:color w:val="auto"/>
              </w:rPr>
            </w:pPr>
          </w:p>
        </w:tc>
        <w:tc>
          <w:tcPr>
            <w:tcW w:w="17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r>
    </w:tbl>
    <w:p>
      <w:pPr>
        <w:spacing w:after="0" w:line="362"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Included in restructuring costs for the year ended December 31, 2021 was expense of approximately $7.2 million recognized as a result of the modification of certain equity awards associated with the Transition, Separation and Release Agreement entered into on February 25, 2021 with the Company's former President and Chief Operating Officer. For the year ended December 31, 2021, stock-based compensation expense reported in the Statement of Cash Flows included these charges.</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Assets</w:t>
      </w:r>
    </w:p>
    <w:p>
      <w:pPr>
        <w:spacing w:after="0" w:line="66" w:lineRule="exact"/>
        <w:rPr>
          <w:sz w:val="20"/>
          <w:szCs w:val="20"/>
          <w:color w:val="auto"/>
        </w:rPr>
      </w:pPr>
    </w:p>
    <w:p>
      <w:pPr>
        <w:ind w:left="540"/>
        <w:spacing w:after="0"/>
        <w:rPr>
          <w:sz w:val="20"/>
          <w:szCs w:val="20"/>
          <w:color w:val="auto"/>
        </w:rPr>
      </w:pPr>
      <w:r>
        <w:rPr>
          <w:rFonts w:ascii="Arial" w:cs="Arial" w:eastAsia="Arial" w:hAnsi="Arial"/>
          <w:sz w:val="13"/>
          <w:szCs w:val="13"/>
          <w:color w:val="auto"/>
        </w:rPr>
        <w:t>As discussed further in Note 2, the Company acquired Mobile Mini on July 1, 2020. Assets related to the Company’s reportable segments include the following:</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0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740" w:type="dxa"/>
            <w:vAlign w:val="bottom"/>
            <w:shd w:val="clear" w:color="auto" w:fill="1D2758"/>
          </w:tcPr>
          <w:p>
            <w:pPr>
              <w:spacing w:after="0"/>
              <w:rPr>
                <w:sz w:val="15"/>
                <w:szCs w:val="15"/>
                <w:color w:val="auto"/>
              </w:rPr>
            </w:pPr>
          </w:p>
        </w:tc>
        <w:tc>
          <w:tcPr>
            <w:tcW w:w="1420" w:type="dxa"/>
            <w:vAlign w:val="bottom"/>
            <w:shd w:val="clear" w:color="auto" w:fill="1D2758"/>
          </w:tcPr>
          <w:p>
            <w:pPr>
              <w:jc w:val="right"/>
              <w:ind w:right="434"/>
              <w:spacing w:after="0"/>
              <w:rPr>
                <w:sz w:val="20"/>
                <w:szCs w:val="20"/>
                <w:color w:val="auto"/>
              </w:rPr>
            </w:pPr>
            <w:r>
              <w:rPr>
                <w:rFonts w:ascii="Arial" w:cs="Arial" w:eastAsia="Arial" w:hAnsi="Arial"/>
                <w:sz w:val="13"/>
                <w:szCs w:val="13"/>
                <w:b w:val="1"/>
                <w:bCs w:val="1"/>
                <w:color w:val="FFFFFF"/>
              </w:rPr>
              <w:t>NA Modular</w:t>
            </w:r>
          </w:p>
        </w:tc>
        <w:tc>
          <w:tcPr>
            <w:tcW w:w="340" w:type="dxa"/>
            <w:vAlign w:val="bottom"/>
            <w:shd w:val="clear" w:color="auto" w:fill="1D2758"/>
          </w:tcPr>
          <w:p>
            <w:pPr>
              <w:spacing w:after="0"/>
              <w:rPr>
                <w:sz w:val="15"/>
                <w:szCs w:val="15"/>
                <w:color w:val="auto"/>
              </w:rPr>
            </w:pPr>
          </w:p>
        </w:tc>
        <w:tc>
          <w:tcPr>
            <w:tcW w:w="1420" w:type="dxa"/>
            <w:vAlign w:val="bottom"/>
            <w:shd w:val="clear" w:color="auto" w:fill="1D2758"/>
          </w:tcPr>
          <w:p>
            <w:pPr>
              <w:jc w:val="right"/>
              <w:ind w:right="434"/>
              <w:spacing w:after="0"/>
              <w:rPr>
                <w:sz w:val="20"/>
                <w:szCs w:val="20"/>
                <w:color w:val="auto"/>
              </w:rPr>
            </w:pPr>
            <w:r>
              <w:rPr>
                <w:rFonts w:ascii="Arial" w:cs="Arial" w:eastAsia="Arial" w:hAnsi="Arial"/>
                <w:sz w:val="13"/>
                <w:szCs w:val="13"/>
                <w:b w:val="1"/>
                <w:bCs w:val="1"/>
                <w:color w:val="FFFFFF"/>
              </w:rPr>
              <w:t>NA Storage</w:t>
            </w:r>
          </w:p>
        </w:tc>
        <w:tc>
          <w:tcPr>
            <w:tcW w:w="360" w:type="dxa"/>
            <w:vAlign w:val="bottom"/>
            <w:shd w:val="clear" w:color="auto" w:fill="1D2758"/>
          </w:tcPr>
          <w:p>
            <w:pPr>
              <w:spacing w:after="0"/>
              <w:rPr>
                <w:sz w:val="15"/>
                <w:szCs w:val="15"/>
                <w:color w:val="auto"/>
              </w:rPr>
            </w:pPr>
          </w:p>
        </w:tc>
        <w:tc>
          <w:tcPr>
            <w:tcW w:w="1420" w:type="dxa"/>
            <w:vAlign w:val="bottom"/>
            <w:shd w:val="clear" w:color="auto" w:fill="1D2758"/>
          </w:tcPr>
          <w:p>
            <w:pPr>
              <w:jc w:val="right"/>
              <w:ind w:right="434"/>
              <w:spacing w:after="0"/>
              <w:rPr>
                <w:sz w:val="20"/>
                <w:szCs w:val="20"/>
                <w:color w:val="auto"/>
              </w:rPr>
            </w:pPr>
            <w:r>
              <w:rPr>
                <w:rFonts w:ascii="Arial" w:cs="Arial" w:eastAsia="Arial" w:hAnsi="Arial"/>
                <w:sz w:val="13"/>
                <w:szCs w:val="13"/>
                <w:b w:val="1"/>
                <w:bCs w:val="1"/>
                <w:color w:val="FFFFFF"/>
              </w:rPr>
              <w:t>UK Storage</w:t>
            </w:r>
          </w:p>
        </w:tc>
        <w:tc>
          <w:tcPr>
            <w:tcW w:w="280" w:type="dxa"/>
            <w:vAlign w:val="bottom"/>
            <w:shd w:val="clear" w:color="auto" w:fill="1D2758"/>
          </w:tcPr>
          <w:p>
            <w:pPr>
              <w:spacing w:after="0"/>
              <w:rPr>
                <w:sz w:val="15"/>
                <w:szCs w:val="15"/>
                <w:color w:val="auto"/>
              </w:rPr>
            </w:pPr>
          </w:p>
        </w:tc>
        <w:tc>
          <w:tcPr>
            <w:tcW w:w="1480" w:type="dxa"/>
            <w:vAlign w:val="bottom"/>
            <w:shd w:val="clear" w:color="auto" w:fill="1D2758"/>
          </w:tcPr>
          <w:p>
            <w:pPr>
              <w:jc w:val="right"/>
              <w:ind w:right="314"/>
              <w:spacing w:after="0"/>
              <w:rPr>
                <w:sz w:val="20"/>
                <w:szCs w:val="20"/>
                <w:color w:val="auto"/>
              </w:rPr>
            </w:pPr>
            <w:r>
              <w:rPr>
                <w:rFonts w:ascii="Arial" w:cs="Arial" w:eastAsia="Arial" w:hAnsi="Arial"/>
                <w:sz w:val="13"/>
                <w:szCs w:val="13"/>
                <w:b w:val="1"/>
                <w:bCs w:val="1"/>
                <w:color w:val="FFFFFF"/>
              </w:rPr>
              <w:t>Tank and Pump</w:t>
            </w:r>
          </w:p>
        </w:tc>
        <w:tc>
          <w:tcPr>
            <w:tcW w:w="460" w:type="dxa"/>
            <w:vAlign w:val="bottom"/>
            <w:shd w:val="clear" w:color="auto" w:fill="1D2758"/>
          </w:tcPr>
          <w:p>
            <w:pPr>
              <w:spacing w:after="0"/>
              <w:rPr>
                <w:sz w:val="15"/>
                <w:szCs w:val="15"/>
                <w:color w:val="auto"/>
              </w:rPr>
            </w:pPr>
          </w:p>
        </w:tc>
        <w:tc>
          <w:tcPr>
            <w:tcW w:w="1300" w:type="dxa"/>
            <w:vAlign w:val="bottom"/>
            <w:shd w:val="clear" w:color="auto" w:fill="1D2758"/>
          </w:tcPr>
          <w:p>
            <w:pPr>
              <w:jc w:val="right"/>
              <w:ind w:right="614"/>
              <w:spacing w:after="0"/>
              <w:rPr>
                <w:sz w:val="20"/>
                <w:szCs w:val="20"/>
                <w:color w:val="auto"/>
              </w:rPr>
            </w:pPr>
            <w:r>
              <w:rPr>
                <w:rFonts w:ascii="Arial" w:cs="Arial" w:eastAsia="Arial" w:hAnsi="Arial"/>
                <w:sz w:val="13"/>
                <w:szCs w:val="13"/>
                <w:b w:val="1"/>
                <w:bCs w:val="1"/>
                <w:color w:val="FFFFFF"/>
              </w:rPr>
              <w:t>Total</w:t>
            </w:r>
          </w:p>
        </w:tc>
      </w:tr>
      <w:tr>
        <w:trPr>
          <w:trHeight w:val="175"/>
        </w:trPr>
        <w:tc>
          <w:tcPr>
            <w:tcW w:w="2000" w:type="dxa"/>
            <w:vAlign w:val="bottom"/>
            <w:shd w:val="clear" w:color="auto" w:fill="DBDBDB"/>
          </w:tcPr>
          <w:p>
            <w:pPr>
              <w:ind w:left="20"/>
              <w:spacing w:after="0"/>
              <w:rPr>
                <w:sz w:val="20"/>
                <w:szCs w:val="20"/>
                <w:color w:val="auto"/>
              </w:rPr>
            </w:pPr>
            <w:r>
              <w:rPr>
                <w:rFonts w:ascii="Arial" w:cs="Arial" w:eastAsia="Arial" w:hAnsi="Arial"/>
                <w:sz w:val="13"/>
                <w:szCs w:val="13"/>
                <w:color w:val="auto"/>
              </w:rPr>
              <w:t>As of December 31, 2021:</w:t>
            </w:r>
          </w:p>
        </w:tc>
        <w:tc>
          <w:tcPr>
            <w:tcW w:w="740" w:type="dxa"/>
            <w:vAlign w:val="bottom"/>
            <w:shd w:val="clear" w:color="auto" w:fill="DBDBDB"/>
          </w:tcPr>
          <w:p>
            <w:pPr>
              <w:spacing w:after="0"/>
              <w:rPr>
                <w:sz w:val="15"/>
                <w:szCs w:val="15"/>
                <w:color w:val="auto"/>
              </w:rPr>
            </w:pPr>
          </w:p>
        </w:tc>
        <w:tc>
          <w:tcPr>
            <w:tcW w:w="142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142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42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480" w:type="dxa"/>
            <w:vAlign w:val="bottom"/>
            <w:shd w:val="clear" w:color="auto" w:fill="DBDBDB"/>
          </w:tcPr>
          <w:p>
            <w:pPr>
              <w:spacing w:after="0"/>
              <w:rPr>
                <w:sz w:val="15"/>
                <w:szCs w:val="15"/>
                <w:color w:val="auto"/>
              </w:rPr>
            </w:pPr>
          </w:p>
        </w:tc>
        <w:tc>
          <w:tcPr>
            <w:tcW w:w="46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r>
      <w:tr>
        <w:trPr>
          <w:trHeight w:val="172"/>
        </w:trPr>
        <w:tc>
          <w:tcPr>
            <w:tcW w:w="2000" w:type="dxa"/>
            <w:vAlign w:val="bottom"/>
          </w:tcPr>
          <w:p>
            <w:pPr>
              <w:ind w:left="200"/>
              <w:spacing w:after="0"/>
              <w:rPr>
                <w:sz w:val="20"/>
                <w:szCs w:val="20"/>
                <w:color w:val="auto"/>
              </w:rPr>
            </w:pPr>
            <w:r>
              <w:rPr>
                <w:rFonts w:ascii="Arial" w:cs="Arial" w:eastAsia="Arial" w:hAnsi="Arial"/>
                <w:sz w:val="13"/>
                <w:szCs w:val="13"/>
                <w:color w:val="auto"/>
              </w:rPr>
              <w:t>Goodwill</w:t>
            </w:r>
          </w:p>
        </w:tc>
        <w:tc>
          <w:tcPr>
            <w:tcW w:w="74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14"/>
              <w:spacing w:after="0"/>
              <w:rPr>
                <w:sz w:val="20"/>
                <w:szCs w:val="20"/>
                <w:color w:val="auto"/>
              </w:rPr>
            </w:pPr>
            <w:r>
              <w:rPr>
                <w:rFonts w:ascii="Arial" w:cs="Arial" w:eastAsia="Arial" w:hAnsi="Arial"/>
                <w:sz w:val="13"/>
                <w:szCs w:val="13"/>
                <w:color w:val="auto"/>
              </w:rPr>
              <w:t>521,049</w:t>
            </w:r>
          </w:p>
        </w:tc>
        <w:tc>
          <w:tcPr>
            <w:tcW w:w="34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14"/>
              <w:spacing w:after="0"/>
              <w:rPr>
                <w:sz w:val="20"/>
                <w:szCs w:val="20"/>
                <w:color w:val="auto"/>
              </w:rPr>
            </w:pPr>
            <w:r>
              <w:rPr>
                <w:rFonts w:ascii="Arial" w:cs="Arial" w:eastAsia="Arial" w:hAnsi="Arial"/>
                <w:sz w:val="13"/>
                <w:szCs w:val="13"/>
                <w:color w:val="auto"/>
              </w:rPr>
              <w:t>492,552</w:t>
            </w:r>
          </w:p>
        </w:tc>
        <w:tc>
          <w:tcPr>
            <w:tcW w:w="36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14"/>
              <w:spacing w:after="0"/>
              <w:rPr>
                <w:sz w:val="20"/>
                <w:szCs w:val="20"/>
                <w:color w:val="auto"/>
              </w:rPr>
            </w:pPr>
            <w:r>
              <w:rPr>
                <w:rFonts w:ascii="Arial" w:cs="Arial" w:eastAsia="Arial" w:hAnsi="Arial"/>
                <w:sz w:val="13"/>
                <w:szCs w:val="13"/>
                <w:color w:val="auto"/>
              </w:rPr>
              <w:t>65,098</w:t>
            </w:r>
          </w:p>
        </w:tc>
        <w:tc>
          <w:tcPr>
            <w:tcW w:w="28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480" w:type="dxa"/>
            <w:vAlign w:val="bottom"/>
          </w:tcPr>
          <w:p>
            <w:pPr>
              <w:jc w:val="right"/>
              <w:ind w:right="14"/>
              <w:spacing w:after="0"/>
              <w:rPr>
                <w:sz w:val="20"/>
                <w:szCs w:val="20"/>
                <w:color w:val="auto"/>
              </w:rPr>
            </w:pPr>
            <w:r>
              <w:rPr>
                <w:rFonts w:ascii="Arial" w:cs="Arial" w:eastAsia="Arial" w:hAnsi="Arial"/>
                <w:sz w:val="13"/>
                <w:szCs w:val="13"/>
                <w:color w:val="auto"/>
              </w:rPr>
              <w:t>100,107</w:t>
            </w:r>
          </w:p>
        </w:tc>
        <w:tc>
          <w:tcPr>
            <w:tcW w:w="460" w:type="dxa"/>
            <w:vAlign w:val="bottom"/>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1,178,806</w:t>
            </w:r>
          </w:p>
        </w:tc>
      </w:tr>
      <w:tr>
        <w:trPr>
          <w:trHeight w:val="178"/>
        </w:trPr>
        <w:tc>
          <w:tcPr>
            <w:tcW w:w="2000" w:type="dxa"/>
            <w:vAlign w:val="bottom"/>
            <w:shd w:val="clear" w:color="auto" w:fill="DBDBDB"/>
          </w:tcPr>
          <w:p>
            <w:pPr>
              <w:ind w:left="200"/>
              <w:spacing w:after="0"/>
              <w:rPr>
                <w:sz w:val="20"/>
                <w:szCs w:val="20"/>
                <w:color w:val="auto"/>
              </w:rPr>
            </w:pPr>
            <w:r>
              <w:rPr>
                <w:rFonts w:ascii="Arial" w:cs="Arial" w:eastAsia="Arial" w:hAnsi="Arial"/>
                <w:sz w:val="13"/>
                <w:szCs w:val="13"/>
                <w:color w:val="auto"/>
              </w:rPr>
              <w:t>Intangible assets, net</w:t>
            </w:r>
          </w:p>
        </w:tc>
        <w:tc>
          <w:tcPr>
            <w:tcW w:w="7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w:t>
            </w:r>
          </w:p>
        </w:tc>
        <w:tc>
          <w:tcPr>
            <w:tcW w:w="1420" w:type="dxa"/>
            <w:vAlign w:val="bottom"/>
            <w:shd w:val="clear" w:color="auto" w:fill="DBDBDB"/>
          </w:tcPr>
          <w:p>
            <w:pPr>
              <w:jc w:val="right"/>
              <w:ind w:right="14"/>
              <w:spacing w:after="0"/>
              <w:rPr>
                <w:sz w:val="20"/>
                <w:szCs w:val="20"/>
                <w:color w:val="auto"/>
              </w:rPr>
            </w:pPr>
            <w:r>
              <w:rPr>
                <w:rFonts w:ascii="Arial" w:cs="Arial" w:eastAsia="Arial" w:hAnsi="Arial"/>
                <w:sz w:val="13"/>
                <w:szCs w:val="13"/>
                <w:color w:val="auto"/>
              </w:rPr>
              <w:t>125,000</w:t>
            </w:r>
          </w:p>
        </w:tc>
        <w:tc>
          <w:tcPr>
            <w:tcW w:w="340" w:type="dxa"/>
            <w:vAlign w:val="bottom"/>
            <w:shd w:val="clear" w:color="auto" w:fill="DBDBDB"/>
          </w:tcPr>
          <w:p>
            <w:pPr>
              <w:jc w:val="right"/>
              <w:ind w:right="114"/>
              <w:spacing w:after="0"/>
              <w:rPr>
                <w:sz w:val="20"/>
                <w:szCs w:val="20"/>
                <w:color w:val="auto"/>
              </w:rPr>
            </w:pPr>
            <w:r>
              <w:rPr>
                <w:rFonts w:ascii="Arial" w:cs="Arial" w:eastAsia="Arial" w:hAnsi="Arial"/>
                <w:sz w:val="13"/>
                <w:szCs w:val="13"/>
                <w:color w:val="auto"/>
              </w:rPr>
              <w:t>$</w:t>
            </w:r>
          </w:p>
        </w:tc>
        <w:tc>
          <w:tcPr>
            <w:tcW w:w="1420" w:type="dxa"/>
            <w:vAlign w:val="bottom"/>
            <w:shd w:val="clear" w:color="auto" w:fill="DBDBDB"/>
          </w:tcPr>
          <w:p>
            <w:pPr>
              <w:jc w:val="right"/>
              <w:ind w:right="14"/>
              <w:spacing w:after="0"/>
              <w:rPr>
                <w:sz w:val="20"/>
                <w:szCs w:val="20"/>
                <w:color w:val="auto"/>
              </w:rPr>
            </w:pPr>
            <w:r>
              <w:rPr>
                <w:rFonts w:ascii="Arial" w:cs="Arial" w:eastAsia="Arial" w:hAnsi="Arial"/>
                <w:sz w:val="13"/>
                <w:szCs w:val="13"/>
                <w:color w:val="auto"/>
              </w:rPr>
              <w:t>317,875</w:t>
            </w:r>
          </w:p>
        </w:tc>
        <w:tc>
          <w:tcPr>
            <w:tcW w:w="36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w:t>
            </w:r>
          </w:p>
        </w:tc>
        <w:tc>
          <w:tcPr>
            <w:tcW w:w="1420" w:type="dxa"/>
            <w:vAlign w:val="bottom"/>
            <w:shd w:val="clear" w:color="auto" w:fill="DBDBDB"/>
          </w:tcPr>
          <w:p>
            <w:pPr>
              <w:jc w:val="right"/>
              <w:ind w:right="14"/>
              <w:spacing w:after="0"/>
              <w:rPr>
                <w:sz w:val="20"/>
                <w:szCs w:val="20"/>
                <w:color w:val="auto"/>
              </w:rPr>
            </w:pPr>
            <w:r>
              <w:rPr>
                <w:rFonts w:ascii="Arial" w:cs="Arial" w:eastAsia="Arial" w:hAnsi="Arial"/>
                <w:sz w:val="13"/>
                <w:szCs w:val="13"/>
                <w:color w:val="auto"/>
              </w:rPr>
              <w:t>9,053</w:t>
            </w:r>
          </w:p>
        </w:tc>
        <w:tc>
          <w:tcPr>
            <w:tcW w:w="280" w:type="dxa"/>
            <w:vAlign w:val="bottom"/>
            <w:shd w:val="clear" w:color="auto" w:fill="DBDBDB"/>
          </w:tcPr>
          <w:p>
            <w:pPr>
              <w:jc w:val="right"/>
              <w:ind w:right="54"/>
              <w:spacing w:after="0"/>
              <w:rPr>
                <w:sz w:val="20"/>
                <w:szCs w:val="20"/>
                <w:color w:val="auto"/>
              </w:rPr>
            </w:pPr>
            <w:r>
              <w:rPr>
                <w:rFonts w:ascii="Arial" w:cs="Arial" w:eastAsia="Arial" w:hAnsi="Arial"/>
                <w:sz w:val="13"/>
                <w:szCs w:val="13"/>
                <w:color w:val="auto"/>
              </w:rPr>
              <w:t>$</w:t>
            </w:r>
          </w:p>
        </w:tc>
        <w:tc>
          <w:tcPr>
            <w:tcW w:w="1480" w:type="dxa"/>
            <w:vAlign w:val="bottom"/>
            <w:shd w:val="clear" w:color="auto" w:fill="DBDBDB"/>
          </w:tcPr>
          <w:p>
            <w:pPr>
              <w:jc w:val="right"/>
              <w:ind w:right="14"/>
              <w:spacing w:after="0"/>
              <w:rPr>
                <w:sz w:val="20"/>
                <w:szCs w:val="20"/>
                <w:color w:val="auto"/>
              </w:rPr>
            </w:pPr>
            <w:r>
              <w:rPr>
                <w:rFonts w:ascii="Arial" w:cs="Arial" w:eastAsia="Arial" w:hAnsi="Arial"/>
                <w:sz w:val="13"/>
                <w:szCs w:val="13"/>
                <w:color w:val="auto"/>
              </w:rPr>
              <w:t>8,750</w:t>
            </w:r>
          </w:p>
        </w:tc>
        <w:tc>
          <w:tcPr>
            <w:tcW w:w="460" w:type="dxa"/>
            <w:vAlign w:val="bottom"/>
            <w:shd w:val="clear" w:color="auto" w:fill="DBDBDB"/>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460,678</w:t>
            </w:r>
          </w:p>
        </w:tc>
      </w:tr>
      <w:tr>
        <w:trPr>
          <w:trHeight w:val="172"/>
        </w:trPr>
        <w:tc>
          <w:tcPr>
            <w:tcW w:w="2000" w:type="dxa"/>
            <w:vAlign w:val="bottom"/>
          </w:tcPr>
          <w:p>
            <w:pPr>
              <w:ind w:left="200"/>
              <w:spacing w:after="0"/>
              <w:rPr>
                <w:sz w:val="20"/>
                <w:szCs w:val="20"/>
                <w:color w:val="auto"/>
              </w:rPr>
            </w:pPr>
            <w:r>
              <w:rPr>
                <w:rFonts w:ascii="Arial" w:cs="Arial" w:eastAsia="Arial" w:hAnsi="Arial"/>
                <w:sz w:val="13"/>
                <w:szCs w:val="13"/>
                <w:color w:val="auto"/>
              </w:rPr>
              <w:t>Rental equipment, net</w:t>
            </w:r>
          </w:p>
        </w:tc>
        <w:tc>
          <w:tcPr>
            <w:tcW w:w="74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14"/>
              <w:spacing w:after="0"/>
              <w:rPr>
                <w:sz w:val="20"/>
                <w:szCs w:val="20"/>
                <w:color w:val="auto"/>
              </w:rPr>
            </w:pPr>
            <w:r>
              <w:rPr>
                <w:rFonts w:ascii="Arial" w:cs="Arial" w:eastAsia="Arial" w:hAnsi="Arial"/>
                <w:sz w:val="13"/>
                <w:szCs w:val="13"/>
                <w:color w:val="auto"/>
              </w:rPr>
              <w:t>1,877,978</w:t>
            </w:r>
          </w:p>
        </w:tc>
        <w:tc>
          <w:tcPr>
            <w:tcW w:w="34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14"/>
              <w:spacing w:after="0"/>
              <w:rPr>
                <w:sz w:val="20"/>
                <w:szCs w:val="20"/>
                <w:color w:val="auto"/>
              </w:rPr>
            </w:pPr>
            <w:r>
              <w:rPr>
                <w:rFonts w:ascii="Arial" w:cs="Arial" w:eastAsia="Arial" w:hAnsi="Arial"/>
                <w:sz w:val="13"/>
                <w:szCs w:val="13"/>
                <w:color w:val="auto"/>
              </w:rPr>
              <w:t>899,881</w:t>
            </w:r>
          </w:p>
        </w:tc>
        <w:tc>
          <w:tcPr>
            <w:tcW w:w="36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14"/>
              <w:spacing w:after="0"/>
              <w:rPr>
                <w:sz w:val="20"/>
                <w:szCs w:val="20"/>
                <w:color w:val="auto"/>
              </w:rPr>
            </w:pPr>
            <w:r>
              <w:rPr>
                <w:rFonts w:ascii="Arial" w:cs="Arial" w:eastAsia="Arial" w:hAnsi="Arial"/>
                <w:sz w:val="13"/>
                <w:szCs w:val="13"/>
                <w:color w:val="auto"/>
              </w:rPr>
              <w:t>168,208</w:t>
            </w:r>
          </w:p>
        </w:tc>
        <w:tc>
          <w:tcPr>
            <w:tcW w:w="28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480" w:type="dxa"/>
            <w:vAlign w:val="bottom"/>
          </w:tcPr>
          <w:p>
            <w:pPr>
              <w:jc w:val="right"/>
              <w:ind w:right="14"/>
              <w:spacing w:after="0"/>
              <w:rPr>
                <w:sz w:val="20"/>
                <w:szCs w:val="20"/>
                <w:color w:val="auto"/>
              </w:rPr>
            </w:pPr>
            <w:r>
              <w:rPr>
                <w:rFonts w:ascii="Arial" w:cs="Arial" w:eastAsia="Arial" w:hAnsi="Arial"/>
                <w:sz w:val="13"/>
                <w:szCs w:val="13"/>
                <w:color w:val="auto"/>
              </w:rPr>
              <w:t>134,914</w:t>
            </w:r>
          </w:p>
        </w:tc>
        <w:tc>
          <w:tcPr>
            <w:tcW w:w="460" w:type="dxa"/>
            <w:vAlign w:val="bottom"/>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3,080,981</w:t>
            </w:r>
          </w:p>
        </w:tc>
      </w:tr>
      <w:tr>
        <w:trPr>
          <w:trHeight w:val="178"/>
        </w:trPr>
        <w:tc>
          <w:tcPr>
            <w:tcW w:w="2000" w:type="dxa"/>
            <w:vAlign w:val="bottom"/>
            <w:shd w:val="clear" w:color="auto" w:fill="DBDBDB"/>
          </w:tcPr>
          <w:p>
            <w:pPr>
              <w:ind w:left="20"/>
              <w:spacing w:after="0"/>
              <w:rPr>
                <w:sz w:val="20"/>
                <w:szCs w:val="20"/>
                <w:color w:val="auto"/>
              </w:rPr>
            </w:pPr>
            <w:r>
              <w:rPr>
                <w:rFonts w:ascii="Arial" w:cs="Arial" w:eastAsia="Arial" w:hAnsi="Arial"/>
                <w:sz w:val="13"/>
                <w:szCs w:val="13"/>
                <w:color w:val="auto"/>
              </w:rPr>
              <w:t>As of December 31, 2020:</w:t>
            </w:r>
          </w:p>
        </w:tc>
        <w:tc>
          <w:tcPr>
            <w:tcW w:w="740" w:type="dxa"/>
            <w:vAlign w:val="bottom"/>
            <w:shd w:val="clear" w:color="auto" w:fill="DBDBDB"/>
          </w:tcPr>
          <w:p>
            <w:pPr>
              <w:spacing w:after="0"/>
              <w:rPr>
                <w:sz w:val="15"/>
                <w:szCs w:val="15"/>
                <w:color w:val="auto"/>
              </w:rPr>
            </w:pPr>
          </w:p>
        </w:tc>
        <w:tc>
          <w:tcPr>
            <w:tcW w:w="142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142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42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480" w:type="dxa"/>
            <w:vAlign w:val="bottom"/>
            <w:shd w:val="clear" w:color="auto" w:fill="DBDBDB"/>
          </w:tcPr>
          <w:p>
            <w:pPr>
              <w:spacing w:after="0"/>
              <w:rPr>
                <w:sz w:val="15"/>
                <w:szCs w:val="15"/>
                <w:color w:val="auto"/>
              </w:rPr>
            </w:pPr>
          </w:p>
        </w:tc>
        <w:tc>
          <w:tcPr>
            <w:tcW w:w="46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r>
      <w:tr>
        <w:trPr>
          <w:trHeight w:val="172"/>
        </w:trPr>
        <w:tc>
          <w:tcPr>
            <w:tcW w:w="2000" w:type="dxa"/>
            <w:vAlign w:val="bottom"/>
          </w:tcPr>
          <w:p>
            <w:pPr>
              <w:ind w:left="200"/>
              <w:spacing w:after="0"/>
              <w:rPr>
                <w:sz w:val="20"/>
                <w:szCs w:val="20"/>
                <w:color w:val="auto"/>
              </w:rPr>
            </w:pPr>
            <w:r>
              <w:rPr>
                <w:rFonts w:ascii="Arial" w:cs="Arial" w:eastAsia="Arial" w:hAnsi="Arial"/>
                <w:sz w:val="13"/>
                <w:szCs w:val="13"/>
                <w:color w:val="auto"/>
              </w:rPr>
              <w:t>Goodwill</w:t>
            </w:r>
          </w:p>
        </w:tc>
        <w:tc>
          <w:tcPr>
            <w:tcW w:w="74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14"/>
              <w:spacing w:after="0"/>
              <w:rPr>
                <w:sz w:val="20"/>
                <w:szCs w:val="20"/>
                <w:color w:val="auto"/>
              </w:rPr>
            </w:pPr>
            <w:r>
              <w:rPr>
                <w:rFonts w:ascii="Arial" w:cs="Arial" w:eastAsia="Arial" w:hAnsi="Arial"/>
                <w:sz w:val="13"/>
                <w:szCs w:val="13"/>
                <w:color w:val="auto"/>
              </w:rPr>
              <w:t>235,828</w:t>
            </w:r>
          </w:p>
        </w:tc>
        <w:tc>
          <w:tcPr>
            <w:tcW w:w="34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14"/>
              <w:spacing w:after="0"/>
              <w:rPr>
                <w:sz w:val="20"/>
                <w:szCs w:val="20"/>
                <w:color w:val="auto"/>
              </w:rPr>
            </w:pPr>
            <w:r>
              <w:rPr>
                <w:rFonts w:ascii="Arial" w:cs="Arial" w:eastAsia="Arial" w:hAnsi="Arial"/>
                <w:sz w:val="13"/>
                <w:szCs w:val="13"/>
                <w:color w:val="auto"/>
              </w:rPr>
              <w:t>726,529</w:t>
            </w:r>
          </w:p>
        </w:tc>
        <w:tc>
          <w:tcPr>
            <w:tcW w:w="36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14"/>
              <w:spacing w:after="0"/>
              <w:rPr>
                <w:sz w:val="20"/>
                <w:szCs w:val="20"/>
                <w:color w:val="auto"/>
              </w:rPr>
            </w:pPr>
            <w:r>
              <w:rPr>
                <w:rFonts w:ascii="Arial" w:cs="Arial" w:eastAsia="Arial" w:hAnsi="Arial"/>
                <w:sz w:val="13"/>
                <w:szCs w:val="13"/>
                <w:color w:val="auto"/>
              </w:rPr>
              <w:t>65,600</w:t>
            </w:r>
          </w:p>
        </w:tc>
        <w:tc>
          <w:tcPr>
            <w:tcW w:w="28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480" w:type="dxa"/>
            <w:vAlign w:val="bottom"/>
          </w:tcPr>
          <w:p>
            <w:pPr>
              <w:jc w:val="right"/>
              <w:ind w:right="14"/>
              <w:spacing w:after="0"/>
              <w:rPr>
                <w:sz w:val="20"/>
                <w:szCs w:val="20"/>
                <w:color w:val="auto"/>
              </w:rPr>
            </w:pPr>
            <w:r>
              <w:rPr>
                <w:rFonts w:ascii="Arial" w:cs="Arial" w:eastAsia="Arial" w:hAnsi="Arial"/>
                <w:sz w:val="13"/>
                <w:szCs w:val="13"/>
                <w:color w:val="auto"/>
              </w:rPr>
              <w:t>143,262</w:t>
            </w:r>
          </w:p>
        </w:tc>
        <w:tc>
          <w:tcPr>
            <w:tcW w:w="460" w:type="dxa"/>
            <w:vAlign w:val="bottom"/>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1,171,219</w:t>
            </w:r>
          </w:p>
        </w:tc>
      </w:tr>
      <w:tr>
        <w:trPr>
          <w:trHeight w:val="178"/>
        </w:trPr>
        <w:tc>
          <w:tcPr>
            <w:tcW w:w="2000" w:type="dxa"/>
            <w:vAlign w:val="bottom"/>
            <w:shd w:val="clear" w:color="auto" w:fill="DBDBDB"/>
          </w:tcPr>
          <w:p>
            <w:pPr>
              <w:ind w:left="200"/>
              <w:spacing w:after="0"/>
              <w:rPr>
                <w:sz w:val="20"/>
                <w:szCs w:val="20"/>
                <w:color w:val="auto"/>
              </w:rPr>
            </w:pPr>
            <w:r>
              <w:rPr>
                <w:rFonts w:ascii="Arial" w:cs="Arial" w:eastAsia="Arial" w:hAnsi="Arial"/>
                <w:sz w:val="13"/>
                <w:szCs w:val="13"/>
                <w:color w:val="auto"/>
              </w:rPr>
              <w:t>Intangible assets, net</w:t>
            </w:r>
          </w:p>
        </w:tc>
        <w:tc>
          <w:tcPr>
            <w:tcW w:w="74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w:t>
            </w:r>
          </w:p>
        </w:tc>
        <w:tc>
          <w:tcPr>
            <w:tcW w:w="1420" w:type="dxa"/>
            <w:vAlign w:val="bottom"/>
            <w:shd w:val="clear" w:color="auto" w:fill="DBDBDB"/>
          </w:tcPr>
          <w:p>
            <w:pPr>
              <w:jc w:val="right"/>
              <w:ind w:right="14"/>
              <w:spacing w:after="0"/>
              <w:rPr>
                <w:sz w:val="20"/>
                <w:szCs w:val="20"/>
                <w:color w:val="auto"/>
              </w:rPr>
            </w:pPr>
            <w:r>
              <w:rPr>
                <w:rFonts w:ascii="Arial" w:cs="Arial" w:eastAsia="Arial" w:hAnsi="Arial"/>
                <w:sz w:val="13"/>
                <w:szCs w:val="13"/>
                <w:color w:val="auto"/>
              </w:rPr>
              <w:t>125,625</w:t>
            </w:r>
          </w:p>
        </w:tc>
        <w:tc>
          <w:tcPr>
            <w:tcW w:w="340" w:type="dxa"/>
            <w:vAlign w:val="bottom"/>
            <w:shd w:val="clear" w:color="auto" w:fill="DBDBDB"/>
          </w:tcPr>
          <w:p>
            <w:pPr>
              <w:jc w:val="right"/>
              <w:ind w:right="114"/>
              <w:spacing w:after="0"/>
              <w:rPr>
                <w:sz w:val="20"/>
                <w:szCs w:val="20"/>
                <w:color w:val="auto"/>
              </w:rPr>
            </w:pPr>
            <w:r>
              <w:rPr>
                <w:rFonts w:ascii="Arial" w:cs="Arial" w:eastAsia="Arial" w:hAnsi="Arial"/>
                <w:sz w:val="13"/>
                <w:szCs w:val="13"/>
                <w:color w:val="auto"/>
              </w:rPr>
              <w:t>$</w:t>
            </w:r>
          </w:p>
        </w:tc>
        <w:tc>
          <w:tcPr>
            <w:tcW w:w="1420" w:type="dxa"/>
            <w:vAlign w:val="bottom"/>
            <w:shd w:val="clear" w:color="auto" w:fill="DBDBDB"/>
          </w:tcPr>
          <w:p>
            <w:pPr>
              <w:jc w:val="right"/>
              <w:ind w:right="14"/>
              <w:spacing w:after="0"/>
              <w:rPr>
                <w:sz w:val="20"/>
                <w:szCs w:val="20"/>
                <w:color w:val="auto"/>
              </w:rPr>
            </w:pPr>
            <w:r>
              <w:rPr>
                <w:rFonts w:ascii="Arial" w:cs="Arial" w:eastAsia="Arial" w:hAnsi="Arial"/>
                <w:sz w:val="13"/>
                <w:szCs w:val="13"/>
                <w:color w:val="auto"/>
              </w:rPr>
              <w:t>329,437</w:t>
            </w:r>
          </w:p>
        </w:tc>
        <w:tc>
          <w:tcPr>
            <w:tcW w:w="360" w:type="dxa"/>
            <w:vAlign w:val="bottom"/>
            <w:shd w:val="clear" w:color="auto" w:fill="DBDBDB"/>
          </w:tcPr>
          <w:p>
            <w:pPr>
              <w:jc w:val="right"/>
              <w:ind w:right="134"/>
              <w:spacing w:after="0"/>
              <w:rPr>
                <w:sz w:val="20"/>
                <w:szCs w:val="20"/>
                <w:color w:val="auto"/>
              </w:rPr>
            </w:pPr>
            <w:r>
              <w:rPr>
                <w:rFonts w:ascii="Arial" w:cs="Arial" w:eastAsia="Arial" w:hAnsi="Arial"/>
                <w:sz w:val="13"/>
                <w:szCs w:val="13"/>
                <w:color w:val="auto"/>
              </w:rPr>
              <w:t>$</w:t>
            </w:r>
          </w:p>
        </w:tc>
        <w:tc>
          <w:tcPr>
            <w:tcW w:w="1420" w:type="dxa"/>
            <w:vAlign w:val="bottom"/>
            <w:shd w:val="clear" w:color="auto" w:fill="DBDBDB"/>
          </w:tcPr>
          <w:p>
            <w:pPr>
              <w:jc w:val="right"/>
              <w:ind w:right="14"/>
              <w:spacing w:after="0"/>
              <w:rPr>
                <w:sz w:val="20"/>
                <w:szCs w:val="20"/>
                <w:color w:val="auto"/>
              </w:rPr>
            </w:pPr>
            <w:r>
              <w:rPr>
                <w:rFonts w:ascii="Arial" w:cs="Arial" w:eastAsia="Arial" w:hAnsi="Arial"/>
                <w:sz w:val="13"/>
                <w:szCs w:val="13"/>
                <w:color w:val="auto"/>
              </w:rPr>
              <w:t>11,177</w:t>
            </w:r>
          </w:p>
        </w:tc>
        <w:tc>
          <w:tcPr>
            <w:tcW w:w="280" w:type="dxa"/>
            <w:vAlign w:val="bottom"/>
            <w:shd w:val="clear" w:color="auto" w:fill="DBDBDB"/>
          </w:tcPr>
          <w:p>
            <w:pPr>
              <w:jc w:val="right"/>
              <w:ind w:right="54"/>
              <w:spacing w:after="0"/>
              <w:rPr>
                <w:sz w:val="20"/>
                <w:szCs w:val="20"/>
                <w:color w:val="auto"/>
              </w:rPr>
            </w:pPr>
            <w:r>
              <w:rPr>
                <w:rFonts w:ascii="Arial" w:cs="Arial" w:eastAsia="Arial" w:hAnsi="Arial"/>
                <w:sz w:val="13"/>
                <w:szCs w:val="13"/>
                <w:color w:val="auto"/>
              </w:rPr>
              <w:t>$</w:t>
            </w:r>
          </w:p>
        </w:tc>
        <w:tc>
          <w:tcPr>
            <w:tcW w:w="1480" w:type="dxa"/>
            <w:vAlign w:val="bottom"/>
            <w:shd w:val="clear" w:color="auto" w:fill="DBDBDB"/>
          </w:tcPr>
          <w:p>
            <w:pPr>
              <w:jc w:val="right"/>
              <w:ind w:right="14"/>
              <w:spacing w:after="0"/>
              <w:rPr>
                <w:sz w:val="20"/>
                <w:szCs w:val="20"/>
                <w:color w:val="auto"/>
              </w:rPr>
            </w:pPr>
            <w:r>
              <w:rPr>
                <w:rFonts w:ascii="Arial" w:cs="Arial" w:eastAsia="Arial" w:hAnsi="Arial"/>
                <w:sz w:val="13"/>
                <w:szCs w:val="13"/>
                <w:color w:val="auto"/>
              </w:rPr>
              <w:t>29,708</w:t>
            </w:r>
          </w:p>
        </w:tc>
        <w:tc>
          <w:tcPr>
            <w:tcW w:w="460" w:type="dxa"/>
            <w:vAlign w:val="bottom"/>
            <w:shd w:val="clear" w:color="auto" w:fill="DBDBDB"/>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495,947</w:t>
            </w:r>
          </w:p>
        </w:tc>
      </w:tr>
      <w:tr>
        <w:trPr>
          <w:trHeight w:val="169"/>
        </w:trPr>
        <w:tc>
          <w:tcPr>
            <w:tcW w:w="2000" w:type="dxa"/>
            <w:vAlign w:val="bottom"/>
          </w:tcPr>
          <w:p>
            <w:pPr>
              <w:ind w:left="200"/>
              <w:spacing w:after="0"/>
              <w:rPr>
                <w:sz w:val="20"/>
                <w:szCs w:val="20"/>
                <w:color w:val="auto"/>
              </w:rPr>
            </w:pPr>
            <w:r>
              <w:rPr>
                <w:rFonts w:ascii="Arial" w:cs="Arial" w:eastAsia="Arial" w:hAnsi="Arial"/>
                <w:sz w:val="13"/>
                <w:szCs w:val="13"/>
                <w:color w:val="auto"/>
              </w:rPr>
              <w:t>Rental equipment, net</w:t>
            </w:r>
          </w:p>
        </w:tc>
        <w:tc>
          <w:tcPr>
            <w:tcW w:w="74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14"/>
              <w:spacing w:after="0"/>
              <w:rPr>
                <w:sz w:val="20"/>
                <w:szCs w:val="20"/>
                <w:color w:val="auto"/>
              </w:rPr>
            </w:pPr>
            <w:r>
              <w:rPr>
                <w:rFonts w:ascii="Arial" w:cs="Arial" w:eastAsia="Arial" w:hAnsi="Arial"/>
                <w:sz w:val="13"/>
                <w:szCs w:val="13"/>
                <w:color w:val="auto"/>
              </w:rPr>
              <w:t>1,886,211</w:t>
            </w:r>
          </w:p>
        </w:tc>
        <w:tc>
          <w:tcPr>
            <w:tcW w:w="34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14"/>
              <w:spacing w:after="0"/>
              <w:rPr>
                <w:sz w:val="20"/>
                <w:szCs w:val="20"/>
                <w:color w:val="auto"/>
              </w:rPr>
            </w:pPr>
            <w:r>
              <w:rPr>
                <w:rFonts w:ascii="Arial" w:cs="Arial" w:eastAsia="Arial" w:hAnsi="Arial"/>
                <w:sz w:val="13"/>
                <w:szCs w:val="13"/>
                <w:color w:val="auto"/>
              </w:rPr>
              <w:t>772,356</w:t>
            </w:r>
          </w:p>
        </w:tc>
        <w:tc>
          <w:tcPr>
            <w:tcW w:w="36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14"/>
              <w:spacing w:after="0"/>
              <w:rPr>
                <w:sz w:val="20"/>
                <w:szCs w:val="20"/>
                <w:color w:val="auto"/>
              </w:rPr>
            </w:pPr>
            <w:r>
              <w:rPr>
                <w:rFonts w:ascii="Arial" w:cs="Arial" w:eastAsia="Arial" w:hAnsi="Arial"/>
                <w:sz w:val="13"/>
                <w:szCs w:val="13"/>
                <w:color w:val="auto"/>
              </w:rPr>
              <w:t>147,720</w:t>
            </w:r>
          </w:p>
        </w:tc>
        <w:tc>
          <w:tcPr>
            <w:tcW w:w="28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480" w:type="dxa"/>
            <w:vAlign w:val="bottom"/>
          </w:tcPr>
          <w:p>
            <w:pPr>
              <w:jc w:val="right"/>
              <w:ind w:right="14"/>
              <w:spacing w:after="0"/>
              <w:rPr>
                <w:sz w:val="20"/>
                <w:szCs w:val="20"/>
                <w:color w:val="auto"/>
              </w:rPr>
            </w:pPr>
            <w:r>
              <w:rPr>
                <w:rFonts w:ascii="Arial" w:cs="Arial" w:eastAsia="Arial" w:hAnsi="Arial"/>
                <w:sz w:val="13"/>
                <w:szCs w:val="13"/>
                <w:color w:val="auto"/>
              </w:rPr>
              <w:t>125,359</w:t>
            </w:r>
          </w:p>
        </w:tc>
        <w:tc>
          <w:tcPr>
            <w:tcW w:w="460" w:type="dxa"/>
            <w:vAlign w:val="bottom"/>
          </w:tcPr>
          <w:p>
            <w:pPr>
              <w:jc w:val="right"/>
              <w:ind w:right="234"/>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2,931,646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27" w:right="319" w:bottom="1440" w:gutter="0" w:footer="0" w:header="0"/>
        </w:sectPr>
      </w:pPr>
    </w:p>
    <w:bookmarkStart w:id="113" w:name="page114"/>
    <w:bookmarkEnd w:id="113"/>
    <w:p>
      <w:pPr>
        <w:spacing w:after="0"/>
        <w:rPr>
          <w:sz w:val="20"/>
          <w:szCs w:val="20"/>
          <w:color w:val="auto"/>
        </w:rPr>
      </w:pPr>
      <w:r>
        <w:rPr>
          <w:rFonts w:ascii="Arial" w:cs="Arial" w:eastAsia="Arial" w:hAnsi="Arial"/>
          <w:sz w:val="19"/>
          <w:szCs w:val="19"/>
          <w:color w:val="1D2758"/>
        </w:rPr>
        <w:t>NOTE 19 - Related Parties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060" w:type="dxa"/>
            <w:vAlign w:val="bottom"/>
            <w:gridSpan w:val="2"/>
          </w:tcPr>
          <w:p>
            <w:pPr>
              <w:ind w:left="540"/>
              <w:spacing w:after="0"/>
              <w:rPr>
                <w:sz w:val="20"/>
                <w:szCs w:val="20"/>
                <w:color w:val="auto"/>
              </w:rPr>
            </w:pPr>
            <w:r>
              <w:rPr>
                <w:rFonts w:ascii="Arial" w:cs="Arial" w:eastAsia="Arial" w:hAnsi="Arial"/>
                <w:sz w:val="13"/>
                <w:szCs w:val="13"/>
                <w:color w:val="auto"/>
              </w:rPr>
              <w:t>Related party balances included in the Company’s consolidated balance sheets at December 31, consisted of the following:</w:t>
            </w: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60"/>
        </w:trPr>
        <w:tc>
          <w:tcPr>
            <w:tcW w:w="2400" w:type="dxa"/>
            <w:vAlign w:val="bottom"/>
          </w:tcPr>
          <w:p>
            <w:pPr>
              <w:spacing w:after="0"/>
              <w:rPr>
                <w:sz w:val="5"/>
                <w:szCs w:val="5"/>
                <w:color w:val="auto"/>
              </w:rPr>
            </w:pPr>
          </w:p>
        </w:tc>
        <w:tc>
          <w:tcPr>
            <w:tcW w:w="56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tcPr>
          <w:p>
            <w:pPr>
              <w:spacing w:after="0"/>
              <w:rPr>
                <w:sz w:val="5"/>
                <w:szCs w:val="5"/>
                <w:color w:val="auto"/>
              </w:rPr>
            </w:pPr>
          </w:p>
        </w:tc>
      </w:tr>
      <w:tr>
        <w:trPr>
          <w:trHeight w:val="175"/>
        </w:trPr>
        <w:tc>
          <w:tcPr>
            <w:tcW w:w="240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5660" w:type="dxa"/>
            <w:vAlign w:val="bottom"/>
            <w:shd w:val="clear" w:color="auto" w:fill="1D2758"/>
          </w:tcPr>
          <w:p>
            <w:pPr>
              <w:ind w:left="2220"/>
              <w:spacing w:after="0"/>
              <w:rPr>
                <w:sz w:val="20"/>
                <w:szCs w:val="20"/>
                <w:color w:val="auto"/>
              </w:rPr>
            </w:pPr>
            <w:r>
              <w:rPr>
                <w:rFonts w:ascii="Arial" w:cs="Arial" w:eastAsia="Arial" w:hAnsi="Arial"/>
                <w:sz w:val="13"/>
                <w:szCs w:val="13"/>
                <w:b w:val="1"/>
                <w:bCs w:val="1"/>
                <w:color w:val="FFFFFF"/>
              </w:rPr>
              <w:t>Financial statement line Item</w:t>
            </w:r>
          </w:p>
        </w:tc>
        <w:tc>
          <w:tcPr>
            <w:tcW w:w="380" w:type="dxa"/>
            <w:vAlign w:val="bottom"/>
            <w:shd w:val="clear" w:color="auto" w:fill="1D2758"/>
          </w:tcPr>
          <w:p>
            <w:pPr>
              <w:spacing w:after="0"/>
              <w:rPr>
                <w:sz w:val="15"/>
                <w:szCs w:val="15"/>
                <w:color w:val="auto"/>
              </w:rPr>
            </w:pPr>
          </w:p>
        </w:tc>
        <w:tc>
          <w:tcPr>
            <w:tcW w:w="1200" w:type="dxa"/>
            <w:vAlign w:val="bottom"/>
            <w:shd w:val="clear" w:color="auto" w:fill="1D2758"/>
          </w:tcPr>
          <w:p>
            <w:pPr>
              <w:jc w:val="right"/>
              <w:ind w:right="574"/>
              <w:spacing w:after="0"/>
              <w:rPr>
                <w:sz w:val="20"/>
                <w:szCs w:val="20"/>
                <w:color w:val="auto"/>
              </w:rPr>
            </w:pPr>
            <w:r>
              <w:rPr>
                <w:rFonts w:ascii="Arial" w:cs="Arial" w:eastAsia="Arial" w:hAnsi="Arial"/>
                <w:sz w:val="13"/>
                <w:szCs w:val="13"/>
                <w:b w:val="1"/>
                <w:bCs w:val="1"/>
                <w:color w:val="FFFFFF"/>
              </w:rPr>
              <w:t>2021</w:t>
            </w:r>
          </w:p>
        </w:tc>
        <w:tc>
          <w:tcPr>
            <w:tcW w:w="80" w:type="dxa"/>
            <w:vAlign w:val="bottom"/>
            <w:shd w:val="clear" w:color="auto" w:fill="1D2758"/>
          </w:tcPr>
          <w:p>
            <w:pPr>
              <w:spacing w:after="0"/>
              <w:rPr>
                <w:sz w:val="15"/>
                <w:szCs w:val="15"/>
                <w:color w:val="auto"/>
              </w:rPr>
            </w:pPr>
          </w:p>
        </w:tc>
        <w:tc>
          <w:tcPr>
            <w:tcW w:w="360" w:type="dxa"/>
            <w:vAlign w:val="bottom"/>
            <w:shd w:val="clear" w:color="auto" w:fill="1D2758"/>
          </w:tcPr>
          <w:p>
            <w:pPr>
              <w:spacing w:after="0"/>
              <w:rPr>
                <w:sz w:val="15"/>
                <w:szCs w:val="15"/>
                <w:color w:val="auto"/>
              </w:rPr>
            </w:pPr>
          </w:p>
        </w:tc>
        <w:tc>
          <w:tcPr>
            <w:tcW w:w="1200" w:type="dxa"/>
            <w:vAlign w:val="bottom"/>
            <w:shd w:val="clear" w:color="auto" w:fill="1D2758"/>
          </w:tcPr>
          <w:p>
            <w:pPr>
              <w:jc w:val="right"/>
              <w:ind w:right="574"/>
              <w:spacing w:after="0"/>
              <w:rPr>
                <w:sz w:val="20"/>
                <w:szCs w:val="20"/>
                <w:color w:val="auto"/>
              </w:rPr>
            </w:pPr>
            <w:r>
              <w:rPr>
                <w:rFonts w:ascii="Arial" w:cs="Arial" w:eastAsia="Arial" w:hAnsi="Arial"/>
                <w:sz w:val="13"/>
                <w:szCs w:val="13"/>
                <w:b w:val="1"/>
                <w:bCs w:val="1"/>
                <w:color w:val="FFFFFF"/>
              </w:rPr>
              <w:t>2020</w:t>
            </w:r>
          </w:p>
        </w:tc>
      </w:tr>
      <w:tr>
        <w:trPr>
          <w:trHeight w:val="175"/>
        </w:trPr>
        <w:tc>
          <w:tcPr>
            <w:tcW w:w="2400" w:type="dxa"/>
            <w:vAlign w:val="bottom"/>
            <w:shd w:val="clear" w:color="auto" w:fill="DBDBDB"/>
          </w:tcPr>
          <w:p>
            <w:pPr>
              <w:ind w:left="20"/>
              <w:spacing w:after="0"/>
              <w:rPr>
                <w:sz w:val="20"/>
                <w:szCs w:val="20"/>
                <w:color w:val="auto"/>
              </w:rPr>
            </w:pPr>
            <w:r>
              <w:rPr>
                <w:rFonts w:ascii="Arial" w:cs="Arial" w:eastAsia="Arial" w:hAnsi="Arial"/>
                <w:sz w:val="13"/>
                <w:szCs w:val="13"/>
                <w:color w:val="auto"/>
              </w:rPr>
              <w:t>Receivables due from affiliates</w:t>
            </w:r>
          </w:p>
        </w:tc>
        <w:tc>
          <w:tcPr>
            <w:tcW w:w="5660" w:type="dxa"/>
            <w:vAlign w:val="bottom"/>
            <w:shd w:val="clear" w:color="auto" w:fill="DBDBDB"/>
          </w:tcPr>
          <w:p>
            <w:pPr>
              <w:ind w:left="560"/>
              <w:spacing w:after="0"/>
              <w:rPr>
                <w:sz w:val="20"/>
                <w:szCs w:val="20"/>
                <w:color w:val="auto"/>
              </w:rPr>
            </w:pPr>
            <w:r>
              <w:rPr>
                <w:rFonts w:ascii="Arial" w:cs="Arial" w:eastAsia="Arial" w:hAnsi="Arial"/>
                <w:sz w:val="13"/>
                <w:szCs w:val="13"/>
                <w:color w:val="auto"/>
              </w:rPr>
              <w:t>Trade receivables, net of allowances for credit losses</w:t>
            </w:r>
          </w:p>
        </w:tc>
        <w:tc>
          <w:tcPr>
            <w:tcW w:w="380" w:type="dxa"/>
            <w:vAlign w:val="bottom"/>
            <w:shd w:val="clear" w:color="auto" w:fill="DBDBDB"/>
          </w:tcPr>
          <w:p>
            <w:pPr>
              <w:jc w:val="right"/>
              <w:ind w:right="214"/>
              <w:spacing w:after="0"/>
              <w:rPr>
                <w:sz w:val="20"/>
                <w:szCs w:val="20"/>
                <w:color w:val="auto"/>
              </w:rPr>
            </w:pPr>
            <w:r>
              <w:rPr>
                <w:rFonts w:ascii="Arial" w:cs="Arial" w:eastAsia="Arial" w:hAnsi="Arial"/>
                <w:sz w:val="13"/>
                <w:szCs w:val="13"/>
                <w:color w:val="auto"/>
              </w:rPr>
              <w:t>$</w:t>
            </w:r>
          </w:p>
        </w:tc>
        <w:tc>
          <w:tcPr>
            <w:tcW w:w="1200" w:type="dxa"/>
            <w:vAlign w:val="bottom"/>
            <w:shd w:val="clear" w:color="auto" w:fill="DBDBDB"/>
          </w:tcPr>
          <w:p>
            <w:pPr>
              <w:jc w:val="center"/>
              <w:ind w:left="854"/>
              <w:spacing w:after="0"/>
              <w:rPr>
                <w:sz w:val="20"/>
                <w:szCs w:val="20"/>
                <w:color w:val="auto"/>
              </w:rPr>
            </w:pPr>
            <w:r>
              <w:rPr>
                <w:rFonts w:ascii="Arial" w:cs="Arial" w:eastAsia="Arial" w:hAnsi="Arial"/>
                <w:sz w:val="13"/>
                <w:szCs w:val="13"/>
                <w:color w:val="auto"/>
              </w:rPr>
              <w:t>10</w:t>
            </w: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jc w:val="right"/>
              <w:ind w:right="214"/>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30</w:t>
            </w:r>
          </w:p>
        </w:tc>
      </w:tr>
      <w:tr>
        <w:trPr>
          <w:trHeight w:val="172"/>
        </w:trPr>
        <w:tc>
          <w:tcPr>
            <w:tcW w:w="240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Amounts due to affiliates</w:t>
            </w:r>
          </w:p>
        </w:tc>
        <w:tc>
          <w:tcPr>
            <w:tcW w:w="5660" w:type="dxa"/>
            <w:vAlign w:val="bottom"/>
            <w:tcBorders>
              <w:bottom w:val="single" w:sz="8" w:color="DBDBDB"/>
            </w:tcBorders>
          </w:tcPr>
          <w:p>
            <w:pPr>
              <w:ind w:left="560"/>
              <w:spacing w:after="0"/>
              <w:rPr>
                <w:sz w:val="20"/>
                <w:szCs w:val="20"/>
                <w:color w:val="auto"/>
              </w:rPr>
            </w:pPr>
            <w:r>
              <w:rPr>
                <w:rFonts w:ascii="Arial" w:cs="Arial" w:eastAsia="Arial" w:hAnsi="Arial"/>
                <w:sz w:val="13"/>
                <w:szCs w:val="13"/>
                <w:color w:val="auto"/>
              </w:rPr>
              <w:t>Accrued liabilities</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left="834"/>
              <w:spacing w:after="0"/>
              <w:rPr>
                <w:sz w:val="20"/>
                <w:szCs w:val="20"/>
                <w:color w:val="auto"/>
              </w:rPr>
            </w:pPr>
            <w:r>
              <w:rPr>
                <w:rFonts w:ascii="Arial" w:cs="Arial" w:eastAsia="Arial" w:hAnsi="Arial"/>
                <w:sz w:val="13"/>
                <w:szCs w:val="13"/>
                <w:color w:val="auto"/>
                <w:w w:val="94"/>
              </w:rPr>
              <w:t>(49)</w:t>
            </w:r>
          </w:p>
        </w:tc>
        <w:tc>
          <w:tcPr>
            <w:tcW w:w="80" w:type="dxa"/>
            <w:vAlign w:val="bottom"/>
            <w:tcBorders>
              <w:bottom w:val="single" w:sz="8" w:color="DBDBDB"/>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(461)</w:t>
            </w:r>
          </w:p>
        </w:tc>
      </w:tr>
      <w:tr>
        <w:trPr>
          <w:trHeight w:val="194"/>
        </w:trPr>
        <w:tc>
          <w:tcPr>
            <w:tcW w:w="2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Total related party liabilities, net</w:t>
            </w:r>
          </w:p>
        </w:tc>
        <w:tc>
          <w:tcPr>
            <w:tcW w:w="5660" w:type="dxa"/>
            <w:vAlign w:val="bottom"/>
            <w:tcBorders>
              <w:bottom w:val="single" w:sz="8" w:color="DBDBDB"/>
            </w:tcBorders>
            <w:shd w:val="clear" w:color="auto" w:fill="DBDBDB"/>
          </w:tcPr>
          <w:p>
            <w:pPr>
              <w:spacing w:after="0"/>
              <w:rPr>
                <w:sz w:val="16"/>
                <w:szCs w:val="16"/>
                <w:color w:val="auto"/>
              </w:rPr>
            </w:pPr>
          </w:p>
        </w:tc>
        <w:tc>
          <w:tcPr>
            <w:tcW w:w="380" w:type="dxa"/>
            <w:vAlign w:val="bottom"/>
            <w:tcBorders>
              <w:bottom w:val="single" w:sz="8" w:color="auto"/>
            </w:tcBorders>
            <w:shd w:val="clear" w:color="auto" w:fill="DBDBDB"/>
          </w:tcPr>
          <w:p>
            <w:pPr>
              <w:jc w:val="right"/>
              <w:ind w:right="214"/>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shd w:val="clear" w:color="auto" w:fill="DBDBDB"/>
          </w:tcPr>
          <w:p>
            <w:pPr>
              <w:jc w:val="center"/>
              <w:ind w:left="834"/>
              <w:spacing w:after="0"/>
              <w:rPr>
                <w:sz w:val="20"/>
                <w:szCs w:val="20"/>
                <w:color w:val="auto"/>
              </w:rPr>
            </w:pPr>
            <w:r>
              <w:rPr>
                <w:rFonts w:ascii="Arial" w:cs="Arial" w:eastAsia="Arial" w:hAnsi="Arial"/>
                <w:sz w:val="13"/>
                <w:szCs w:val="13"/>
                <w:color w:val="auto"/>
                <w:w w:val="94"/>
              </w:rPr>
              <w:t>(39)</w:t>
            </w:r>
          </w:p>
        </w:tc>
        <w:tc>
          <w:tcPr>
            <w:tcW w:w="80" w:type="dxa"/>
            <w:vAlign w:val="bottom"/>
            <w:tcBorders>
              <w:bottom w:val="single" w:sz="8" w:color="DBDBDB"/>
            </w:tcBorders>
            <w:shd w:val="clear" w:color="auto" w:fill="DBDBDB"/>
          </w:tcPr>
          <w:p>
            <w:pPr>
              <w:spacing w:after="0"/>
              <w:rPr>
                <w:sz w:val="16"/>
                <w:szCs w:val="16"/>
                <w:color w:val="auto"/>
              </w:rPr>
            </w:pPr>
          </w:p>
        </w:tc>
        <w:tc>
          <w:tcPr>
            <w:tcW w:w="360" w:type="dxa"/>
            <w:vAlign w:val="bottom"/>
            <w:tcBorders>
              <w:bottom w:val="single" w:sz="8" w:color="auto"/>
            </w:tcBorders>
            <w:shd w:val="clear" w:color="auto" w:fill="DBDBDB"/>
          </w:tcPr>
          <w:p>
            <w:pPr>
              <w:jc w:val="right"/>
              <w:ind w:right="214"/>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(431)</w:t>
            </w:r>
          </w:p>
        </w:tc>
      </w:tr>
      <w:tr>
        <w:trPr>
          <w:trHeight w:val="20"/>
        </w:trPr>
        <w:tc>
          <w:tcPr>
            <w:tcW w:w="2400" w:type="dxa"/>
            <w:vAlign w:val="bottom"/>
            <w:tcBorders>
              <w:top w:val="single" w:sz="8" w:color="DBDBDB"/>
            </w:tcBorders>
          </w:tcPr>
          <w:p>
            <w:pPr>
              <w:spacing w:after="0" w:line="20" w:lineRule="exact"/>
              <w:rPr>
                <w:sz w:val="1"/>
                <w:szCs w:val="1"/>
                <w:color w:val="auto"/>
              </w:rPr>
            </w:pPr>
          </w:p>
        </w:tc>
        <w:tc>
          <w:tcPr>
            <w:tcW w:w="566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left="540"/>
        <w:spacing w:after="0"/>
        <w:rPr>
          <w:sz w:val="20"/>
          <w:szCs w:val="20"/>
          <w:color w:val="auto"/>
        </w:rPr>
      </w:pPr>
      <w:r>
        <w:rPr>
          <w:rFonts w:ascii="Arial" w:cs="Arial" w:eastAsia="Arial" w:hAnsi="Arial"/>
          <w:sz w:val="13"/>
          <w:szCs w:val="13"/>
          <w:color w:val="auto"/>
        </w:rPr>
        <w:t>Related party transactions included in the Company’s consolidated statements of operations for the years ended December 31, consisted of the following:</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4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3680" w:type="dxa"/>
            <w:vAlign w:val="bottom"/>
            <w:shd w:val="clear" w:color="auto" w:fill="1D2758"/>
          </w:tcPr>
          <w:p>
            <w:pPr>
              <w:ind w:left="1180"/>
              <w:spacing w:after="0"/>
              <w:rPr>
                <w:sz w:val="20"/>
                <w:szCs w:val="20"/>
                <w:color w:val="auto"/>
              </w:rPr>
            </w:pPr>
            <w:r>
              <w:rPr>
                <w:rFonts w:ascii="Arial" w:cs="Arial" w:eastAsia="Arial" w:hAnsi="Arial"/>
                <w:sz w:val="13"/>
                <w:szCs w:val="13"/>
                <w:b w:val="1"/>
                <w:bCs w:val="1"/>
                <w:color w:val="FFFFFF"/>
              </w:rPr>
              <w:t>Financial statement line item</w:t>
            </w:r>
          </w:p>
        </w:tc>
        <w:tc>
          <w:tcPr>
            <w:tcW w:w="360" w:type="dxa"/>
            <w:vAlign w:val="bottom"/>
            <w:shd w:val="clear" w:color="auto" w:fill="1D2758"/>
          </w:tcPr>
          <w:p>
            <w:pPr>
              <w:spacing w:after="0"/>
              <w:rPr>
                <w:sz w:val="15"/>
                <w:szCs w:val="15"/>
                <w:color w:val="auto"/>
              </w:rPr>
            </w:pPr>
          </w:p>
        </w:tc>
        <w:tc>
          <w:tcPr>
            <w:tcW w:w="1200" w:type="dxa"/>
            <w:vAlign w:val="bottom"/>
            <w:shd w:val="clear" w:color="auto" w:fill="1D2758"/>
          </w:tcPr>
          <w:p>
            <w:pPr>
              <w:jc w:val="right"/>
              <w:ind w:right="574"/>
              <w:spacing w:after="0"/>
              <w:rPr>
                <w:sz w:val="20"/>
                <w:szCs w:val="20"/>
                <w:color w:val="auto"/>
              </w:rPr>
            </w:pPr>
            <w:r>
              <w:rPr>
                <w:rFonts w:ascii="Arial" w:cs="Arial" w:eastAsia="Arial" w:hAnsi="Arial"/>
                <w:sz w:val="13"/>
                <w:szCs w:val="13"/>
                <w:b w:val="1"/>
                <w:bCs w:val="1"/>
                <w:color w:val="FFFFFF"/>
              </w:rPr>
              <w:t>2021</w:t>
            </w:r>
          </w:p>
        </w:tc>
        <w:tc>
          <w:tcPr>
            <w:tcW w:w="80" w:type="dxa"/>
            <w:vAlign w:val="bottom"/>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1200" w:type="dxa"/>
            <w:vAlign w:val="bottom"/>
            <w:shd w:val="clear" w:color="auto" w:fill="1D2758"/>
          </w:tcPr>
          <w:p>
            <w:pPr>
              <w:jc w:val="right"/>
              <w:ind w:right="574"/>
              <w:spacing w:after="0"/>
              <w:rPr>
                <w:sz w:val="20"/>
                <w:szCs w:val="20"/>
                <w:color w:val="auto"/>
              </w:rPr>
            </w:pPr>
            <w:r>
              <w:rPr>
                <w:rFonts w:ascii="Arial" w:cs="Arial" w:eastAsia="Arial" w:hAnsi="Arial"/>
                <w:sz w:val="13"/>
                <w:szCs w:val="13"/>
                <w:b w:val="1"/>
                <w:bCs w:val="1"/>
                <w:color w:val="FFFFFF"/>
              </w:rPr>
              <w:t>2020</w:t>
            </w:r>
          </w:p>
        </w:tc>
        <w:tc>
          <w:tcPr>
            <w:tcW w:w="80" w:type="dxa"/>
            <w:vAlign w:val="bottom"/>
            <w:shd w:val="clear" w:color="auto" w:fill="1D2758"/>
          </w:tcPr>
          <w:p>
            <w:pPr>
              <w:spacing w:after="0"/>
              <w:rPr>
                <w:sz w:val="15"/>
                <w:szCs w:val="15"/>
                <w:color w:val="auto"/>
              </w:rPr>
            </w:pPr>
          </w:p>
        </w:tc>
        <w:tc>
          <w:tcPr>
            <w:tcW w:w="360" w:type="dxa"/>
            <w:vAlign w:val="bottom"/>
            <w:shd w:val="clear" w:color="auto" w:fill="1D2758"/>
          </w:tcPr>
          <w:p>
            <w:pPr>
              <w:spacing w:after="0"/>
              <w:rPr>
                <w:sz w:val="15"/>
                <w:szCs w:val="15"/>
                <w:color w:val="auto"/>
              </w:rPr>
            </w:pPr>
          </w:p>
        </w:tc>
        <w:tc>
          <w:tcPr>
            <w:tcW w:w="1200" w:type="dxa"/>
            <w:vAlign w:val="bottom"/>
            <w:shd w:val="clear" w:color="auto" w:fill="1D2758"/>
          </w:tcPr>
          <w:p>
            <w:pPr>
              <w:jc w:val="right"/>
              <w:ind w:right="574"/>
              <w:spacing w:after="0"/>
              <w:rPr>
                <w:sz w:val="20"/>
                <w:szCs w:val="20"/>
                <w:color w:val="auto"/>
              </w:rPr>
            </w:pPr>
            <w:r>
              <w:rPr>
                <w:rFonts w:ascii="Arial" w:cs="Arial" w:eastAsia="Arial" w:hAnsi="Arial"/>
                <w:sz w:val="13"/>
                <w:szCs w:val="13"/>
                <w:b w:val="1"/>
                <w:bCs w:val="1"/>
                <w:color w:val="FFFFFF"/>
              </w:rPr>
              <w:t>2019</w:t>
            </w:r>
          </w:p>
        </w:tc>
      </w:tr>
      <w:tr>
        <w:trPr>
          <w:trHeight w:val="175"/>
        </w:trPr>
        <w:tc>
          <w:tcPr>
            <w:tcW w:w="2740" w:type="dxa"/>
            <w:vAlign w:val="bottom"/>
            <w:shd w:val="clear" w:color="auto" w:fill="DBDBDB"/>
          </w:tcPr>
          <w:p>
            <w:pPr>
              <w:ind w:left="20"/>
              <w:spacing w:after="0"/>
              <w:rPr>
                <w:sz w:val="20"/>
                <w:szCs w:val="20"/>
                <w:color w:val="auto"/>
              </w:rPr>
            </w:pPr>
            <w:r>
              <w:rPr>
                <w:rFonts w:ascii="Arial" w:cs="Arial" w:eastAsia="Arial" w:hAnsi="Arial"/>
                <w:sz w:val="13"/>
                <w:szCs w:val="13"/>
                <w:color w:val="auto"/>
              </w:rPr>
              <w:t>Leasing revenue from related parties</w:t>
            </w:r>
          </w:p>
        </w:tc>
        <w:tc>
          <w:tcPr>
            <w:tcW w:w="3680" w:type="dxa"/>
            <w:vAlign w:val="bottom"/>
            <w:shd w:val="clear" w:color="auto" w:fill="DBDBDB"/>
          </w:tcPr>
          <w:p>
            <w:pPr>
              <w:ind w:left="480"/>
              <w:spacing w:after="0"/>
              <w:rPr>
                <w:sz w:val="20"/>
                <w:szCs w:val="20"/>
                <w:color w:val="auto"/>
              </w:rPr>
            </w:pPr>
            <w:r>
              <w:rPr>
                <w:rFonts w:ascii="Arial" w:cs="Arial" w:eastAsia="Arial" w:hAnsi="Arial"/>
                <w:sz w:val="13"/>
                <w:szCs w:val="13"/>
                <w:color w:val="auto"/>
              </w:rPr>
              <w:t>Leasing revenue</w:t>
            </w:r>
          </w:p>
        </w:tc>
        <w:tc>
          <w:tcPr>
            <w:tcW w:w="360" w:type="dxa"/>
            <w:vAlign w:val="bottom"/>
            <w:shd w:val="clear" w:color="auto" w:fill="DBDBDB"/>
          </w:tcPr>
          <w:p>
            <w:pPr>
              <w:jc w:val="right"/>
              <w:ind w:right="214"/>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737</w:t>
            </w:r>
          </w:p>
        </w:tc>
        <w:tc>
          <w:tcPr>
            <w:tcW w:w="80" w:type="dxa"/>
            <w:vAlign w:val="bottom"/>
            <w:shd w:val="clear" w:color="auto" w:fill="DBDBDB"/>
          </w:tcPr>
          <w:p>
            <w:pPr>
              <w:spacing w:after="0"/>
              <w:rPr>
                <w:sz w:val="15"/>
                <w:szCs w:val="15"/>
                <w:color w:val="auto"/>
              </w:rPr>
            </w:pPr>
          </w:p>
        </w:tc>
        <w:tc>
          <w:tcPr>
            <w:tcW w:w="380" w:type="dxa"/>
            <w:vAlign w:val="bottom"/>
            <w:shd w:val="clear" w:color="auto" w:fill="DBDBDB"/>
          </w:tcPr>
          <w:p>
            <w:pPr>
              <w:jc w:val="right"/>
              <w:ind w:right="214"/>
              <w:spacing w:after="0"/>
              <w:rPr>
                <w:sz w:val="20"/>
                <w:szCs w:val="20"/>
                <w:color w:val="auto"/>
              </w:rPr>
            </w:pPr>
            <w:r>
              <w:rPr>
                <w:rFonts w:ascii="Arial" w:cs="Arial" w:eastAsia="Arial" w:hAnsi="Arial"/>
                <w:sz w:val="13"/>
                <w:szCs w:val="13"/>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1,066</w:t>
            </w:r>
          </w:p>
        </w:tc>
        <w:tc>
          <w:tcPr>
            <w:tcW w:w="80" w:type="dxa"/>
            <w:vAlign w:val="bottom"/>
            <w:shd w:val="clear" w:color="auto" w:fill="DBDBDB"/>
          </w:tcPr>
          <w:p>
            <w:pPr>
              <w:spacing w:after="0"/>
              <w:rPr>
                <w:sz w:val="15"/>
                <w:szCs w:val="15"/>
                <w:color w:val="auto"/>
              </w:rPr>
            </w:pPr>
          </w:p>
        </w:tc>
        <w:tc>
          <w:tcPr>
            <w:tcW w:w="360" w:type="dxa"/>
            <w:vAlign w:val="bottom"/>
            <w:shd w:val="clear" w:color="auto" w:fill="DBDBDB"/>
          </w:tcPr>
          <w:p>
            <w:pPr>
              <w:jc w:val="right"/>
              <w:ind w:right="214"/>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316</w:t>
            </w:r>
          </w:p>
        </w:tc>
      </w:tr>
      <w:tr>
        <w:trPr>
          <w:trHeight w:val="172"/>
        </w:trPr>
        <w:tc>
          <w:tcPr>
            <w:tcW w:w="2740" w:type="dxa"/>
            <w:vAlign w:val="bottom"/>
          </w:tcPr>
          <w:p>
            <w:pPr>
              <w:ind w:left="20"/>
              <w:spacing w:after="0"/>
              <w:rPr>
                <w:sz w:val="20"/>
                <w:szCs w:val="20"/>
                <w:color w:val="auto"/>
              </w:rPr>
            </w:pPr>
            <w:r>
              <w:rPr>
                <w:rFonts w:ascii="Arial" w:cs="Arial" w:eastAsia="Arial" w:hAnsi="Arial"/>
                <w:sz w:val="13"/>
                <w:szCs w:val="13"/>
                <w:color w:val="auto"/>
              </w:rPr>
              <w:t>Rental unit sales to related parties</w:t>
            </w:r>
          </w:p>
        </w:tc>
        <w:tc>
          <w:tcPr>
            <w:tcW w:w="3680" w:type="dxa"/>
            <w:vAlign w:val="bottom"/>
          </w:tcPr>
          <w:p>
            <w:pPr>
              <w:ind w:left="480"/>
              <w:spacing w:after="0"/>
              <w:rPr>
                <w:sz w:val="20"/>
                <w:szCs w:val="20"/>
                <w:color w:val="auto"/>
              </w:rPr>
            </w:pPr>
            <w:r>
              <w:rPr>
                <w:rFonts w:ascii="Arial" w:cs="Arial" w:eastAsia="Arial" w:hAnsi="Arial"/>
                <w:sz w:val="13"/>
                <w:szCs w:val="13"/>
                <w:color w:val="auto"/>
              </w:rPr>
              <w:t>Rental unit sales</w:t>
            </w:r>
          </w:p>
        </w:tc>
        <w:tc>
          <w:tcPr>
            <w:tcW w:w="36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380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2740" w:type="dxa"/>
            <w:vAlign w:val="bottom"/>
            <w:shd w:val="clear" w:color="auto" w:fill="DBDBDB"/>
          </w:tcPr>
          <w:p>
            <w:pPr>
              <w:ind w:left="20"/>
              <w:spacing w:after="0"/>
              <w:rPr>
                <w:sz w:val="20"/>
                <w:szCs w:val="20"/>
                <w:color w:val="auto"/>
              </w:rPr>
            </w:pPr>
            <w:r>
              <w:rPr>
                <w:rFonts w:ascii="Arial" w:cs="Arial" w:eastAsia="Arial" w:hAnsi="Arial"/>
                <w:sz w:val="13"/>
                <w:szCs w:val="13"/>
                <w:color w:val="auto"/>
              </w:rPr>
              <w:t>Consulting expense to related party (a)</w:t>
            </w:r>
          </w:p>
        </w:tc>
        <w:tc>
          <w:tcPr>
            <w:tcW w:w="3680" w:type="dxa"/>
            <w:vAlign w:val="bottom"/>
            <w:shd w:val="clear" w:color="auto" w:fill="DBDBDB"/>
          </w:tcPr>
          <w:p>
            <w:pPr>
              <w:ind w:left="480"/>
              <w:spacing w:after="0"/>
              <w:rPr>
                <w:sz w:val="20"/>
                <w:szCs w:val="20"/>
                <w:color w:val="auto"/>
              </w:rPr>
            </w:pPr>
            <w:r>
              <w:rPr>
                <w:rFonts w:ascii="Arial" w:cs="Arial" w:eastAsia="Arial" w:hAnsi="Arial"/>
                <w:sz w:val="13"/>
                <w:szCs w:val="13"/>
                <w:color w:val="auto"/>
              </w:rPr>
              <w:t>Selling, general &amp; administrative expense</w:t>
            </w:r>
          </w:p>
        </w:tc>
        <w:tc>
          <w:tcPr>
            <w:tcW w:w="360" w:type="dxa"/>
            <w:vAlign w:val="bottom"/>
            <w:tcBorders>
              <w:bottom w:val="single" w:sz="8" w:color="auto"/>
            </w:tcBorders>
            <w:shd w:val="clear" w:color="auto" w:fill="DBDBDB"/>
          </w:tcPr>
          <w:p>
            <w:pPr>
              <w:spacing w:after="0"/>
              <w:rPr>
                <w:sz w:val="15"/>
                <w:szCs w:val="15"/>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(4,187)</w:t>
            </w:r>
          </w:p>
        </w:tc>
        <w:tc>
          <w:tcPr>
            <w:tcW w:w="80" w:type="dxa"/>
            <w:vAlign w:val="bottom"/>
            <w:shd w:val="clear" w:color="auto" w:fill="DBDBDB"/>
          </w:tcPr>
          <w:p>
            <w:pPr>
              <w:spacing w:after="0"/>
              <w:rPr>
                <w:sz w:val="15"/>
                <w:szCs w:val="15"/>
                <w:color w:val="auto"/>
              </w:rPr>
            </w:pPr>
          </w:p>
        </w:tc>
        <w:tc>
          <w:tcPr>
            <w:tcW w:w="380" w:type="dxa"/>
            <w:vAlign w:val="bottom"/>
            <w:tcBorders>
              <w:bottom w:val="single" w:sz="8" w:color="auto"/>
            </w:tcBorders>
            <w:shd w:val="clear" w:color="auto" w:fill="DBDBDB"/>
          </w:tcPr>
          <w:p>
            <w:pPr>
              <w:spacing w:after="0"/>
              <w:rPr>
                <w:sz w:val="15"/>
                <w:szCs w:val="15"/>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(5,194)</w:t>
            </w:r>
          </w:p>
        </w:tc>
        <w:tc>
          <w:tcPr>
            <w:tcW w:w="80" w:type="dxa"/>
            <w:vAlign w:val="bottom"/>
            <w:shd w:val="clear" w:color="auto" w:fill="DBDBDB"/>
          </w:tcPr>
          <w:p>
            <w:pPr>
              <w:spacing w:after="0"/>
              <w:rPr>
                <w:sz w:val="15"/>
                <w:szCs w:val="15"/>
                <w:color w:val="auto"/>
              </w:rPr>
            </w:pPr>
          </w:p>
        </w:tc>
        <w:tc>
          <w:tcPr>
            <w:tcW w:w="360" w:type="dxa"/>
            <w:vAlign w:val="bottom"/>
            <w:tcBorders>
              <w:bottom w:val="single" w:sz="8" w:color="auto"/>
            </w:tcBorders>
            <w:shd w:val="clear" w:color="auto" w:fill="DBDBDB"/>
          </w:tcPr>
          <w:p>
            <w:pPr>
              <w:spacing w:after="0"/>
              <w:rPr>
                <w:sz w:val="15"/>
                <w:szCs w:val="15"/>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(1,029)</w:t>
            </w:r>
          </w:p>
        </w:tc>
      </w:tr>
      <w:tr>
        <w:trPr>
          <w:trHeight w:val="169"/>
        </w:trPr>
        <w:tc>
          <w:tcPr>
            <w:tcW w:w="2740" w:type="dxa"/>
            <w:vAlign w:val="bottom"/>
          </w:tcPr>
          <w:p>
            <w:pPr>
              <w:ind w:left="20"/>
              <w:spacing w:after="0"/>
              <w:rPr>
                <w:sz w:val="20"/>
                <w:szCs w:val="20"/>
                <w:color w:val="auto"/>
              </w:rPr>
            </w:pPr>
            <w:r>
              <w:rPr>
                <w:rFonts w:ascii="Arial" w:cs="Arial" w:eastAsia="Arial" w:hAnsi="Arial"/>
                <w:sz w:val="13"/>
                <w:szCs w:val="13"/>
                <w:color w:val="auto"/>
              </w:rPr>
              <w:t>Total related party expense, net</w:t>
            </w:r>
          </w:p>
        </w:tc>
        <w:tc>
          <w:tcPr>
            <w:tcW w:w="3680" w:type="dxa"/>
            <w:vAlign w:val="bottom"/>
          </w:tcPr>
          <w:p>
            <w:pPr>
              <w:spacing w:after="0"/>
              <w:rPr>
                <w:sz w:val="14"/>
                <w:szCs w:val="14"/>
                <w:color w:val="auto"/>
              </w:rPr>
            </w:pPr>
          </w:p>
        </w:tc>
        <w:tc>
          <w:tcPr>
            <w:tcW w:w="36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(3,450)</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(3,748)</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(713)</w:t>
            </w:r>
          </w:p>
        </w:tc>
      </w:tr>
      <w:tr>
        <w:trPr>
          <w:trHeight w:val="20"/>
        </w:trPr>
        <w:tc>
          <w:tcPr>
            <w:tcW w:w="27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2"/>
          <w:szCs w:val="12"/>
          <w:color w:val="auto"/>
        </w:rPr>
        <w:t>(a) Two of the Company's directors also serve on the Board of Directors of a consulting firm from which the Company incurs professional fees.</w:t>
      </w:r>
    </w:p>
    <w:p>
      <w:pPr>
        <w:spacing w:after="0" w:line="78"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On June 30, 2020, the Company completed the Sapphire Exchange, whereby Sapphire Holdings, an affiliate of TDR Capital, exchanged shares of Class B Common Stock for 10,641,182 shares of Class A Common Stock. As a result of the Sapphire Exchange, all issued and outstanding shares of WillScot’s Class B Common Stock were automatically canceled for no consideration and the existing exchange agreement was automatically terminated.</w:t>
      </w:r>
    </w:p>
    <w:p>
      <w:pPr>
        <w:spacing w:after="0" w:line="33"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On August 22, 2018, WillScot’s principal stockholder, Sapphire Holdings, entered into a margin loan (the "Margin Loan") under which all of its shares of WillScot Mobile Mini Common Stock were pledged to secure borrowings of up to $125.0 million under the loan agreement. WillScot Mobile Mini was not a party to the loan agreement and had no obligations thereunder. On June 29, 2021, Sapphire Holdings repaid all outstanding amounts under the Margin Loan with proceeds from the sale of certain shares of WillScot Mobile Mini and no WillScot Mobile Mini shares remain pledged thereunder.</w:t>
      </w:r>
    </w:p>
    <w:p>
      <w:pPr>
        <w:spacing w:after="0" w:line="35" w:lineRule="exact"/>
        <w:rPr>
          <w:sz w:val="20"/>
          <w:szCs w:val="20"/>
          <w:color w:val="auto"/>
        </w:rPr>
      </w:pPr>
    </w:p>
    <w:p>
      <w:pPr>
        <w:jc w:val="both"/>
        <w:ind w:firstLine="524"/>
        <w:spacing w:after="0" w:line="248" w:lineRule="auto"/>
        <w:rPr>
          <w:sz w:val="20"/>
          <w:szCs w:val="20"/>
          <w:color w:val="auto"/>
        </w:rPr>
      </w:pPr>
      <w:r>
        <w:rPr>
          <w:rFonts w:ascii="Arial" w:cs="Arial" w:eastAsia="Arial" w:hAnsi="Arial"/>
          <w:sz w:val="13"/>
          <w:szCs w:val="13"/>
          <w:color w:val="auto"/>
        </w:rPr>
        <w:t>On March 1, 2021, the Company repurchased from Sapphire Holdings and cancelled 2,750,000 shares of its Common Stock. On June 29, 2021, the Company repurchased from Sapphire Holdings and cancelled an additional 3,900,000 shares of its Common Stock. Following the reduction in Sapphire Holdings’ beneficial ownership of Common Stock resulting from the foregoing repurchases and the underwritten secondary offering by Sapphire Holdings of 16,100,000 shares of Common Stock on June 25, 2021, Gary Lindsay resigned his position as a member of the WillScot Mobile Mini board of directors pursuant to the terms of that certain Shareholders Agreement dated July 1, 2020 between Sapphire Holdings, TDR Capital II Holdings L.P., TDR Capital, L.L.P. and WillScot Mobile Mini (the "Shareholders Agreement").</w:t>
      </w:r>
    </w:p>
    <w:p>
      <w:pPr>
        <w:spacing w:after="0" w:line="36"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On September 9, 2021, the Company repurchased from Sapphire Holdings and cancelled an additional 2,379,839 shares of its common stock, and Sapphire Holdings sold its remaining 21,410,019 shares through an underwritten secondary offering. Following the reduction in Sapphire Holdings' beneficial ownership of Common Stock resulting from the foregoing repurchase and secondary offering, Stephen Robertson resigned his position as a member of the Willscot Mobile Mini board of directors pursuant to the terms of the Shareholder Agreement.</w:t>
      </w:r>
    </w:p>
    <w:p>
      <w:pPr>
        <w:spacing w:after="0" w:line="33" w:lineRule="exact"/>
        <w:rPr>
          <w:sz w:val="20"/>
          <w:szCs w:val="20"/>
          <w:color w:val="auto"/>
        </w:rPr>
      </w:pPr>
    </w:p>
    <w:p>
      <w:pPr>
        <w:jc w:val="both"/>
        <w:ind w:firstLine="524"/>
        <w:spacing w:after="0" w:line="248" w:lineRule="auto"/>
        <w:rPr>
          <w:sz w:val="20"/>
          <w:szCs w:val="20"/>
          <w:color w:val="auto"/>
        </w:rPr>
      </w:pPr>
      <w:r>
        <w:rPr>
          <w:rFonts w:ascii="Arial" w:cs="Arial" w:eastAsia="Arial" w:hAnsi="Arial"/>
          <w:sz w:val="13"/>
          <w:szCs w:val="13"/>
          <w:color w:val="auto"/>
        </w:rPr>
        <w:t>The Company purchased rental equipment from related party affiliates of $2.5 million, $3.1 million, and $4.7 million for the years ended December 31, 2021, 2020, and 2019, respectively.</w:t>
      </w:r>
    </w:p>
    <w:p>
      <w:pPr>
        <w:spacing w:after="0" w:line="394" w:lineRule="exact"/>
        <w:rPr>
          <w:sz w:val="20"/>
          <w:szCs w:val="20"/>
          <w:color w:val="auto"/>
        </w:rPr>
      </w:pPr>
    </w:p>
    <w:p>
      <w:pPr>
        <w:spacing w:after="0"/>
        <w:rPr>
          <w:sz w:val="20"/>
          <w:szCs w:val="20"/>
          <w:color w:val="auto"/>
        </w:rPr>
      </w:pPr>
      <w:r>
        <w:rPr>
          <w:rFonts w:ascii="Arial" w:cs="Arial" w:eastAsia="Arial" w:hAnsi="Arial"/>
          <w:sz w:val="19"/>
          <w:szCs w:val="19"/>
          <w:color w:val="1D2758"/>
        </w:rPr>
        <w:t>NOTE 20 - Earnings (Loss) Per Share</w:t>
      </w:r>
    </w:p>
    <w:p>
      <w:pPr>
        <w:spacing w:after="0" w:line="42"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Basic earnings (loss) per share (“EPS”) is calculated by dividing net income (loss) attributable to WillScot Mobile Mini by the weighted average number of shares of Common Stock outstanding during the period. The shares of Common Stock issued as a result of the vesting of RSUs and RSAs as well as the exercise of stock options or redemption of warrants are included in EPS based on the weighted average number of days in which they were outstanding during the period.</w:t>
      </w:r>
    </w:p>
    <w:p>
      <w:pPr>
        <w:spacing w:after="0" w:line="33"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Prior to June 30, 2020, the Company had shares of Class B Common Stock which had no rights to dividends or distributions made by the Company and, in turn, were excluded from the EPS calculation. On June 30, 2020, the Sapphire Exchange was completed, and all shares of Class B Common Stock were cancelled, and Sapphire Holdings received 10,641,182 shares of Common Stock.</w:t>
      </w:r>
    </w:p>
    <w:p>
      <w:pPr>
        <w:spacing w:after="0" w:line="33" w:lineRule="exact"/>
        <w:rPr>
          <w:sz w:val="20"/>
          <w:szCs w:val="20"/>
          <w:color w:val="auto"/>
        </w:rPr>
      </w:pPr>
    </w:p>
    <w:p>
      <w:pPr>
        <w:jc w:val="both"/>
        <w:ind w:firstLine="524"/>
        <w:spacing w:after="0" w:line="249" w:lineRule="auto"/>
        <w:rPr>
          <w:sz w:val="20"/>
          <w:szCs w:val="20"/>
          <w:color w:val="auto"/>
        </w:rPr>
      </w:pPr>
      <w:r>
        <w:rPr>
          <w:rFonts w:ascii="Arial" w:cs="Arial" w:eastAsia="Arial" w:hAnsi="Arial"/>
          <w:sz w:val="13"/>
          <w:szCs w:val="13"/>
          <w:color w:val="auto"/>
        </w:rPr>
        <w:t>Diluted EPS is computed similarly to basic EPS, except that it includes the potential dilution that could occur if dilutive securities were exercised. Effects of potentially dilutive securities are presented only in periods in which they are dilutive. When liability-classified warrants are in the money and the impact of their inclusion on diluted EPS is dilutive, diluted EPS also assumes share settlement of such instruments through an adjustment to net income available to common stockholders for the fair value (gain) loss on common stock warrant liabilities and inclusion of the number of dilutive shares in the denominator.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14" w:name="page115"/>
    <w:bookmarkEnd w:id="114"/>
    <w:p>
      <w:pPr>
        <w:ind w:firstLine="524"/>
        <w:spacing w:after="0" w:line="239" w:lineRule="auto"/>
        <w:rPr>
          <w:sz w:val="20"/>
          <w:szCs w:val="20"/>
          <w:color w:val="auto"/>
        </w:rPr>
      </w:pPr>
      <w:r>
        <w:rPr>
          <w:rFonts w:ascii="Arial" w:cs="Arial" w:eastAsia="Arial" w:hAnsi="Arial"/>
          <w:sz w:val="13"/>
          <w:szCs w:val="13"/>
          <w:color w:val="auto"/>
        </w:rPr>
        <w:t>The following table reconciles net income (loss) attributable to WillScot Mobile Mini common shareholders and the weighted average shares outstanding for the basic calculation to the weighted average shares outstanding for the diluted calculation for the years ended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0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420" w:type="dxa"/>
            <w:vAlign w:val="bottom"/>
            <w:shd w:val="clear" w:color="auto" w:fill="1D2758"/>
          </w:tcPr>
          <w:p>
            <w:pPr>
              <w:spacing w:after="0"/>
              <w:rPr>
                <w:sz w:val="15"/>
                <w:szCs w:val="15"/>
                <w:color w:val="auto"/>
              </w:rPr>
            </w:pPr>
          </w:p>
        </w:tc>
        <w:tc>
          <w:tcPr>
            <w:tcW w:w="1360" w:type="dxa"/>
            <w:vAlign w:val="bottom"/>
            <w:shd w:val="clear" w:color="auto" w:fill="1D2758"/>
          </w:tcPr>
          <w:p>
            <w:pPr>
              <w:jc w:val="right"/>
              <w:ind w:right="674"/>
              <w:spacing w:after="0"/>
              <w:rPr>
                <w:sz w:val="20"/>
                <w:szCs w:val="20"/>
                <w:color w:val="auto"/>
              </w:rPr>
            </w:pPr>
            <w:r>
              <w:rPr>
                <w:rFonts w:ascii="Arial" w:cs="Arial" w:eastAsia="Arial" w:hAnsi="Arial"/>
                <w:sz w:val="13"/>
                <w:szCs w:val="13"/>
                <w:b w:val="1"/>
                <w:bCs w:val="1"/>
                <w:color w:val="FFFFFF"/>
              </w:rPr>
              <w:t>2021</w:t>
            </w:r>
          </w:p>
        </w:tc>
        <w:tc>
          <w:tcPr>
            <w:tcW w:w="420" w:type="dxa"/>
            <w:vAlign w:val="bottom"/>
            <w:shd w:val="clear" w:color="auto" w:fill="1D2758"/>
          </w:tcPr>
          <w:p>
            <w:pPr>
              <w:spacing w:after="0"/>
              <w:rPr>
                <w:sz w:val="15"/>
                <w:szCs w:val="15"/>
                <w:color w:val="auto"/>
              </w:rPr>
            </w:pPr>
          </w:p>
        </w:tc>
        <w:tc>
          <w:tcPr>
            <w:tcW w:w="1380" w:type="dxa"/>
            <w:vAlign w:val="bottom"/>
            <w:shd w:val="clear" w:color="auto" w:fill="1D2758"/>
          </w:tcPr>
          <w:p>
            <w:pPr>
              <w:jc w:val="right"/>
              <w:ind w:right="694"/>
              <w:spacing w:after="0"/>
              <w:rPr>
                <w:sz w:val="20"/>
                <w:szCs w:val="20"/>
                <w:color w:val="auto"/>
              </w:rPr>
            </w:pPr>
            <w:r>
              <w:rPr>
                <w:rFonts w:ascii="Arial" w:cs="Arial" w:eastAsia="Arial" w:hAnsi="Arial"/>
                <w:sz w:val="13"/>
                <w:szCs w:val="13"/>
                <w:b w:val="1"/>
                <w:bCs w:val="1"/>
                <w:color w:val="FFFFFF"/>
              </w:rPr>
              <w:t>2020</w:t>
            </w:r>
          </w:p>
        </w:tc>
        <w:tc>
          <w:tcPr>
            <w:tcW w:w="420" w:type="dxa"/>
            <w:vAlign w:val="bottom"/>
            <w:shd w:val="clear" w:color="auto" w:fill="1D2758"/>
          </w:tcPr>
          <w:p>
            <w:pPr>
              <w:spacing w:after="0"/>
              <w:rPr>
                <w:sz w:val="15"/>
                <w:szCs w:val="15"/>
                <w:color w:val="auto"/>
              </w:rPr>
            </w:pPr>
          </w:p>
        </w:tc>
        <w:tc>
          <w:tcPr>
            <w:tcW w:w="1380" w:type="dxa"/>
            <w:vAlign w:val="bottom"/>
            <w:shd w:val="clear" w:color="auto" w:fill="1D2758"/>
          </w:tcPr>
          <w:p>
            <w:pPr>
              <w:jc w:val="right"/>
              <w:ind w:right="694"/>
              <w:spacing w:after="0"/>
              <w:rPr>
                <w:sz w:val="20"/>
                <w:szCs w:val="20"/>
                <w:color w:val="auto"/>
              </w:rPr>
            </w:pPr>
            <w:r>
              <w:rPr>
                <w:rFonts w:ascii="Arial" w:cs="Arial" w:eastAsia="Arial" w:hAnsi="Arial"/>
                <w:sz w:val="13"/>
                <w:szCs w:val="13"/>
                <w:b w:val="1"/>
                <w:bCs w:val="1"/>
                <w:color w:val="FFFFFF"/>
              </w:rPr>
              <w:t>2019</w:t>
            </w:r>
          </w:p>
        </w:tc>
      </w:tr>
      <w:tr>
        <w:trPr>
          <w:trHeight w:val="175"/>
        </w:trPr>
        <w:tc>
          <w:tcPr>
            <w:tcW w:w="5900" w:type="dxa"/>
            <w:vAlign w:val="bottom"/>
            <w:shd w:val="clear" w:color="auto" w:fill="DBDBDB"/>
          </w:tcPr>
          <w:p>
            <w:pPr>
              <w:ind w:left="20"/>
              <w:spacing w:after="0"/>
              <w:rPr>
                <w:sz w:val="20"/>
                <w:szCs w:val="20"/>
                <w:color w:val="auto"/>
              </w:rPr>
            </w:pPr>
            <w:r>
              <w:rPr>
                <w:rFonts w:ascii="Arial" w:cs="Arial" w:eastAsia="Arial" w:hAnsi="Arial"/>
                <w:sz w:val="13"/>
                <w:szCs w:val="13"/>
                <w:color w:val="auto"/>
              </w:rPr>
              <w:t>Numerator:</w:t>
            </w:r>
          </w:p>
        </w:tc>
        <w:tc>
          <w:tcPr>
            <w:tcW w:w="420" w:type="dxa"/>
            <w:vAlign w:val="bottom"/>
            <w:shd w:val="clear" w:color="auto" w:fill="DBDBDB"/>
          </w:tcPr>
          <w:p>
            <w:pPr>
              <w:spacing w:after="0"/>
              <w:rPr>
                <w:sz w:val="15"/>
                <w:szCs w:val="15"/>
                <w:color w:val="auto"/>
              </w:rPr>
            </w:pPr>
          </w:p>
        </w:tc>
        <w:tc>
          <w:tcPr>
            <w:tcW w:w="136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r>
      <w:tr>
        <w:trPr>
          <w:trHeight w:val="172"/>
        </w:trPr>
        <w:tc>
          <w:tcPr>
            <w:tcW w:w="5900" w:type="dxa"/>
            <w:vAlign w:val="bottom"/>
          </w:tcPr>
          <w:p>
            <w:pPr>
              <w:ind w:left="20"/>
              <w:spacing w:after="0"/>
              <w:rPr>
                <w:sz w:val="20"/>
                <w:szCs w:val="20"/>
                <w:color w:val="auto"/>
              </w:rPr>
            </w:pPr>
            <w:r>
              <w:rPr>
                <w:rFonts w:ascii="Arial" w:cs="Arial" w:eastAsia="Arial" w:hAnsi="Arial"/>
                <w:sz w:val="13"/>
                <w:szCs w:val="13"/>
                <w:color w:val="auto"/>
              </w:rPr>
              <w:t>Net income (loss) attributable to common shareholders - basic</w:t>
            </w:r>
          </w:p>
        </w:tc>
        <w:tc>
          <w:tcPr>
            <w:tcW w:w="420" w:type="dxa"/>
            <w:vAlign w:val="bottom"/>
          </w:tcPr>
          <w:p>
            <w:pPr>
              <w:jc w:val="right"/>
              <w:ind w:right="274"/>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160,144</w:t>
            </w:r>
          </w:p>
        </w:tc>
        <w:tc>
          <w:tcPr>
            <w:tcW w:w="420" w:type="dxa"/>
            <w:vAlign w:val="bottom"/>
          </w:tcPr>
          <w:p>
            <w:pPr>
              <w:jc w:val="right"/>
              <w:ind w:right="254"/>
              <w:spacing w:after="0"/>
              <w:rPr>
                <w:sz w:val="20"/>
                <w:szCs w:val="20"/>
                <w:color w:val="auto"/>
              </w:rPr>
            </w:pPr>
            <w:r>
              <w:rPr>
                <w:rFonts w:ascii="Arial" w:cs="Arial" w:eastAsia="Arial" w:hAnsi="Arial"/>
                <w:sz w:val="13"/>
                <w:szCs w:val="13"/>
                <w:color w:val="auto"/>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74,127</w:t>
            </w:r>
          </w:p>
        </w:tc>
        <w:tc>
          <w:tcPr>
            <w:tcW w:w="420" w:type="dxa"/>
            <w:vAlign w:val="bottom"/>
          </w:tcPr>
          <w:p>
            <w:pPr>
              <w:jc w:val="right"/>
              <w:ind w:right="274"/>
              <w:spacing w:after="0"/>
              <w:rPr>
                <w:sz w:val="20"/>
                <w:szCs w:val="20"/>
                <w:color w:val="auto"/>
              </w:rPr>
            </w:pPr>
            <w:r>
              <w:rPr>
                <w:rFonts w:ascii="Arial" w:cs="Arial" w:eastAsia="Arial" w:hAnsi="Arial"/>
                <w:sz w:val="13"/>
                <w:szCs w:val="13"/>
                <w:color w:val="auto"/>
                <w:w w:val="82"/>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(120,744)</w:t>
            </w:r>
          </w:p>
        </w:tc>
      </w:tr>
      <w:tr>
        <w:trPr>
          <w:trHeight w:val="175"/>
        </w:trPr>
        <w:tc>
          <w:tcPr>
            <w:tcW w:w="5900" w:type="dxa"/>
            <w:vAlign w:val="bottom"/>
            <w:shd w:val="clear" w:color="auto" w:fill="DBDBDB"/>
          </w:tcPr>
          <w:p>
            <w:pPr>
              <w:ind w:left="280"/>
              <w:spacing w:after="0"/>
              <w:rPr>
                <w:sz w:val="20"/>
                <w:szCs w:val="20"/>
                <w:color w:val="auto"/>
              </w:rPr>
            </w:pPr>
            <w:r>
              <w:rPr>
                <w:rFonts w:ascii="Arial" w:cs="Arial" w:eastAsia="Arial" w:hAnsi="Arial"/>
                <w:sz w:val="13"/>
                <w:szCs w:val="13"/>
                <w:color w:val="auto"/>
              </w:rPr>
              <w:t>Fair value gain on common stock warrant liabilities</w:t>
            </w:r>
          </w:p>
        </w:tc>
        <w:tc>
          <w:tcPr>
            <w:tcW w:w="420" w:type="dxa"/>
            <w:vAlign w:val="bottom"/>
            <w:tcBorders>
              <w:bottom w:val="single" w:sz="8" w:color="auto"/>
            </w:tcBorders>
            <w:shd w:val="clear" w:color="auto" w:fill="DBDBDB"/>
          </w:tcPr>
          <w:p>
            <w:pPr>
              <w:spacing w:after="0"/>
              <w:rPr>
                <w:sz w:val="15"/>
                <w:szCs w:val="15"/>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shd w:val="clear" w:color="auto" w:fill="DBDBDB"/>
          </w:tcPr>
          <w:p>
            <w:pPr>
              <w:spacing w:after="0"/>
              <w:rPr>
                <w:sz w:val="15"/>
                <w:szCs w:val="15"/>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(30,524)</w:t>
            </w:r>
          </w:p>
        </w:tc>
        <w:tc>
          <w:tcPr>
            <w:tcW w:w="420" w:type="dxa"/>
            <w:vAlign w:val="bottom"/>
            <w:tcBorders>
              <w:bottom w:val="single" w:sz="8" w:color="auto"/>
            </w:tcBorders>
            <w:shd w:val="clear" w:color="auto" w:fill="DBDBDB"/>
          </w:tcPr>
          <w:p>
            <w:pPr>
              <w:spacing w:after="0"/>
              <w:rPr>
                <w:sz w:val="15"/>
                <w:szCs w:val="15"/>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5900" w:type="dxa"/>
            <w:vAlign w:val="bottom"/>
          </w:tcPr>
          <w:p>
            <w:pPr>
              <w:ind w:left="20"/>
              <w:spacing w:after="0"/>
              <w:rPr>
                <w:sz w:val="20"/>
                <w:szCs w:val="20"/>
                <w:color w:val="auto"/>
              </w:rPr>
            </w:pPr>
            <w:r>
              <w:rPr>
                <w:rFonts w:ascii="Arial" w:cs="Arial" w:eastAsia="Arial" w:hAnsi="Arial"/>
                <w:sz w:val="13"/>
                <w:szCs w:val="13"/>
                <w:color w:val="auto"/>
              </w:rPr>
              <w:t>Net income (loss) attributable to common shareholders - dilutive</w:t>
            </w:r>
          </w:p>
        </w:tc>
        <w:tc>
          <w:tcPr>
            <w:tcW w:w="42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160,144</w:t>
            </w:r>
          </w:p>
        </w:tc>
        <w:tc>
          <w:tcPr>
            <w:tcW w:w="42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43,603</w:t>
            </w:r>
          </w:p>
        </w:tc>
        <w:tc>
          <w:tcPr>
            <w:tcW w:w="42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(120,744)</w:t>
            </w:r>
          </w:p>
        </w:tc>
      </w:tr>
      <w:tr>
        <w:trPr>
          <w:trHeight w:val="20"/>
        </w:trPr>
        <w:tc>
          <w:tcPr>
            <w:tcW w:w="5900" w:type="dxa"/>
            <w:vAlign w:val="bottom"/>
            <w:tcBorders>
              <w:bottom w:val="single" w:sz="8" w:color="DBDBDB"/>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69"/>
        </w:trPr>
        <w:tc>
          <w:tcPr>
            <w:tcW w:w="5900" w:type="dxa"/>
            <w:vAlign w:val="bottom"/>
            <w:shd w:val="clear" w:color="auto" w:fill="DBDBDB"/>
          </w:tcPr>
          <w:p>
            <w:pPr>
              <w:spacing w:after="0"/>
              <w:rPr>
                <w:sz w:val="14"/>
                <w:szCs w:val="14"/>
                <w:color w:val="auto"/>
              </w:rPr>
            </w:pPr>
          </w:p>
        </w:tc>
        <w:tc>
          <w:tcPr>
            <w:tcW w:w="420" w:type="dxa"/>
            <w:vAlign w:val="bottom"/>
            <w:shd w:val="clear" w:color="auto" w:fill="DBDBDB"/>
          </w:tcPr>
          <w:p>
            <w:pPr>
              <w:spacing w:after="0"/>
              <w:rPr>
                <w:sz w:val="14"/>
                <w:szCs w:val="14"/>
                <w:color w:val="auto"/>
              </w:rPr>
            </w:pPr>
          </w:p>
        </w:tc>
        <w:tc>
          <w:tcPr>
            <w:tcW w:w="1360" w:type="dxa"/>
            <w:vAlign w:val="bottom"/>
            <w:shd w:val="clear" w:color="auto" w:fill="DBDBDB"/>
          </w:tcPr>
          <w:p>
            <w:pPr>
              <w:spacing w:after="0"/>
              <w:rPr>
                <w:sz w:val="14"/>
                <w:szCs w:val="14"/>
                <w:color w:val="auto"/>
              </w:rPr>
            </w:pPr>
          </w:p>
        </w:tc>
        <w:tc>
          <w:tcPr>
            <w:tcW w:w="420" w:type="dxa"/>
            <w:vAlign w:val="bottom"/>
            <w:shd w:val="clear" w:color="auto" w:fill="DBDBDB"/>
          </w:tcPr>
          <w:p>
            <w:pPr>
              <w:spacing w:after="0"/>
              <w:rPr>
                <w:sz w:val="14"/>
                <w:szCs w:val="14"/>
                <w:color w:val="auto"/>
              </w:rPr>
            </w:pPr>
          </w:p>
        </w:tc>
        <w:tc>
          <w:tcPr>
            <w:tcW w:w="1380" w:type="dxa"/>
            <w:vAlign w:val="bottom"/>
            <w:shd w:val="clear" w:color="auto" w:fill="DBDBDB"/>
          </w:tcPr>
          <w:p>
            <w:pPr>
              <w:spacing w:after="0"/>
              <w:rPr>
                <w:sz w:val="14"/>
                <w:szCs w:val="14"/>
                <w:color w:val="auto"/>
              </w:rPr>
            </w:pPr>
          </w:p>
        </w:tc>
        <w:tc>
          <w:tcPr>
            <w:tcW w:w="420" w:type="dxa"/>
            <w:vAlign w:val="bottom"/>
            <w:shd w:val="clear" w:color="auto" w:fill="DBDBDB"/>
          </w:tcPr>
          <w:p>
            <w:pPr>
              <w:spacing w:after="0"/>
              <w:rPr>
                <w:sz w:val="14"/>
                <w:szCs w:val="14"/>
                <w:color w:val="auto"/>
              </w:rPr>
            </w:pPr>
          </w:p>
        </w:tc>
        <w:tc>
          <w:tcPr>
            <w:tcW w:w="1380" w:type="dxa"/>
            <w:vAlign w:val="bottom"/>
            <w:shd w:val="clear" w:color="auto" w:fill="DBDBDB"/>
          </w:tcPr>
          <w:p>
            <w:pPr>
              <w:spacing w:after="0"/>
              <w:rPr>
                <w:sz w:val="14"/>
                <w:szCs w:val="14"/>
                <w:color w:val="auto"/>
              </w:rPr>
            </w:pPr>
          </w:p>
        </w:tc>
      </w:tr>
      <w:tr>
        <w:trPr>
          <w:trHeight w:val="172"/>
        </w:trPr>
        <w:tc>
          <w:tcPr>
            <w:tcW w:w="5900" w:type="dxa"/>
            <w:vAlign w:val="bottom"/>
          </w:tcPr>
          <w:p>
            <w:pPr>
              <w:ind w:left="20"/>
              <w:spacing w:after="0"/>
              <w:rPr>
                <w:sz w:val="20"/>
                <w:szCs w:val="20"/>
                <w:color w:val="auto"/>
              </w:rPr>
            </w:pPr>
            <w:r>
              <w:rPr>
                <w:rFonts w:ascii="Arial" w:cs="Arial" w:eastAsia="Arial" w:hAnsi="Arial"/>
                <w:sz w:val="13"/>
                <w:szCs w:val="13"/>
                <w:color w:val="auto"/>
              </w:rPr>
              <w:t>Denominator:</w:t>
            </w: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8"/>
        </w:trPr>
        <w:tc>
          <w:tcPr>
            <w:tcW w:w="5900" w:type="dxa"/>
            <w:vAlign w:val="bottom"/>
            <w:shd w:val="clear" w:color="auto" w:fill="DBDBDB"/>
          </w:tcPr>
          <w:p>
            <w:pPr>
              <w:ind w:left="20"/>
              <w:spacing w:after="0"/>
              <w:rPr>
                <w:sz w:val="20"/>
                <w:szCs w:val="20"/>
                <w:color w:val="auto"/>
              </w:rPr>
            </w:pPr>
            <w:r>
              <w:rPr>
                <w:rFonts w:ascii="Arial" w:cs="Arial" w:eastAsia="Arial" w:hAnsi="Arial"/>
                <w:sz w:val="13"/>
                <w:szCs w:val="13"/>
                <w:color w:val="auto"/>
              </w:rPr>
              <w:t>Weighted average Common Shares outstanding - basic</w:t>
            </w:r>
          </w:p>
        </w:tc>
        <w:tc>
          <w:tcPr>
            <w:tcW w:w="420" w:type="dxa"/>
            <w:vAlign w:val="bottom"/>
            <w:shd w:val="clear" w:color="auto" w:fill="DBDBDB"/>
          </w:tcPr>
          <w:p>
            <w:pPr>
              <w:spacing w:after="0"/>
              <w:rPr>
                <w:sz w:val="15"/>
                <w:szCs w:val="15"/>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226,519</w:t>
            </w:r>
          </w:p>
        </w:tc>
        <w:tc>
          <w:tcPr>
            <w:tcW w:w="420" w:type="dxa"/>
            <w:vAlign w:val="bottom"/>
            <w:shd w:val="clear" w:color="auto" w:fill="DBDBDB"/>
          </w:tcPr>
          <w:p>
            <w:pPr>
              <w:spacing w:after="0"/>
              <w:rPr>
                <w:sz w:val="15"/>
                <w:szCs w:val="15"/>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169,230</w:t>
            </w:r>
          </w:p>
        </w:tc>
        <w:tc>
          <w:tcPr>
            <w:tcW w:w="420" w:type="dxa"/>
            <w:vAlign w:val="bottom"/>
            <w:shd w:val="clear" w:color="auto" w:fill="DBDBDB"/>
          </w:tcPr>
          <w:p>
            <w:pPr>
              <w:spacing w:after="0"/>
              <w:rPr>
                <w:sz w:val="15"/>
                <w:szCs w:val="15"/>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108,684</w:t>
            </w:r>
          </w:p>
        </w:tc>
      </w:tr>
      <w:tr>
        <w:trPr>
          <w:trHeight w:val="172"/>
        </w:trPr>
        <w:tc>
          <w:tcPr>
            <w:tcW w:w="5900" w:type="dxa"/>
            <w:vAlign w:val="bottom"/>
          </w:tcPr>
          <w:p>
            <w:pPr>
              <w:ind w:left="200"/>
              <w:spacing w:after="0"/>
              <w:rPr>
                <w:sz w:val="20"/>
                <w:szCs w:val="20"/>
                <w:color w:val="auto"/>
              </w:rPr>
            </w:pPr>
            <w:r>
              <w:rPr>
                <w:rFonts w:ascii="Arial" w:cs="Arial" w:eastAsia="Arial" w:hAnsi="Arial"/>
                <w:sz w:val="13"/>
                <w:szCs w:val="13"/>
                <w:color w:val="auto"/>
              </w:rPr>
              <w:t>Dilutive effect of outstanding securities:</w:t>
            </w: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8"/>
        </w:trPr>
        <w:tc>
          <w:tcPr>
            <w:tcW w:w="5900" w:type="dxa"/>
            <w:vAlign w:val="bottom"/>
            <w:shd w:val="clear" w:color="auto" w:fill="DBDBDB"/>
          </w:tcPr>
          <w:p>
            <w:pPr>
              <w:ind w:left="280"/>
              <w:spacing w:after="0"/>
              <w:rPr>
                <w:sz w:val="20"/>
                <w:szCs w:val="20"/>
                <w:color w:val="auto"/>
              </w:rPr>
            </w:pPr>
            <w:r>
              <w:rPr>
                <w:rFonts w:ascii="Arial" w:cs="Arial" w:eastAsia="Arial" w:hAnsi="Arial"/>
                <w:sz w:val="13"/>
                <w:szCs w:val="13"/>
                <w:color w:val="auto"/>
              </w:rPr>
              <w:t>Warrants</w:t>
            </w:r>
          </w:p>
        </w:tc>
        <w:tc>
          <w:tcPr>
            <w:tcW w:w="420" w:type="dxa"/>
            <w:vAlign w:val="bottom"/>
            <w:shd w:val="clear" w:color="auto" w:fill="DBDBDB"/>
          </w:tcPr>
          <w:p>
            <w:pPr>
              <w:spacing w:after="0"/>
              <w:rPr>
                <w:sz w:val="15"/>
                <w:szCs w:val="15"/>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3,589</w:t>
            </w:r>
          </w:p>
        </w:tc>
        <w:tc>
          <w:tcPr>
            <w:tcW w:w="420" w:type="dxa"/>
            <w:vAlign w:val="bottom"/>
            <w:shd w:val="clear" w:color="auto" w:fill="DBDBDB"/>
          </w:tcPr>
          <w:p>
            <w:pPr>
              <w:spacing w:after="0"/>
              <w:rPr>
                <w:sz w:val="15"/>
                <w:szCs w:val="15"/>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752</w:t>
            </w:r>
          </w:p>
        </w:tc>
        <w:tc>
          <w:tcPr>
            <w:tcW w:w="420" w:type="dxa"/>
            <w:vAlign w:val="bottom"/>
            <w:shd w:val="clear" w:color="auto" w:fill="DBDBDB"/>
          </w:tcPr>
          <w:p>
            <w:pPr>
              <w:spacing w:after="0"/>
              <w:rPr>
                <w:sz w:val="15"/>
                <w:szCs w:val="15"/>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5900" w:type="dxa"/>
            <w:vAlign w:val="bottom"/>
          </w:tcPr>
          <w:p>
            <w:pPr>
              <w:ind w:left="280"/>
              <w:spacing w:after="0"/>
              <w:rPr>
                <w:sz w:val="20"/>
                <w:szCs w:val="20"/>
                <w:color w:val="auto"/>
              </w:rPr>
            </w:pPr>
            <w:r>
              <w:rPr>
                <w:rFonts w:ascii="Arial" w:cs="Arial" w:eastAsia="Arial" w:hAnsi="Arial"/>
                <w:sz w:val="13"/>
                <w:szCs w:val="13"/>
                <w:color w:val="auto"/>
              </w:rPr>
              <w:t>RSAs</w:t>
            </w:r>
          </w:p>
        </w:tc>
        <w:tc>
          <w:tcPr>
            <w:tcW w:w="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24</w:t>
            </w:r>
          </w:p>
        </w:tc>
        <w:tc>
          <w:tcPr>
            <w:tcW w:w="4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39</w:t>
            </w:r>
          </w:p>
        </w:tc>
        <w:tc>
          <w:tcPr>
            <w:tcW w:w="4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8"/>
        </w:trPr>
        <w:tc>
          <w:tcPr>
            <w:tcW w:w="5900" w:type="dxa"/>
            <w:vAlign w:val="bottom"/>
            <w:shd w:val="clear" w:color="auto" w:fill="DBDBDB"/>
          </w:tcPr>
          <w:p>
            <w:pPr>
              <w:ind w:left="280"/>
              <w:spacing w:after="0"/>
              <w:rPr>
                <w:sz w:val="20"/>
                <w:szCs w:val="20"/>
                <w:color w:val="auto"/>
              </w:rPr>
            </w:pPr>
            <w:r>
              <w:rPr>
                <w:rFonts w:ascii="Arial" w:cs="Arial" w:eastAsia="Arial" w:hAnsi="Arial"/>
                <w:sz w:val="13"/>
                <w:szCs w:val="13"/>
                <w:color w:val="auto"/>
              </w:rPr>
              <w:t>Time-Based RSUs</w:t>
            </w:r>
          </w:p>
        </w:tc>
        <w:tc>
          <w:tcPr>
            <w:tcW w:w="420" w:type="dxa"/>
            <w:vAlign w:val="bottom"/>
            <w:shd w:val="clear" w:color="auto" w:fill="DBDBDB"/>
          </w:tcPr>
          <w:p>
            <w:pPr>
              <w:spacing w:after="0"/>
              <w:rPr>
                <w:sz w:val="15"/>
                <w:szCs w:val="15"/>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594</w:t>
            </w:r>
          </w:p>
        </w:tc>
        <w:tc>
          <w:tcPr>
            <w:tcW w:w="420" w:type="dxa"/>
            <w:vAlign w:val="bottom"/>
            <w:shd w:val="clear" w:color="auto" w:fill="DBDBDB"/>
          </w:tcPr>
          <w:p>
            <w:pPr>
              <w:spacing w:after="0"/>
              <w:rPr>
                <w:sz w:val="15"/>
                <w:szCs w:val="15"/>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778</w:t>
            </w:r>
          </w:p>
        </w:tc>
        <w:tc>
          <w:tcPr>
            <w:tcW w:w="420" w:type="dxa"/>
            <w:vAlign w:val="bottom"/>
            <w:shd w:val="clear" w:color="auto" w:fill="DBDBDB"/>
          </w:tcPr>
          <w:p>
            <w:pPr>
              <w:spacing w:after="0"/>
              <w:rPr>
                <w:sz w:val="15"/>
                <w:szCs w:val="15"/>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5900" w:type="dxa"/>
            <w:vAlign w:val="bottom"/>
          </w:tcPr>
          <w:p>
            <w:pPr>
              <w:ind w:left="280"/>
              <w:spacing w:after="0"/>
              <w:rPr>
                <w:sz w:val="20"/>
                <w:szCs w:val="20"/>
                <w:color w:val="auto"/>
              </w:rPr>
            </w:pPr>
            <w:r>
              <w:rPr>
                <w:rFonts w:ascii="Arial" w:cs="Arial" w:eastAsia="Arial" w:hAnsi="Arial"/>
                <w:sz w:val="13"/>
                <w:szCs w:val="13"/>
                <w:color w:val="auto"/>
              </w:rPr>
              <w:t>Performance-Based and Market-Based RSUs</w:t>
            </w:r>
          </w:p>
        </w:tc>
        <w:tc>
          <w:tcPr>
            <w:tcW w:w="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955</w:t>
            </w:r>
          </w:p>
        </w:tc>
        <w:tc>
          <w:tcPr>
            <w:tcW w:w="4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544</w:t>
            </w:r>
          </w:p>
        </w:tc>
        <w:tc>
          <w:tcPr>
            <w:tcW w:w="4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8"/>
        </w:trPr>
        <w:tc>
          <w:tcPr>
            <w:tcW w:w="5900" w:type="dxa"/>
            <w:vAlign w:val="bottom"/>
            <w:shd w:val="clear" w:color="auto" w:fill="DBDBDB"/>
          </w:tcPr>
          <w:p>
            <w:pPr>
              <w:ind w:left="280"/>
              <w:spacing w:after="0"/>
              <w:rPr>
                <w:sz w:val="20"/>
                <w:szCs w:val="20"/>
                <w:color w:val="auto"/>
              </w:rPr>
            </w:pPr>
            <w:r>
              <w:rPr>
                <w:rFonts w:ascii="Arial" w:cs="Arial" w:eastAsia="Arial" w:hAnsi="Arial"/>
                <w:sz w:val="13"/>
                <w:szCs w:val="13"/>
                <w:color w:val="auto"/>
              </w:rPr>
              <w:t>Stock Options</w:t>
            </w:r>
          </w:p>
        </w:tc>
        <w:tc>
          <w:tcPr>
            <w:tcW w:w="420" w:type="dxa"/>
            <w:vAlign w:val="bottom"/>
            <w:shd w:val="clear" w:color="auto" w:fill="DBDBDB"/>
          </w:tcPr>
          <w:p>
            <w:pPr>
              <w:spacing w:after="0"/>
              <w:rPr>
                <w:sz w:val="15"/>
                <w:szCs w:val="15"/>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1,113</w:t>
            </w:r>
          </w:p>
        </w:tc>
        <w:tc>
          <w:tcPr>
            <w:tcW w:w="420" w:type="dxa"/>
            <w:vAlign w:val="bottom"/>
            <w:shd w:val="clear" w:color="auto" w:fill="DBDBDB"/>
          </w:tcPr>
          <w:p>
            <w:pPr>
              <w:spacing w:after="0"/>
              <w:rPr>
                <w:sz w:val="15"/>
                <w:szCs w:val="15"/>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634</w:t>
            </w:r>
          </w:p>
        </w:tc>
        <w:tc>
          <w:tcPr>
            <w:tcW w:w="420" w:type="dxa"/>
            <w:vAlign w:val="bottom"/>
            <w:shd w:val="clear" w:color="auto" w:fill="DBDBDB"/>
          </w:tcPr>
          <w:p>
            <w:pPr>
              <w:spacing w:after="0"/>
              <w:rPr>
                <w:sz w:val="15"/>
                <w:szCs w:val="15"/>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5900" w:type="dxa"/>
            <w:vAlign w:val="bottom"/>
            <w:tcBorders>
              <w:bottom w:val="single" w:sz="8" w:color="DBDBDB"/>
            </w:tcBorders>
          </w:tcPr>
          <w:p>
            <w:pPr>
              <w:ind w:left="280"/>
              <w:spacing w:after="0"/>
              <w:rPr>
                <w:sz w:val="20"/>
                <w:szCs w:val="20"/>
                <w:color w:val="auto"/>
              </w:rPr>
            </w:pPr>
            <w:r>
              <w:rPr>
                <w:rFonts w:ascii="Arial" w:cs="Arial" w:eastAsia="Arial" w:hAnsi="Arial"/>
                <w:sz w:val="13"/>
                <w:szCs w:val="13"/>
                <w:color w:val="auto"/>
              </w:rPr>
              <w:t>Class B common shares</w:t>
            </w: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N/A</w:t>
            </w:r>
          </w:p>
        </w:tc>
        <w:tc>
          <w:tcPr>
            <w:tcW w:w="4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5,291</w:t>
            </w:r>
          </w:p>
        </w:tc>
        <w:tc>
          <w:tcPr>
            <w:tcW w:w="4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94"/>
        </w:trPr>
        <w:tc>
          <w:tcPr>
            <w:tcW w:w="59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Weighted average Common Shares outstanding - dilutive</w:t>
            </w:r>
          </w:p>
        </w:tc>
        <w:tc>
          <w:tcPr>
            <w:tcW w:w="420" w:type="dxa"/>
            <w:vAlign w:val="bottom"/>
            <w:tcBorders>
              <w:bottom w:val="single" w:sz="8" w:color="auto"/>
            </w:tcBorders>
            <w:shd w:val="clear" w:color="auto" w:fill="DBDBDB"/>
          </w:tcPr>
          <w:p>
            <w:pPr>
              <w:spacing w:after="0"/>
              <w:rPr>
                <w:sz w:val="16"/>
                <w:szCs w:val="16"/>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232,794</w:t>
            </w:r>
          </w:p>
        </w:tc>
        <w:tc>
          <w:tcPr>
            <w:tcW w:w="420" w:type="dxa"/>
            <w:vAlign w:val="bottom"/>
            <w:tcBorders>
              <w:bottom w:val="single" w:sz="8" w:color="auto"/>
            </w:tcBorders>
            <w:shd w:val="clear" w:color="auto" w:fill="DBDBDB"/>
          </w:tcPr>
          <w:p>
            <w:pPr>
              <w:spacing w:after="0"/>
              <w:rPr>
                <w:sz w:val="16"/>
                <w:szCs w:val="16"/>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177,268</w:t>
            </w:r>
          </w:p>
        </w:tc>
        <w:tc>
          <w:tcPr>
            <w:tcW w:w="420" w:type="dxa"/>
            <w:vAlign w:val="bottom"/>
            <w:tcBorders>
              <w:bottom w:val="single" w:sz="8" w:color="auto"/>
            </w:tcBorders>
            <w:shd w:val="clear" w:color="auto" w:fill="DBDBDB"/>
          </w:tcPr>
          <w:p>
            <w:pPr>
              <w:spacing w:after="0"/>
              <w:rPr>
                <w:sz w:val="16"/>
                <w:szCs w:val="16"/>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108,684</w:t>
            </w:r>
          </w:p>
        </w:tc>
      </w:tr>
      <w:tr>
        <w:trPr>
          <w:trHeight w:val="20"/>
        </w:trPr>
        <w:tc>
          <w:tcPr>
            <w:tcW w:w="5900" w:type="dxa"/>
            <w:vAlign w:val="bottom"/>
            <w:tcBorders>
              <w:top w:val="single" w:sz="8" w:color="DBDBDB"/>
            </w:tcBorders>
          </w:tcPr>
          <w:p>
            <w:pPr>
              <w:spacing w:after="0" w:line="20" w:lineRule="exact"/>
              <w:rPr>
                <w:sz w:val="1"/>
                <w:szCs w:val="1"/>
                <w:color w:val="auto"/>
              </w:rPr>
            </w:pPr>
          </w:p>
        </w:tc>
        <w:tc>
          <w:tcPr>
            <w:tcW w:w="3580" w:type="dxa"/>
            <w:vAlign w:val="bottom"/>
            <w:tcBorders>
              <w:top w:val="single" w:sz="8" w:color="DBDBDB"/>
              <w:bottom w:val="single" w:sz="8" w:color="auto"/>
            </w:tcBorders>
            <w:gridSpan w:val="4"/>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r>
      <w:tr>
        <w:trPr>
          <w:trHeight w:val="275"/>
        </w:trPr>
        <w:tc>
          <w:tcPr>
            <w:tcW w:w="9480" w:type="dxa"/>
            <w:vAlign w:val="bottom"/>
            <w:gridSpan w:val="5"/>
          </w:tcPr>
          <w:p>
            <w:pPr>
              <w:ind w:left="540"/>
              <w:spacing w:after="0"/>
              <w:rPr>
                <w:sz w:val="20"/>
                <w:szCs w:val="20"/>
                <w:color w:val="auto"/>
              </w:rPr>
            </w:pPr>
            <w:r>
              <w:rPr>
                <w:rFonts w:ascii="Arial" w:cs="Arial" w:eastAsia="Arial" w:hAnsi="Arial"/>
                <w:sz w:val="13"/>
                <w:szCs w:val="13"/>
                <w:color w:val="auto"/>
              </w:rPr>
              <w:t>The following potential common shares were excluded from the computation of dilutive EPS because their effect would have been anti-dilutive:</w:t>
            </w: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60"/>
        </w:trPr>
        <w:tc>
          <w:tcPr>
            <w:tcW w:w="59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80" w:type="dxa"/>
            <w:vAlign w:val="bottom"/>
          </w:tcPr>
          <w:p>
            <w:pPr>
              <w:spacing w:after="0"/>
              <w:rPr>
                <w:sz w:val="5"/>
                <w:szCs w:val="5"/>
                <w:color w:val="auto"/>
              </w:rPr>
            </w:pPr>
          </w:p>
        </w:tc>
      </w:tr>
      <w:tr>
        <w:trPr>
          <w:trHeight w:val="175"/>
        </w:trPr>
        <w:tc>
          <w:tcPr>
            <w:tcW w:w="590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420" w:type="dxa"/>
            <w:vAlign w:val="bottom"/>
            <w:shd w:val="clear" w:color="auto" w:fill="1D2758"/>
          </w:tcPr>
          <w:p>
            <w:pPr>
              <w:spacing w:after="0"/>
              <w:rPr>
                <w:sz w:val="15"/>
                <w:szCs w:val="15"/>
                <w:color w:val="auto"/>
              </w:rPr>
            </w:pPr>
          </w:p>
        </w:tc>
        <w:tc>
          <w:tcPr>
            <w:tcW w:w="1360" w:type="dxa"/>
            <w:vAlign w:val="bottom"/>
            <w:shd w:val="clear" w:color="auto" w:fill="1D2758"/>
          </w:tcPr>
          <w:p>
            <w:pPr>
              <w:jc w:val="right"/>
              <w:ind w:right="674"/>
              <w:spacing w:after="0"/>
              <w:rPr>
                <w:sz w:val="20"/>
                <w:szCs w:val="20"/>
                <w:color w:val="auto"/>
              </w:rPr>
            </w:pPr>
            <w:r>
              <w:rPr>
                <w:rFonts w:ascii="Arial" w:cs="Arial" w:eastAsia="Arial" w:hAnsi="Arial"/>
                <w:sz w:val="13"/>
                <w:szCs w:val="13"/>
                <w:b w:val="1"/>
                <w:bCs w:val="1"/>
                <w:color w:val="FFFFFF"/>
              </w:rPr>
              <w:t>2021</w:t>
            </w:r>
          </w:p>
        </w:tc>
        <w:tc>
          <w:tcPr>
            <w:tcW w:w="420" w:type="dxa"/>
            <w:vAlign w:val="bottom"/>
            <w:shd w:val="clear" w:color="auto" w:fill="1D2758"/>
          </w:tcPr>
          <w:p>
            <w:pPr>
              <w:spacing w:after="0"/>
              <w:rPr>
                <w:sz w:val="15"/>
                <w:szCs w:val="15"/>
                <w:color w:val="auto"/>
              </w:rPr>
            </w:pPr>
          </w:p>
        </w:tc>
        <w:tc>
          <w:tcPr>
            <w:tcW w:w="1380" w:type="dxa"/>
            <w:vAlign w:val="bottom"/>
            <w:shd w:val="clear" w:color="auto" w:fill="1D2758"/>
          </w:tcPr>
          <w:p>
            <w:pPr>
              <w:jc w:val="right"/>
              <w:ind w:right="694"/>
              <w:spacing w:after="0"/>
              <w:rPr>
                <w:sz w:val="20"/>
                <w:szCs w:val="20"/>
                <w:color w:val="auto"/>
              </w:rPr>
            </w:pPr>
            <w:r>
              <w:rPr>
                <w:rFonts w:ascii="Arial" w:cs="Arial" w:eastAsia="Arial" w:hAnsi="Arial"/>
                <w:sz w:val="13"/>
                <w:szCs w:val="13"/>
                <w:b w:val="1"/>
                <w:bCs w:val="1"/>
                <w:color w:val="FFFFFF"/>
              </w:rPr>
              <w:t>2020</w:t>
            </w:r>
          </w:p>
        </w:tc>
        <w:tc>
          <w:tcPr>
            <w:tcW w:w="420" w:type="dxa"/>
            <w:vAlign w:val="bottom"/>
            <w:shd w:val="clear" w:color="auto" w:fill="1D2758"/>
          </w:tcPr>
          <w:p>
            <w:pPr>
              <w:spacing w:after="0"/>
              <w:rPr>
                <w:sz w:val="15"/>
                <w:szCs w:val="15"/>
                <w:color w:val="auto"/>
              </w:rPr>
            </w:pPr>
          </w:p>
        </w:tc>
        <w:tc>
          <w:tcPr>
            <w:tcW w:w="1380" w:type="dxa"/>
            <w:vAlign w:val="bottom"/>
            <w:shd w:val="clear" w:color="auto" w:fill="1D2758"/>
          </w:tcPr>
          <w:p>
            <w:pPr>
              <w:jc w:val="right"/>
              <w:ind w:right="694"/>
              <w:spacing w:after="0"/>
              <w:rPr>
                <w:sz w:val="20"/>
                <w:szCs w:val="20"/>
                <w:color w:val="auto"/>
              </w:rPr>
            </w:pPr>
            <w:r>
              <w:rPr>
                <w:rFonts w:ascii="Arial" w:cs="Arial" w:eastAsia="Arial" w:hAnsi="Arial"/>
                <w:sz w:val="13"/>
                <w:szCs w:val="13"/>
                <w:b w:val="1"/>
                <w:bCs w:val="1"/>
                <w:color w:val="FFFFFF"/>
              </w:rPr>
              <w:t>2019</w:t>
            </w:r>
          </w:p>
        </w:tc>
      </w:tr>
      <w:tr>
        <w:trPr>
          <w:trHeight w:val="175"/>
        </w:trPr>
        <w:tc>
          <w:tcPr>
            <w:tcW w:w="5900" w:type="dxa"/>
            <w:vAlign w:val="bottom"/>
            <w:shd w:val="clear" w:color="auto" w:fill="DBDBDB"/>
          </w:tcPr>
          <w:p>
            <w:pPr>
              <w:ind w:left="20"/>
              <w:spacing w:after="0"/>
              <w:rPr>
                <w:sz w:val="20"/>
                <w:szCs w:val="20"/>
                <w:color w:val="auto"/>
              </w:rPr>
            </w:pPr>
            <w:r>
              <w:rPr>
                <w:rFonts w:ascii="Arial" w:cs="Arial" w:eastAsia="Arial" w:hAnsi="Arial"/>
                <w:sz w:val="13"/>
                <w:szCs w:val="13"/>
                <w:color w:val="auto"/>
              </w:rPr>
              <w:t>Warrants</w:t>
            </w:r>
          </w:p>
        </w:tc>
        <w:tc>
          <w:tcPr>
            <w:tcW w:w="420" w:type="dxa"/>
            <w:vAlign w:val="bottom"/>
            <w:shd w:val="clear" w:color="auto" w:fill="DBDBDB"/>
          </w:tcPr>
          <w:p>
            <w:pPr>
              <w:spacing w:after="0"/>
              <w:rPr>
                <w:sz w:val="15"/>
                <w:szCs w:val="15"/>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DBDBDB"/>
          </w:tcPr>
          <w:p>
            <w:pPr>
              <w:spacing w:after="0"/>
              <w:rPr>
                <w:sz w:val="15"/>
                <w:szCs w:val="15"/>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2,366</w:t>
            </w:r>
          </w:p>
        </w:tc>
        <w:tc>
          <w:tcPr>
            <w:tcW w:w="420" w:type="dxa"/>
            <w:vAlign w:val="bottom"/>
            <w:shd w:val="clear" w:color="auto" w:fill="DBDBDB"/>
          </w:tcPr>
          <w:p>
            <w:pPr>
              <w:spacing w:after="0"/>
              <w:rPr>
                <w:sz w:val="15"/>
                <w:szCs w:val="15"/>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2,320</w:t>
            </w:r>
          </w:p>
        </w:tc>
      </w:tr>
      <w:tr>
        <w:trPr>
          <w:trHeight w:val="172"/>
        </w:trPr>
        <w:tc>
          <w:tcPr>
            <w:tcW w:w="5900" w:type="dxa"/>
            <w:vAlign w:val="bottom"/>
          </w:tcPr>
          <w:p>
            <w:pPr>
              <w:ind w:left="20"/>
              <w:spacing w:after="0"/>
              <w:rPr>
                <w:sz w:val="20"/>
                <w:szCs w:val="20"/>
                <w:color w:val="auto"/>
              </w:rPr>
            </w:pPr>
            <w:r>
              <w:rPr>
                <w:rFonts w:ascii="Arial" w:cs="Arial" w:eastAsia="Arial" w:hAnsi="Arial"/>
                <w:sz w:val="13"/>
                <w:szCs w:val="13"/>
                <w:color w:val="auto"/>
              </w:rPr>
              <w:t>RSAs</w:t>
            </w:r>
          </w:p>
        </w:tc>
        <w:tc>
          <w:tcPr>
            <w:tcW w:w="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178"/>
        </w:trPr>
        <w:tc>
          <w:tcPr>
            <w:tcW w:w="5900" w:type="dxa"/>
            <w:vAlign w:val="bottom"/>
            <w:shd w:val="clear" w:color="auto" w:fill="DBDBDB"/>
          </w:tcPr>
          <w:p>
            <w:pPr>
              <w:ind w:left="20"/>
              <w:spacing w:after="0"/>
              <w:rPr>
                <w:sz w:val="20"/>
                <w:szCs w:val="20"/>
                <w:color w:val="auto"/>
              </w:rPr>
            </w:pPr>
            <w:r>
              <w:rPr>
                <w:rFonts w:ascii="Arial" w:cs="Arial" w:eastAsia="Arial" w:hAnsi="Arial"/>
                <w:sz w:val="13"/>
                <w:szCs w:val="13"/>
                <w:color w:val="auto"/>
              </w:rPr>
              <w:t>Time-based RSUs</w:t>
            </w:r>
          </w:p>
        </w:tc>
        <w:tc>
          <w:tcPr>
            <w:tcW w:w="420" w:type="dxa"/>
            <w:vAlign w:val="bottom"/>
            <w:shd w:val="clear" w:color="auto" w:fill="DBDBDB"/>
          </w:tcPr>
          <w:p>
            <w:pPr>
              <w:spacing w:after="0"/>
              <w:rPr>
                <w:sz w:val="15"/>
                <w:szCs w:val="15"/>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DBDBDB"/>
          </w:tcPr>
          <w:p>
            <w:pPr>
              <w:spacing w:after="0"/>
              <w:rPr>
                <w:sz w:val="15"/>
                <w:szCs w:val="15"/>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DBDBDB"/>
          </w:tcPr>
          <w:p>
            <w:pPr>
              <w:spacing w:after="0"/>
              <w:rPr>
                <w:sz w:val="15"/>
                <w:szCs w:val="15"/>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323</w:t>
            </w:r>
          </w:p>
        </w:tc>
      </w:tr>
      <w:tr>
        <w:trPr>
          <w:trHeight w:val="172"/>
        </w:trPr>
        <w:tc>
          <w:tcPr>
            <w:tcW w:w="5900" w:type="dxa"/>
            <w:vAlign w:val="bottom"/>
          </w:tcPr>
          <w:p>
            <w:pPr>
              <w:ind w:left="20"/>
              <w:spacing w:after="0"/>
              <w:rPr>
                <w:sz w:val="20"/>
                <w:szCs w:val="20"/>
                <w:color w:val="auto"/>
              </w:rPr>
            </w:pPr>
            <w:r>
              <w:rPr>
                <w:rFonts w:ascii="Arial" w:cs="Arial" w:eastAsia="Arial" w:hAnsi="Arial"/>
                <w:sz w:val="13"/>
                <w:szCs w:val="13"/>
                <w:color w:val="auto"/>
              </w:rPr>
              <w:t>Performance-based RSUs</w:t>
            </w:r>
          </w:p>
        </w:tc>
        <w:tc>
          <w:tcPr>
            <w:tcW w:w="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375</w:t>
            </w:r>
          </w:p>
        </w:tc>
        <w:tc>
          <w:tcPr>
            <w:tcW w:w="4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274</w:t>
            </w:r>
          </w:p>
        </w:tc>
      </w:tr>
      <w:tr>
        <w:trPr>
          <w:trHeight w:val="178"/>
        </w:trPr>
        <w:tc>
          <w:tcPr>
            <w:tcW w:w="5900" w:type="dxa"/>
            <w:vAlign w:val="bottom"/>
            <w:shd w:val="clear" w:color="auto" w:fill="DBDBDB"/>
          </w:tcPr>
          <w:p>
            <w:pPr>
              <w:ind w:left="20"/>
              <w:spacing w:after="0"/>
              <w:rPr>
                <w:sz w:val="20"/>
                <w:szCs w:val="20"/>
                <w:color w:val="auto"/>
              </w:rPr>
            </w:pPr>
            <w:r>
              <w:rPr>
                <w:rFonts w:ascii="Arial" w:cs="Arial" w:eastAsia="Arial" w:hAnsi="Arial"/>
                <w:sz w:val="13"/>
                <w:szCs w:val="13"/>
                <w:color w:val="auto"/>
              </w:rPr>
              <w:t>Stock Options</w:t>
            </w:r>
          </w:p>
        </w:tc>
        <w:tc>
          <w:tcPr>
            <w:tcW w:w="420" w:type="dxa"/>
            <w:vAlign w:val="bottom"/>
            <w:shd w:val="clear" w:color="auto" w:fill="DBDBDB"/>
          </w:tcPr>
          <w:p>
            <w:pPr>
              <w:spacing w:after="0"/>
              <w:rPr>
                <w:sz w:val="15"/>
                <w:szCs w:val="15"/>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DBDBDB"/>
          </w:tcPr>
          <w:p>
            <w:pPr>
              <w:spacing w:after="0"/>
              <w:rPr>
                <w:sz w:val="15"/>
                <w:szCs w:val="15"/>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DBDBDB"/>
          </w:tcPr>
          <w:p>
            <w:pPr>
              <w:spacing w:after="0"/>
              <w:rPr>
                <w:sz w:val="15"/>
                <w:szCs w:val="15"/>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534</w:t>
            </w:r>
          </w:p>
        </w:tc>
      </w:tr>
      <w:tr>
        <w:trPr>
          <w:trHeight w:val="169"/>
        </w:trPr>
        <w:tc>
          <w:tcPr>
            <w:tcW w:w="5900" w:type="dxa"/>
            <w:vAlign w:val="bottom"/>
          </w:tcPr>
          <w:p>
            <w:pPr>
              <w:ind w:left="20"/>
              <w:spacing w:after="0"/>
              <w:rPr>
                <w:sz w:val="20"/>
                <w:szCs w:val="20"/>
                <w:color w:val="auto"/>
              </w:rPr>
            </w:pPr>
            <w:r>
              <w:rPr>
                <w:rFonts w:ascii="Arial" w:cs="Arial" w:eastAsia="Arial" w:hAnsi="Arial"/>
                <w:sz w:val="13"/>
                <w:szCs w:val="13"/>
                <w:color w:val="auto"/>
              </w:rPr>
              <w:t>Class B common shares</w:t>
            </w:r>
          </w:p>
        </w:tc>
        <w:tc>
          <w:tcPr>
            <w:tcW w:w="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N/A</w:t>
            </w:r>
          </w:p>
        </w:tc>
        <w:tc>
          <w:tcPr>
            <w:tcW w:w="4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10,641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17" w:right="319" w:bottom="1440" w:gutter="0" w:footer="0" w:header="0"/>
        </w:sectPr>
      </w:pPr>
    </w:p>
    <w:bookmarkStart w:id="115" w:name="page116"/>
    <w:bookmarkEnd w:id="115"/>
    <w:p>
      <w:pPr>
        <w:ind w:right="1780"/>
        <w:spacing w:after="0" w:line="271" w:lineRule="auto"/>
        <w:rPr>
          <w:sz w:val="20"/>
          <w:szCs w:val="20"/>
          <w:color w:val="auto"/>
        </w:rPr>
      </w:pPr>
      <w:r>
        <w:rPr>
          <w:rFonts w:ascii="Arial" w:cs="Arial" w:eastAsia="Arial" w:hAnsi="Arial"/>
          <w:sz w:val="32"/>
          <w:szCs w:val="32"/>
          <w:b w:val="1"/>
          <w:bCs w:val="1"/>
          <w:color w:val="auto"/>
        </w:rPr>
        <w:t>ITEM 9. Changes in and Disagreements with Accountants on Accounting and Financial Disclosure</w:t>
      </w:r>
    </w:p>
    <w:p>
      <w:pPr>
        <w:spacing w:after="0" w:line="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None.</w:t>
      </w:r>
    </w:p>
    <w:p>
      <w:pPr>
        <w:spacing w:after="0" w:line="174" w:lineRule="exact"/>
        <w:rPr>
          <w:sz w:val="20"/>
          <w:szCs w:val="20"/>
          <w:color w:val="auto"/>
        </w:rPr>
      </w:pPr>
    </w:p>
    <w:p>
      <w:pPr>
        <w:spacing w:after="0"/>
        <w:tabs>
          <w:tab w:leader="none" w:pos="1700" w:val="left"/>
        </w:tabs>
        <w:rPr>
          <w:sz w:val="20"/>
          <w:szCs w:val="20"/>
          <w:color w:val="auto"/>
        </w:rPr>
      </w:pPr>
      <w:r>
        <w:rPr>
          <w:rFonts w:ascii="Arial" w:cs="Arial" w:eastAsia="Arial" w:hAnsi="Arial"/>
          <w:sz w:val="32"/>
          <w:szCs w:val="32"/>
          <w:b w:val="1"/>
          <w:bCs w:val="1"/>
          <w:color w:val="auto"/>
        </w:rPr>
        <w:t>ITEM 9A.</w:t>
      </w:r>
      <w:r>
        <w:rPr>
          <w:sz w:val="20"/>
          <w:szCs w:val="20"/>
          <w:color w:val="auto"/>
        </w:rPr>
        <w:tab/>
      </w:r>
      <w:r>
        <w:rPr>
          <w:rFonts w:ascii="Arial" w:cs="Arial" w:eastAsia="Arial" w:hAnsi="Arial"/>
          <w:sz w:val="31"/>
          <w:szCs w:val="31"/>
          <w:b w:val="1"/>
          <w:bCs w:val="1"/>
          <w:color w:val="auto"/>
        </w:rPr>
        <w:t>Controls and Procedures</w:t>
      </w:r>
    </w:p>
    <w:p>
      <w:pPr>
        <w:spacing w:after="0" w:line="86" w:lineRule="exact"/>
        <w:rPr>
          <w:sz w:val="20"/>
          <w:szCs w:val="20"/>
          <w:color w:val="auto"/>
        </w:rPr>
      </w:pPr>
    </w:p>
    <w:p>
      <w:pPr>
        <w:spacing w:after="0"/>
        <w:rPr>
          <w:sz w:val="20"/>
          <w:szCs w:val="20"/>
          <w:color w:val="auto"/>
        </w:rPr>
      </w:pPr>
      <w:r>
        <w:rPr>
          <w:rFonts w:ascii="Arial" w:cs="Arial" w:eastAsia="Arial" w:hAnsi="Arial"/>
          <w:sz w:val="19"/>
          <w:szCs w:val="19"/>
          <w:color w:val="1D2758"/>
        </w:rPr>
        <w:t>Evaluation of Disclosure Controls and Procedures</w:t>
      </w:r>
    </w:p>
    <w:p>
      <w:pPr>
        <w:spacing w:after="0" w:line="42"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Our management, with participation of our Chief Executive Officer and Chief Financial Officer, has evaluated the effectiveness of our disclosure controls and procedures as defined in Rule 13a-15(e) under the Securities Exchange Act of 1934 as amended (the “Exchange Act”) as of December 31, 2021. Based upon that evaluation, our Chief Executive Officer and Chief Financial Officer concluded that our disclosure controls and procedures were effective as of December 31, 2021.</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1D2758"/>
        </w:rPr>
        <w:t>Management’s Report on Internal Control over Financial Reporting</w:t>
      </w:r>
    </w:p>
    <w:p>
      <w:pPr>
        <w:spacing w:after="0" w:line="42" w:lineRule="exact"/>
        <w:rPr>
          <w:sz w:val="20"/>
          <w:szCs w:val="20"/>
          <w:color w:val="auto"/>
        </w:rPr>
      </w:pPr>
    </w:p>
    <w:p>
      <w:pPr>
        <w:jc w:val="both"/>
        <w:ind w:firstLine="524"/>
        <w:spacing w:after="0" w:line="245" w:lineRule="auto"/>
        <w:rPr>
          <w:sz w:val="20"/>
          <w:szCs w:val="20"/>
          <w:color w:val="auto"/>
        </w:rPr>
      </w:pPr>
      <w:r>
        <w:rPr>
          <w:rFonts w:ascii="Arial" w:cs="Arial" w:eastAsia="Arial" w:hAnsi="Arial"/>
          <w:sz w:val="13"/>
          <w:szCs w:val="13"/>
          <w:color w:val="auto"/>
        </w:rPr>
        <w:t>As required by SEC rules and regulations, our management is responsible for establishing and maintaining adequate internal control over financial reporting (“ICFR”), as such term is defined in Exchange Act Rule 13a-15(f). Our ICFR is designed to provide reasonable assurance regarding the reliability of financial reporting and the preparation of our consolidated financial statements for external reporting purposes in accordance with GAAP. Our ICFR includes policies and procedures that: (1) pertain to the maintenance of records that, in reasonable detail, accurately and fairly reflect the transactions and dispositions of the Company’s assets, (2) provide reasonable assurance that transactions are recorded as necessary to permit preparation of financial statements in accordance with GAAP, and that receipts and expenditures are being made only in accordance with the authorization of management and directors of the Company; and</w:t>
      </w:r>
    </w:p>
    <w:p>
      <w:pPr>
        <w:spacing w:after="0" w:line="2" w:lineRule="exact"/>
        <w:rPr>
          <w:sz w:val="20"/>
          <w:szCs w:val="20"/>
          <w:color w:val="auto"/>
        </w:rPr>
      </w:pPr>
    </w:p>
    <w:p>
      <w:pPr>
        <w:ind w:firstLine="7"/>
        <w:spacing w:after="0" w:line="256" w:lineRule="auto"/>
        <w:tabs>
          <w:tab w:leader="none" w:pos="197" w:val="left"/>
        </w:tabs>
        <w:numPr>
          <w:ilvl w:val="0"/>
          <w:numId w:val="36"/>
        </w:numPr>
        <w:rPr>
          <w:rFonts w:ascii="Arial" w:cs="Arial" w:eastAsia="Arial" w:hAnsi="Arial"/>
          <w:sz w:val="13"/>
          <w:szCs w:val="13"/>
          <w:color w:val="auto"/>
        </w:rPr>
      </w:pPr>
      <w:r>
        <w:rPr>
          <w:rFonts w:ascii="Arial" w:cs="Arial" w:eastAsia="Arial" w:hAnsi="Arial"/>
          <w:sz w:val="13"/>
          <w:szCs w:val="13"/>
          <w:color w:val="auto"/>
        </w:rPr>
        <w:t>provide reasonable assurance regarding prevention or timely detection of unauthorized acquisition, use or disposition of the Company’s assets that could have a material effect on the financial statements.</w:t>
      </w:r>
    </w:p>
    <w:p>
      <w:pPr>
        <w:spacing w:after="0" w:line="31"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ICFR, no matter how well designed, has inherent limitations and may not prevent or detect misstatements in our consolidated financial 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3"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 xml:space="preserve">Under the supervision of the Chief Executive Officer and Chief Financial Officer, management assessed the effectiveness of the Company's ICFR as of December 31, 2021 using the criteria set forth in </w:t>
      </w:r>
      <w:r>
        <w:rPr>
          <w:rFonts w:ascii="Arial" w:cs="Arial" w:eastAsia="Arial" w:hAnsi="Arial"/>
          <w:sz w:val="13"/>
          <w:szCs w:val="13"/>
          <w:i w:val="1"/>
          <w:iCs w:val="1"/>
          <w:color w:val="auto"/>
        </w:rPr>
        <w:t>Internal Control - Integrated Framework</w:t>
      </w:r>
      <w:r>
        <w:rPr>
          <w:rFonts w:ascii="Arial" w:cs="Arial" w:eastAsia="Arial" w:hAnsi="Arial"/>
          <w:sz w:val="13"/>
          <w:szCs w:val="13"/>
          <w:color w:val="auto"/>
        </w:rPr>
        <w:t xml:space="preserve"> issued by the Committee of Sponsoring Organizations of the Treadway Commission (2013 Framework). Based on that assessment, the Company's management believes that, as of December 31, 2021, the Company's ICFR was effective based on those criteria.</w:t>
      </w:r>
    </w:p>
    <w:p>
      <w:pPr>
        <w:spacing w:after="0" w:line="77"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The effectiveness of the Company’s ICFR as of December 31, 2021 has been audited by Ernst &amp; Young LLP, an independent registered public accounting firm, as stated in their report appearing below, which expresses an unqualified opinion on the effectiveness of the Company’s internal control over financial reporting as of December 31, 2021.</w:t>
      </w:r>
    </w:p>
    <w:p>
      <w:pPr>
        <w:spacing w:after="0" w:line="76" w:lineRule="exact"/>
        <w:rPr>
          <w:sz w:val="20"/>
          <w:szCs w:val="20"/>
          <w:color w:val="auto"/>
        </w:rPr>
      </w:pPr>
    </w:p>
    <w:p>
      <w:pPr>
        <w:spacing w:after="0"/>
        <w:rPr>
          <w:sz w:val="20"/>
          <w:szCs w:val="20"/>
          <w:color w:val="auto"/>
        </w:rPr>
      </w:pPr>
      <w:r>
        <w:rPr>
          <w:rFonts w:ascii="Arial" w:cs="Arial" w:eastAsia="Arial" w:hAnsi="Arial"/>
          <w:sz w:val="19"/>
          <w:szCs w:val="19"/>
          <w:color w:val="1D2758"/>
        </w:rPr>
        <w:t>Changes in Internal Control over Financial Reporting</w:t>
      </w:r>
    </w:p>
    <w:p>
      <w:pPr>
        <w:spacing w:after="0" w:line="42"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There were no changes in our ICFR that occurred during the quarter ended December 31, 2021 that materially affected, or are reasonably likely to materially affect, our ICFR.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116" w:name="page117"/>
    <w:bookmarkEnd w:id="116"/>
    <w:p>
      <w:pPr>
        <w:ind w:left="3480"/>
        <w:spacing w:after="0"/>
        <w:rPr>
          <w:sz w:val="20"/>
          <w:szCs w:val="20"/>
          <w:color w:val="auto"/>
        </w:rPr>
      </w:pPr>
      <w:r>
        <w:rPr>
          <w:rFonts w:ascii="Arial" w:cs="Arial" w:eastAsia="Arial" w:hAnsi="Arial"/>
          <w:sz w:val="19"/>
          <w:szCs w:val="19"/>
          <w:color w:val="1D2758"/>
        </w:rPr>
        <w:t>Report of Independent Registered Public Accounting Firm</w:t>
      </w:r>
    </w:p>
    <w:p>
      <w:pPr>
        <w:spacing w:after="0" w:line="271" w:lineRule="exact"/>
        <w:rPr>
          <w:sz w:val="20"/>
          <w:szCs w:val="20"/>
          <w:color w:val="auto"/>
        </w:rPr>
      </w:pPr>
    </w:p>
    <w:p>
      <w:pPr>
        <w:spacing w:after="0"/>
        <w:rPr>
          <w:sz w:val="20"/>
          <w:szCs w:val="20"/>
          <w:color w:val="auto"/>
        </w:rPr>
      </w:pPr>
      <w:r>
        <w:rPr>
          <w:rFonts w:ascii="Arial" w:cs="Arial" w:eastAsia="Arial" w:hAnsi="Arial"/>
          <w:sz w:val="13"/>
          <w:szCs w:val="13"/>
          <w:color w:val="333333"/>
        </w:rPr>
        <w:t>To the Shareholders and the Board of Directors of WillScot Mobile Mini Holdings Corp.</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color w:val="333333"/>
        </w:rPr>
        <w:t>Opinion on Internal Control Over Financial Reporting</w:t>
      </w:r>
    </w:p>
    <w:p>
      <w:pPr>
        <w:spacing w:after="0" w:line="110"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333333"/>
        </w:rPr>
        <w:t>We have audited WillScot Mobile Mini Holdings Corp.’s internal control over financial reporting as of December 31, 2021, based on criteria established in Internal Control—Integrated Framework issued by the Committee of Sponsoring Organizations of the Treadway Commission (2013 framework) (the COSO criteria). In our opinion, WillScot Mobile Mini Holdings Corp. (the Company) maintained, in all material respects, effective internal control over financial reporting as of December 31, 2021, based on the COSO criteria.</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333333"/>
        </w:rPr>
        <w:t xml:space="preserve">We also have audited, in accordance with the standards of the Public Company Accounting Oversight Board (United States) (PCAOB), the 2021 consolidated financial statements of the Company and our report dated </w:t>
      </w:r>
      <w:r>
        <w:rPr>
          <w:rFonts w:ascii="Arial" w:cs="Arial" w:eastAsia="Arial" w:hAnsi="Arial"/>
          <w:sz w:val="13"/>
          <w:szCs w:val="13"/>
          <w:color w:val="000000"/>
        </w:rPr>
        <w:t>February 25, 2022</w:t>
      </w:r>
      <w:r>
        <w:rPr>
          <w:rFonts w:ascii="Arial" w:cs="Arial" w:eastAsia="Arial" w:hAnsi="Arial"/>
          <w:sz w:val="13"/>
          <w:szCs w:val="13"/>
          <w:color w:val="333333"/>
        </w:rPr>
        <w:t xml:space="preserve"> expressed an unqualified opinion thereon.</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333333"/>
        </w:rPr>
        <w:t>Basis for Opinion</w:t>
      </w:r>
    </w:p>
    <w:p>
      <w:pPr>
        <w:spacing w:after="0" w:line="11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333333"/>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333333"/>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74"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333333"/>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b w:val="1"/>
          <w:bCs w:val="1"/>
          <w:color w:val="333333"/>
        </w:rPr>
        <w:t>Definition and Limitations of Internal Control Over Financial Reporting</w:t>
      </w:r>
    </w:p>
    <w:p>
      <w:pPr>
        <w:spacing w:after="0" w:line="110"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333333"/>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333333"/>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47" w:lineRule="exact"/>
        <w:rPr>
          <w:sz w:val="20"/>
          <w:szCs w:val="20"/>
          <w:color w:val="auto"/>
        </w:rPr>
      </w:pPr>
    </w:p>
    <w:p>
      <w:pPr>
        <w:spacing w:after="0"/>
        <w:rPr>
          <w:sz w:val="20"/>
          <w:szCs w:val="20"/>
          <w:color w:val="auto"/>
        </w:rPr>
      </w:pPr>
      <w:r>
        <w:rPr>
          <w:rFonts w:ascii="Arial" w:cs="Arial" w:eastAsia="Arial" w:hAnsi="Arial"/>
          <w:sz w:val="13"/>
          <w:szCs w:val="13"/>
          <w:color w:val="333333"/>
        </w:rPr>
        <w:t>/s/ Ernst &amp; Young LLP</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color w:val="333333"/>
        </w:rPr>
        <w:t>Baltimore, Maryland</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color w:val="333333"/>
        </w:rPr>
        <w:t>February 25,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18" w:right="319" w:bottom="1440" w:gutter="0" w:footer="0" w:header="0"/>
        </w:sectPr>
      </w:pPr>
    </w:p>
    <w:bookmarkStart w:id="117" w:name="page118"/>
    <w:bookmarkEnd w:id="117"/>
    <w:p>
      <w:pPr>
        <w:spacing w:after="0"/>
        <w:tabs>
          <w:tab w:leader="none" w:pos="1700" w:val="left"/>
        </w:tabs>
        <w:rPr>
          <w:sz w:val="20"/>
          <w:szCs w:val="20"/>
          <w:color w:val="auto"/>
        </w:rPr>
      </w:pPr>
      <w:r>
        <w:rPr>
          <w:rFonts w:ascii="Arial" w:cs="Arial" w:eastAsia="Arial" w:hAnsi="Arial"/>
          <w:sz w:val="32"/>
          <w:szCs w:val="32"/>
          <w:b w:val="1"/>
          <w:bCs w:val="1"/>
          <w:color w:val="auto"/>
        </w:rPr>
        <w:t>ITEM 9B.</w:t>
      </w:r>
      <w:r>
        <w:rPr>
          <w:sz w:val="20"/>
          <w:szCs w:val="20"/>
          <w:color w:val="auto"/>
        </w:rPr>
        <w:tab/>
      </w:r>
      <w:r>
        <w:rPr>
          <w:rFonts w:ascii="Arial" w:cs="Arial" w:eastAsia="Arial" w:hAnsi="Arial"/>
          <w:sz w:val="31"/>
          <w:szCs w:val="31"/>
          <w:b w:val="1"/>
          <w:bCs w:val="1"/>
          <w:color w:val="auto"/>
        </w:rPr>
        <w:t>Other Information</w:t>
      </w:r>
    </w:p>
    <w:p>
      <w:pPr>
        <w:spacing w:after="0" w:line="127" w:lineRule="exact"/>
        <w:rPr>
          <w:sz w:val="20"/>
          <w:szCs w:val="20"/>
          <w:color w:val="auto"/>
        </w:rPr>
      </w:pPr>
    </w:p>
    <w:p>
      <w:pPr>
        <w:ind w:left="540"/>
        <w:spacing w:after="0"/>
        <w:rPr>
          <w:sz w:val="20"/>
          <w:szCs w:val="20"/>
          <w:color w:val="auto"/>
        </w:rPr>
      </w:pPr>
      <w:r>
        <w:rPr>
          <w:rFonts w:ascii="Arial" w:cs="Arial" w:eastAsia="Arial" w:hAnsi="Arial"/>
          <w:sz w:val="13"/>
          <w:szCs w:val="13"/>
          <w:color w:val="333333"/>
        </w:rPr>
        <w:t>None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1D2758"/>
        </w:rPr>
        <w:t>PART III</w:t>
      </w:r>
    </w:p>
    <w:p>
      <w:pPr>
        <w:spacing w:after="0" w:line="189" w:lineRule="exact"/>
        <w:rPr>
          <w:sz w:val="20"/>
          <w:szCs w:val="20"/>
          <w:color w:val="auto"/>
        </w:rPr>
      </w:pPr>
    </w:p>
    <w:p>
      <w:pPr>
        <w:spacing w:after="0"/>
        <w:tabs>
          <w:tab w:leader="none" w:pos="1640" w:val="left"/>
        </w:tabs>
        <w:rPr>
          <w:sz w:val="20"/>
          <w:szCs w:val="20"/>
          <w:color w:val="auto"/>
        </w:rPr>
      </w:pPr>
      <w:r>
        <w:rPr>
          <w:rFonts w:ascii="Arial" w:cs="Arial" w:eastAsia="Arial" w:hAnsi="Arial"/>
          <w:sz w:val="32"/>
          <w:szCs w:val="32"/>
          <w:b w:val="1"/>
          <w:bCs w:val="1"/>
          <w:color w:val="auto"/>
        </w:rPr>
        <w:t>ITEM 10.</w:t>
        <w:tab/>
        <w:t>Directors, Executive Officers and Corporate Governance</w:t>
      </w:r>
    </w:p>
    <w:p>
      <w:pPr>
        <w:spacing w:after="0" w:line="84" w:lineRule="exact"/>
        <w:rPr>
          <w:sz w:val="20"/>
          <w:szCs w:val="20"/>
          <w:color w:val="auto"/>
        </w:rPr>
      </w:pPr>
    </w:p>
    <w:p>
      <w:pPr>
        <w:jc w:val="both"/>
        <w:ind w:firstLine="524"/>
        <w:spacing w:after="0" w:line="256" w:lineRule="auto"/>
        <w:rPr>
          <w:sz w:val="20"/>
          <w:szCs w:val="20"/>
          <w:color w:val="auto"/>
        </w:rPr>
      </w:pPr>
      <w:r>
        <w:rPr>
          <w:rFonts w:ascii="Arial" w:cs="Arial" w:eastAsia="Arial" w:hAnsi="Arial"/>
          <w:sz w:val="13"/>
          <w:szCs w:val="13"/>
          <w:color w:val="auto"/>
        </w:rPr>
        <w:t>The information to be included under the captions “Director Nominee Biographies &amp; Qualifications,” “Codes of Business Conduct and Ethics,” and “Audit Committee,” in the Company’s definitive proxy statement for the 2022 annual meeting of stockholders, to be filed with the Securities and Exchange Commission, is hereby incorporated by reference in answer to this item.</w:t>
      </w:r>
    </w:p>
    <w:p>
      <w:pPr>
        <w:spacing w:after="0" w:line="158" w:lineRule="exact"/>
        <w:rPr>
          <w:sz w:val="20"/>
          <w:szCs w:val="20"/>
          <w:color w:val="auto"/>
        </w:rPr>
      </w:pPr>
    </w:p>
    <w:p>
      <w:pPr>
        <w:spacing w:after="0"/>
        <w:tabs>
          <w:tab w:leader="none" w:pos="1640" w:val="left"/>
        </w:tabs>
        <w:rPr>
          <w:sz w:val="20"/>
          <w:szCs w:val="20"/>
          <w:color w:val="auto"/>
        </w:rPr>
      </w:pPr>
      <w:r>
        <w:rPr>
          <w:rFonts w:ascii="Arial" w:cs="Arial" w:eastAsia="Arial" w:hAnsi="Arial"/>
          <w:sz w:val="32"/>
          <w:szCs w:val="32"/>
          <w:b w:val="1"/>
          <w:bCs w:val="1"/>
          <w:color w:val="auto"/>
        </w:rPr>
        <w:t>ITEM 11.</w:t>
        <w:tab/>
        <w:t>Executive Compensation</w:t>
      </w:r>
    </w:p>
    <w:p>
      <w:pPr>
        <w:spacing w:after="0" w:line="84" w:lineRule="exact"/>
        <w:rPr>
          <w:sz w:val="20"/>
          <w:szCs w:val="20"/>
          <w:color w:val="auto"/>
        </w:rPr>
      </w:pPr>
    </w:p>
    <w:p>
      <w:pPr>
        <w:jc w:val="both"/>
        <w:ind w:firstLine="524"/>
        <w:spacing w:after="0" w:line="251" w:lineRule="auto"/>
        <w:rPr>
          <w:sz w:val="20"/>
          <w:szCs w:val="20"/>
          <w:color w:val="auto"/>
        </w:rPr>
      </w:pPr>
      <w:r>
        <w:rPr>
          <w:rFonts w:ascii="Arial" w:cs="Arial" w:eastAsia="Arial" w:hAnsi="Arial"/>
          <w:sz w:val="13"/>
          <w:szCs w:val="13"/>
          <w:color w:val="auto"/>
        </w:rPr>
        <w:t>The information to be included under the captions “Executive Compensation,” “Compensation Committee Interlocks and Insider Participation,” and “Compensation Committee Report,” in the Company’s definitive proxy statement for the 2022 annual meeting of stockholders, to be filed with the Securities and Exchange Commission, is hereby incorporated by reference in answer to this item.</w:t>
      </w:r>
    </w:p>
    <w:p>
      <w:pPr>
        <w:spacing w:after="0" w:line="161" w:lineRule="exact"/>
        <w:rPr>
          <w:sz w:val="20"/>
          <w:szCs w:val="20"/>
          <w:color w:val="auto"/>
        </w:rPr>
      </w:pPr>
    </w:p>
    <w:p>
      <w:pPr>
        <w:ind w:left="1580" w:right="1500" w:hanging="1572"/>
        <w:spacing w:after="0" w:line="271" w:lineRule="auto"/>
        <w:tabs>
          <w:tab w:leader="none" w:pos="1560" w:val="left"/>
        </w:tabs>
        <w:rPr>
          <w:sz w:val="20"/>
          <w:szCs w:val="20"/>
          <w:color w:val="auto"/>
        </w:rPr>
      </w:pPr>
      <w:r>
        <w:rPr>
          <w:rFonts w:ascii="Arial" w:cs="Arial" w:eastAsia="Arial" w:hAnsi="Arial"/>
          <w:sz w:val="32"/>
          <w:szCs w:val="32"/>
          <w:b w:val="1"/>
          <w:bCs w:val="1"/>
          <w:color w:val="auto"/>
        </w:rPr>
        <w:t>ITEM 12.</w:t>
        <w:tab/>
        <w:t>Security Ownership of Certain Beneficial Owners and Management and Related Stockholder Matters</w:t>
      </w:r>
    </w:p>
    <w:p>
      <w:pPr>
        <w:spacing w:after="0" w:line="3" w:lineRule="exact"/>
        <w:rPr>
          <w:sz w:val="20"/>
          <w:szCs w:val="20"/>
          <w:color w:val="auto"/>
        </w:rPr>
      </w:pPr>
    </w:p>
    <w:p>
      <w:pPr>
        <w:ind w:firstLine="524"/>
        <w:spacing w:after="0" w:line="256" w:lineRule="auto"/>
        <w:rPr>
          <w:sz w:val="20"/>
          <w:szCs w:val="20"/>
          <w:color w:val="auto"/>
        </w:rPr>
      </w:pPr>
      <w:r>
        <w:rPr>
          <w:rFonts w:ascii="Arial" w:cs="Arial" w:eastAsia="Arial" w:hAnsi="Arial"/>
          <w:sz w:val="13"/>
          <w:szCs w:val="13"/>
          <w:color w:val="auto"/>
        </w:rPr>
        <w:t>The information to be included under the captions “Equity Compensation Plan Information” and “Security Ownership of Certain Beneficial Owners and Management,” in the Company’s definitive proxy statement for the 2022 annual meeting of stockholders, to be filed with the Securities and Exchange Commission, is hereby incorporated by reference in answer to this item.</w:t>
      </w:r>
    </w:p>
    <w:p>
      <w:pPr>
        <w:spacing w:after="0" w:line="158" w:lineRule="exact"/>
        <w:rPr>
          <w:sz w:val="20"/>
          <w:szCs w:val="20"/>
          <w:color w:val="auto"/>
        </w:rPr>
      </w:pPr>
    </w:p>
    <w:p>
      <w:pPr>
        <w:ind w:left="1580" w:right="280" w:hanging="1572"/>
        <w:spacing w:after="0" w:line="271" w:lineRule="auto"/>
        <w:tabs>
          <w:tab w:leader="none" w:pos="1560" w:val="left"/>
        </w:tabs>
        <w:rPr>
          <w:sz w:val="20"/>
          <w:szCs w:val="20"/>
          <w:color w:val="auto"/>
        </w:rPr>
      </w:pPr>
      <w:r>
        <w:rPr>
          <w:rFonts w:ascii="Arial" w:cs="Arial" w:eastAsia="Arial" w:hAnsi="Arial"/>
          <w:sz w:val="32"/>
          <w:szCs w:val="32"/>
          <w:b w:val="1"/>
          <w:bCs w:val="1"/>
          <w:color w:val="auto"/>
        </w:rPr>
        <w:t>ITEM 13.</w:t>
        <w:tab/>
        <w:t>Certain Relationships and Related Transactions, and Director Independence</w:t>
      </w:r>
    </w:p>
    <w:p>
      <w:pPr>
        <w:spacing w:after="0" w:line="3" w:lineRule="exact"/>
        <w:rPr>
          <w:sz w:val="20"/>
          <w:szCs w:val="20"/>
          <w:color w:val="auto"/>
        </w:rPr>
      </w:pPr>
    </w:p>
    <w:p>
      <w:pPr>
        <w:ind w:firstLine="524"/>
        <w:spacing w:after="0" w:line="256" w:lineRule="auto"/>
        <w:rPr>
          <w:sz w:val="20"/>
          <w:szCs w:val="20"/>
          <w:color w:val="auto"/>
        </w:rPr>
      </w:pPr>
      <w:r>
        <w:rPr>
          <w:rFonts w:ascii="Arial" w:cs="Arial" w:eastAsia="Arial" w:hAnsi="Arial"/>
          <w:sz w:val="13"/>
          <w:szCs w:val="13"/>
          <w:color w:val="auto"/>
        </w:rPr>
        <w:t>The information to be included under the captions “Certain Relationships and Related Party Transactions” and “Director Independence,” in the Company’s definitive proxy statement for the 2022 annual meeting of stockholders, to be filed with the Securities and Exchange Commission, is hereby incorporated by reference in answer to this item.</w:t>
      </w:r>
    </w:p>
    <w:p>
      <w:pPr>
        <w:spacing w:after="0" w:line="158" w:lineRule="exact"/>
        <w:rPr>
          <w:sz w:val="20"/>
          <w:szCs w:val="20"/>
          <w:color w:val="auto"/>
        </w:rPr>
      </w:pPr>
    </w:p>
    <w:p>
      <w:pPr>
        <w:spacing w:after="0"/>
        <w:tabs>
          <w:tab w:leader="none" w:pos="1640" w:val="left"/>
        </w:tabs>
        <w:rPr>
          <w:sz w:val="20"/>
          <w:szCs w:val="20"/>
          <w:color w:val="auto"/>
        </w:rPr>
      </w:pPr>
      <w:r>
        <w:rPr>
          <w:rFonts w:ascii="Arial" w:cs="Arial" w:eastAsia="Arial" w:hAnsi="Arial"/>
          <w:sz w:val="32"/>
          <w:szCs w:val="32"/>
          <w:b w:val="1"/>
          <w:bCs w:val="1"/>
          <w:color w:val="auto"/>
        </w:rPr>
        <w:t>ITEM 14.</w:t>
        <w:tab/>
        <w:t>Principal Accounting Fees and Services</w:t>
      </w:r>
    </w:p>
    <w:p>
      <w:pPr>
        <w:spacing w:after="0" w:line="84" w:lineRule="exact"/>
        <w:rPr>
          <w:sz w:val="20"/>
          <w:szCs w:val="20"/>
          <w:color w:val="auto"/>
        </w:rPr>
      </w:pPr>
    </w:p>
    <w:p>
      <w:pPr>
        <w:ind w:firstLine="524"/>
        <w:spacing w:after="0" w:line="256" w:lineRule="auto"/>
        <w:rPr>
          <w:sz w:val="20"/>
          <w:szCs w:val="20"/>
          <w:color w:val="auto"/>
        </w:rPr>
      </w:pPr>
      <w:r>
        <w:rPr>
          <w:rFonts w:ascii="Arial" w:cs="Arial" w:eastAsia="Arial" w:hAnsi="Arial"/>
          <w:sz w:val="13"/>
          <w:szCs w:val="13"/>
          <w:color w:val="auto"/>
        </w:rPr>
        <w:t>The information to be included under the caption “Independent Registered Public Accounting Firm Fee Information,” if applicable, in the Company’s definitive proxy statement for the 2022 annual meeting of stockholders, to be filed with the Securities and Exchange Commission, is hereby incorporated by reference in answer to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118" w:name="page119"/>
    <w:bookmarkEnd w:id="118"/>
    <w:p>
      <w:pPr>
        <w:jc w:val="center"/>
        <w:ind w:left="380"/>
        <w:spacing w:after="0"/>
        <w:rPr>
          <w:sz w:val="20"/>
          <w:szCs w:val="20"/>
          <w:color w:val="auto"/>
        </w:rPr>
      </w:pPr>
      <w:r>
        <w:rPr>
          <w:rFonts w:ascii="Arial" w:cs="Arial" w:eastAsia="Arial" w:hAnsi="Arial"/>
          <w:sz w:val="32"/>
          <w:szCs w:val="32"/>
          <w:b w:val="1"/>
          <w:bCs w:val="1"/>
          <w:color w:val="1D2758"/>
        </w:rPr>
        <w:t>PART IV</w:t>
      </w:r>
    </w:p>
    <w:p>
      <w:pPr>
        <w:spacing w:after="0" w:line="91" w:lineRule="exact"/>
        <w:rPr>
          <w:sz w:val="20"/>
          <w:szCs w:val="20"/>
          <w:color w:val="auto"/>
        </w:rPr>
      </w:pPr>
    </w:p>
    <w:p>
      <w:pPr>
        <w:spacing w:after="0"/>
        <w:tabs>
          <w:tab w:leader="none" w:pos="1640" w:val="left"/>
        </w:tabs>
        <w:rPr>
          <w:sz w:val="20"/>
          <w:szCs w:val="20"/>
          <w:color w:val="auto"/>
        </w:rPr>
      </w:pPr>
      <w:r>
        <w:rPr>
          <w:rFonts w:ascii="Arial" w:cs="Arial" w:eastAsia="Arial" w:hAnsi="Arial"/>
          <w:sz w:val="32"/>
          <w:szCs w:val="32"/>
          <w:b w:val="1"/>
          <w:bCs w:val="1"/>
          <w:color w:val="auto"/>
        </w:rPr>
        <w:t>ITEM 15.</w:t>
        <w:tab/>
        <w:t>Exhibits and Financial Statement Schedules</w:t>
      </w:r>
    </w:p>
    <w:p>
      <w:pPr>
        <w:spacing w:after="0" w:line="127"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following documents are filed as part of this report:</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color w:val="1D2758"/>
        </w:rPr>
        <w:t>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158355" cy="3536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8355" cy="353695"/>
                    </a:xfrm>
                    <a:prstGeom prst="rect">
                      <a:avLst/>
                    </a:prstGeom>
                    <a:noFill/>
                  </pic:spPr>
                </pic:pic>
              </a:graphicData>
            </a:graphic>
          </wp:anchor>
        </w:drawing>
      </w:r>
    </w:p>
    <w:p>
      <w:pPr>
        <w:spacing w:after="0" w:line="3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Reports of Independent Registered Public Accounting Firm (Ernst &amp; Young, LLP, Baltimore, MD, PCAOB ID: 42)</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Consolidated Balance Sheets as of December 31,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7158355" cy="1593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8355" cy="159385"/>
                    </a:xfrm>
                    <a:prstGeom prst="rect">
                      <a:avLst/>
                    </a:prstGeom>
                    <a:noFill/>
                  </pic:spPr>
                </pic:pic>
              </a:graphicData>
            </a:graphic>
          </wp:anchor>
        </w:drawing>
      </w:r>
    </w:p>
    <w:p>
      <w:pPr>
        <w:spacing w:after="0" w:line="82" w:lineRule="exact"/>
        <w:rPr>
          <w:sz w:val="20"/>
          <w:szCs w:val="20"/>
          <w:color w:val="auto"/>
        </w:rPr>
      </w:pPr>
    </w:p>
    <w:p>
      <w:pPr>
        <w:ind w:left="20"/>
        <w:spacing w:after="0"/>
        <w:rPr>
          <w:sz w:val="20"/>
          <w:szCs w:val="20"/>
          <w:color w:val="auto"/>
        </w:rPr>
      </w:pPr>
      <w:r>
        <w:rPr>
          <w:rFonts w:ascii="Arial" w:cs="Arial" w:eastAsia="Arial" w:hAnsi="Arial"/>
          <w:sz w:val="13"/>
          <w:szCs w:val="13"/>
          <w:color w:val="auto"/>
        </w:rPr>
        <w:t>Consolidated Statements of Operations for the Years Ended December 31, 2021, 2020 and 2019</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3"/>
          <w:szCs w:val="13"/>
          <w:color w:val="auto"/>
        </w:rPr>
        <w:t>Consolidated Statements of Comprehensive Income (Loss) for the Years Ended December 31, 2021,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7158355" cy="1593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8355" cy="159385"/>
                    </a:xfrm>
                    <a:prstGeom prst="rect">
                      <a:avLst/>
                    </a:prstGeom>
                    <a:noFill/>
                  </pic:spPr>
                </pic:pic>
              </a:graphicData>
            </a:graphic>
          </wp:anchor>
        </w:drawing>
      </w:r>
    </w:p>
    <w:p>
      <w:pPr>
        <w:spacing w:after="0" w:line="82" w:lineRule="exact"/>
        <w:rPr>
          <w:sz w:val="20"/>
          <w:szCs w:val="20"/>
          <w:color w:val="auto"/>
        </w:rPr>
      </w:pPr>
    </w:p>
    <w:p>
      <w:pPr>
        <w:ind w:left="20"/>
        <w:spacing w:after="0"/>
        <w:rPr>
          <w:sz w:val="20"/>
          <w:szCs w:val="20"/>
          <w:color w:val="auto"/>
        </w:rPr>
      </w:pPr>
      <w:r>
        <w:rPr>
          <w:rFonts w:ascii="Arial" w:cs="Arial" w:eastAsia="Arial" w:hAnsi="Arial"/>
          <w:sz w:val="13"/>
          <w:szCs w:val="13"/>
          <w:color w:val="auto"/>
        </w:rPr>
        <w:t>Consolidated Statements of Changes in Equity for the Years Ended December 31, 2021, 2020 and 2019</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3"/>
          <w:szCs w:val="13"/>
          <w:color w:val="auto"/>
        </w:rPr>
        <w:t>Consolidated Statements of Cash Flow for the Years Ended December 31, 2021,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7158355" cy="1593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8355" cy="159385"/>
                    </a:xfrm>
                    <a:prstGeom prst="rect">
                      <a:avLst/>
                    </a:prstGeom>
                    <a:noFill/>
                  </pic:spPr>
                </pic:pic>
              </a:graphicData>
            </a:graphic>
          </wp:anchor>
        </w:drawing>
      </w:r>
    </w:p>
    <w:p>
      <w:pPr>
        <w:spacing w:after="0" w:line="82" w:lineRule="exact"/>
        <w:rPr>
          <w:sz w:val="20"/>
          <w:szCs w:val="20"/>
          <w:color w:val="auto"/>
        </w:rPr>
      </w:pPr>
    </w:p>
    <w:p>
      <w:pPr>
        <w:ind w:left="20"/>
        <w:spacing w:after="0"/>
        <w:rPr>
          <w:sz w:val="20"/>
          <w:szCs w:val="20"/>
          <w:color w:val="auto"/>
        </w:rPr>
      </w:pPr>
      <w:r>
        <w:rPr>
          <w:rFonts w:ascii="Arial" w:cs="Arial" w:eastAsia="Arial" w:hAnsi="Arial"/>
          <w:sz w:val="13"/>
          <w:szCs w:val="13"/>
          <w:color w:val="auto"/>
        </w:rPr>
        <w:t>Notes to the Audited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color w:val="1D2758"/>
        </w:rPr>
        <w:t>Financial Statement Schedule</w:t>
      </w:r>
    </w:p>
    <w:p>
      <w:pPr>
        <w:spacing w:after="0" w:line="42" w:lineRule="exact"/>
        <w:rPr>
          <w:sz w:val="20"/>
          <w:szCs w:val="20"/>
          <w:color w:val="auto"/>
        </w:rPr>
      </w:pPr>
    </w:p>
    <w:p>
      <w:pPr>
        <w:ind w:left="540"/>
        <w:spacing w:after="0"/>
        <w:rPr>
          <w:sz w:val="20"/>
          <w:szCs w:val="20"/>
          <w:color w:val="auto"/>
        </w:rPr>
      </w:pPr>
      <w:r>
        <w:rPr>
          <w:rFonts w:ascii="Arial" w:cs="Arial" w:eastAsia="Arial" w:hAnsi="Arial"/>
          <w:sz w:val="13"/>
          <w:szCs w:val="13"/>
          <w:color w:val="auto"/>
        </w:rPr>
        <w:t>All schedules have been omitted because the information required to be set forth therein is not applicable or is shown in the financial statements or notes thereto.</w:t>
      </w:r>
    </w:p>
    <w:p>
      <w:pPr>
        <w:spacing w:after="0" w:line="93" w:lineRule="exact"/>
        <w:rPr>
          <w:sz w:val="20"/>
          <w:szCs w:val="20"/>
          <w:color w:val="auto"/>
        </w:rPr>
      </w:pPr>
    </w:p>
    <w:p>
      <w:pPr>
        <w:spacing w:after="0"/>
        <w:rPr>
          <w:sz w:val="20"/>
          <w:szCs w:val="20"/>
          <w:color w:val="auto"/>
        </w:rPr>
      </w:pPr>
      <w:r>
        <w:rPr>
          <w:rFonts w:ascii="Arial" w:cs="Arial" w:eastAsia="Arial" w:hAnsi="Arial"/>
          <w:sz w:val="19"/>
          <w:szCs w:val="19"/>
          <w:color w:val="1D2758"/>
        </w:rPr>
        <w:t>Exhibits</w:t>
      </w:r>
    </w:p>
    <w:p>
      <w:pPr>
        <w:spacing w:after="0" w:line="42"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exhibits listed in the accompanying Exhibit Index are filed or incorporated by reference as part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7158355"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FFFFFF"/>
        </w:rPr>
        <w:t>Page</w:t>
      </w:r>
    </w:p>
    <w:p>
      <w:pPr>
        <w:jc w:val="center"/>
        <w:spacing w:after="0"/>
        <w:rPr>
          <w:sz w:val="20"/>
          <w:szCs w:val="20"/>
          <w:color w:val="auto"/>
        </w:rPr>
      </w:pPr>
      <w:r>
        <w:rPr>
          <w:rFonts w:ascii="Arial" w:cs="Arial" w:eastAsia="Arial" w:hAnsi="Arial"/>
          <w:sz w:val="13"/>
          <w:szCs w:val="13"/>
          <w:b w:val="1"/>
          <w:bCs w:val="1"/>
          <w:color w:val="FFFFFF"/>
        </w:rPr>
        <w:t>Number</w:t>
      </w:r>
    </w:p>
    <w:p>
      <w:pPr>
        <w:spacing w:after="0" w:line="25" w:lineRule="exact"/>
        <w:rPr>
          <w:sz w:val="20"/>
          <w:szCs w:val="20"/>
          <w:color w:val="auto"/>
        </w:rPr>
      </w:pPr>
    </w:p>
    <w:p>
      <w:pPr>
        <w:ind w:left="180"/>
        <w:spacing w:after="0"/>
        <w:rPr>
          <w:rFonts w:ascii="Arial" w:cs="Arial" w:eastAsia="Arial" w:hAnsi="Arial"/>
          <w:sz w:val="13"/>
          <w:szCs w:val="13"/>
          <w:u w:val="single" w:color="auto"/>
          <w:color w:val="0000FF"/>
        </w:rPr>
      </w:pPr>
      <w:hyperlink w:anchor="page69">
        <w:r>
          <w:rPr>
            <w:rFonts w:ascii="Arial" w:cs="Arial" w:eastAsia="Arial" w:hAnsi="Arial"/>
            <w:sz w:val="13"/>
            <w:szCs w:val="13"/>
            <w:u w:val="single" w:color="auto"/>
            <w:color w:val="0000FF"/>
          </w:rPr>
          <w:t>70</w:t>
        </w:r>
      </w:hyperlink>
    </w:p>
    <w:p>
      <w:pPr>
        <w:spacing w:after="0" w:line="102" w:lineRule="exact"/>
        <w:rPr>
          <w:sz w:val="20"/>
          <w:szCs w:val="20"/>
          <w:color w:val="auto"/>
        </w:rPr>
      </w:pPr>
    </w:p>
    <w:p>
      <w:pPr>
        <w:ind w:left="180"/>
        <w:spacing w:after="0"/>
        <w:rPr>
          <w:rFonts w:ascii="Arial" w:cs="Arial" w:eastAsia="Arial" w:hAnsi="Arial"/>
          <w:sz w:val="13"/>
          <w:szCs w:val="13"/>
          <w:u w:val="single" w:color="auto"/>
          <w:color w:val="0000FF"/>
        </w:rPr>
      </w:pPr>
      <w:hyperlink w:anchor="page71">
        <w:r>
          <w:rPr>
            <w:rFonts w:ascii="Arial" w:cs="Arial" w:eastAsia="Arial" w:hAnsi="Arial"/>
            <w:sz w:val="13"/>
            <w:szCs w:val="13"/>
            <w:u w:val="single" w:color="auto"/>
            <w:color w:val="0000FF"/>
          </w:rPr>
          <w:t>72</w:t>
        </w:r>
      </w:hyperlink>
    </w:p>
    <w:p>
      <w:pPr>
        <w:spacing w:after="0" w:line="25" w:lineRule="exact"/>
        <w:rPr>
          <w:sz w:val="20"/>
          <w:szCs w:val="20"/>
          <w:color w:val="auto"/>
        </w:rPr>
      </w:pPr>
    </w:p>
    <w:p>
      <w:pPr>
        <w:ind w:left="180"/>
        <w:spacing w:after="0"/>
        <w:rPr>
          <w:rFonts w:ascii="Arial" w:cs="Arial" w:eastAsia="Arial" w:hAnsi="Arial"/>
          <w:sz w:val="13"/>
          <w:szCs w:val="13"/>
          <w:u w:val="single" w:color="auto"/>
          <w:color w:val="0000FF"/>
        </w:rPr>
      </w:pPr>
      <w:hyperlink w:anchor="page72">
        <w:r>
          <w:rPr>
            <w:rFonts w:ascii="Arial" w:cs="Arial" w:eastAsia="Arial" w:hAnsi="Arial"/>
            <w:sz w:val="13"/>
            <w:szCs w:val="13"/>
            <w:u w:val="single" w:color="auto"/>
            <w:color w:val="0000FF"/>
          </w:rPr>
          <w:t>73</w:t>
        </w:r>
      </w:hyperlink>
    </w:p>
    <w:p>
      <w:pPr>
        <w:spacing w:after="0" w:line="102" w:lineRule="exact"/>
        <w:rPr>
          <w:sz w:val="20"/>
          <w:szCs w:val="20"/>
          <w:color w:val="auto"/>
        </w:rPr>
      </w:pPr>
    </w:p>
    <w:p>
      <w:pPr>
        <w:ind w:left="180"/>
        <w:spacing w:after="0"/>
        <w:rPr>
          <w:rFonts w:ascii="Arial" w:cs="Arial" w:eastAsia="Arial" w:hAnsi="Arial"/>
          <w:sz w:val="13"/>
          <w:szCs w:val="13"/>
          <w:u w:val="single" w:color="auto"/>
          <w:color w:val="0000FF"/>
        </w:rPr>
      </w:pPr>
      <w:hyperlink w:anchor="page73">
        <w:r>
          <w:rPr>
            <w:rFonts w:ascii="Arial" w:cs="Arial" w:eastAsia="Arial" w:hAnsi="Arial"/>
            <w:sz w:val="13"/>
            <w:szCs w:val="13"/>
            <w:u w:val="single" w:color="auto"/>
            <w:color w:val="0000FF"/>
          </w:rPr>
          <w:t>74</w:t>
        </w:r>
      </w:hyperlink>
    </w:p>
    <w:p>
      <w:pPr>
        <w:spacing w:after="0" w:line="102" w:lineRule="exact"/>
        <w:rPr>
          <w:sz w:val="20"/>
          <w:szCs w:val="20"/>
          <w:color w:val="auto"/>
        </w:rPr>
      </w:pPr>
    </w:p>
    <w:p>
      <w:pPr>
        <w:ind w:left="180"/>
        <w:spacing w:after="0"/>
        <w:rPr>
          <w:rFonts w:ascii="Arial" w:cs="Arial" w:eastAsia="Arial" w:hAnsi="Arial"/>
          <w:sz w:val="13"/>
          <w:szCs w:val="13"/>
          <w:u w:val="single" w:color="auto"/>
          <w:color w:val="0000FF"/>
        </w:rPr>
      </w:pPr>
      <w:hyperlink w:anchor="page74">
        <w:r>
          <w:rPr>
            <w:rFonts w:ascii="Arial" w:cs="Arial" w:eastAsia="Arial" w:hAnsi="Arial"/>
            <w:sz w:val="13"/>
            <w:szCs w:val="13"/>
            <w:u w:val="single" w:color="auto"/>
            <w:color w:val="0000FF"/>
          </w:rPr>
          <w:t>75</w:t>
        </w:r>
      </w:hyperlink>
    </w:p>
    <w:p>
      <w:pPr>
        <w:spacing w:after="0" w:line="102" w:lineRule="exact"/>
        <w:rPr>
          <w:sz w:val="20"/>
          <w:szCs w:val="20"/>
          <w:color w:val="auto"/>
        </w:rPr>
      </w:pPr>
    </w:p>
    <w:p>
      <w:pPr>
        <w:ind w:left="180"/>
        <w:spacing w:after="0"/>
        <w:rPr>
          <w:rFonts w:ascii="Arial" w:cs="Arial" w:eastAsia="Arial" w:hAnsi="Arial"/>
          <w:sz w:val="13"/>
          <w:szCs w:val="13"/>
          <w:u w:val="single" w:color="auto"/>
          <w:color w:val="0000FF"/>
        </w:rPr>
      </w:pPr>
      <w:hyperlink w:anchor="page75">
        <w:r>
          <w:rPr>
            <w:rFonts w:ascii="Arial" w:cs="Arial" w:eastAsia="Arial" w:hAnsi="Arial"/>
            <w:sz w:val="13"/>
            <w:szCs w:val="13"/>
            <w:u w:val="single" w:color="auto"/>
            <w:color w:val="0000FF"/>
          </w:rPr>
          <w:t>76</w:t>
        </w:r>
      </w:hyperlink>
    </w:p>
    <w:p>
      <w:pPr>
        <w:spacing w:after="0" w:line="102" w:lineRule="exact"/>
        <w:rPr>
          <w:sz w:val="20"/>
          <w:szCs w:val="20"/>
          <w:color w:val="auto"/>
        </w:rPr>
      </w:pPr>
    </w:p>
    <w:p>
      <w:pPr>
        <w:ind w:left="180"/>
        <w:spacing w:after="0"/>
        <w:rPr>
          <w:rFonts w:ascii="Arial" w:cs="Arial" w:eastAsia="Arial" w:hAnsi="Arial"/>
          <w:sz w:val="13"/>
          <w:szCs w:val="13"/>
          <w:u w:val="single" w:color="auto"/>
          <w:color w:val="0000FF"/>
        </w:rPr>
      </w:pPr>
      <w:hyperlink w:anchor="page78">
        <w:r>
          <w:rPr>
            <w:rFonts w:ascii="Arial" w:cs="Arial" w:eastAsia="Arial" w:hAnsi="Arial"/>
            <w:sz w:val="13"/>
            <w:szCs w:val="13"/>
            <w:u w:val="single" w:color="auto"/>
            <w:color w:val="0000FF"/>
          </w:rPr>
          <w:t>78</w:t>
        </w:r>
      </w:hyperlink>
    </w:p>
    <w:p>
      <w:pPr>
        <w:spacing w:after="0" w:line="1357" w:lineRule="exact"/>
        <w:rPr>
          <w:sz w:val="20"/>
          <w:szCs w:val="20"/>
          <w:color w:val="auto"/>
        </w:rPr>
      </w:pPr>
    </w:p>
    <w:p>
      <w:pPr>
        <w:sectPr>
          <w:pgSz w:w="11900" w:h="16838" w:orient="portrait"/>
          <w:cols w:equalWidth="0" w:num="2">
            <w:col w:w="9860" w:space="720"/>
            <w:col w:w="500"/>
          </w:cols>
          <w:pgMar w:left="300" w:top="902"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9"/>
        <w:spacing w:after="0"/>
        <w:rPr>
          <w:sz w:val="20"/>
          <w:szCs w:val="20"/>
          <w:color w:val="auto"/>
        </w:rPr>
      </w:pPr>
      <w:r>
        <w:rPr>
          <w:rFonts w:ascii="Arial" w:cs="Arial" w:eastAsia="Arial" w:hAnsi="Arial"/>
          <w:sz w:val="10"/>
          <w:szCs w:val="10"/>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50800</wp:posOffset>
            </wp:positionV>
            <wp:extent cx="7183755" cy="393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080"/>
          </w:cols>
          <w:pgMar w:left="300" w:top="902" w:right="519" w:bottom="1440" w:gutter="0" w:footer="0" w:header="0"/>
          <w:type w:val="continuous"/>
        </w:sectPr>
      </w:pPr>
    </w:p>
    <w:bookmarkStart w:id="119" w:name="page120"/>
    <w:bookmarkEnd w:id="119"/>
    <w:tbl>
      <w:tblPr>
        <w:tblLayout w:type="fixed"/>
        <w:tblInd w:w="0" w:type="dxa"/>
        <w:tblCellMar>
          <w:top w:w="0" w:type="dxa"/>
          <w:left w:w="0" w:type="dxa"/>
          <w:bottom w:w="0" w:type="dxa"/>
          <w:right w:w="0" w:type="dxa"/>
        </w:tblCellMar>
      </w:tblPr>
      <w:tr>
        <w:trPr>
          <w:trHeight w:val="232"/>
        </w:trPr>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20" w:type="dxa"/>
            <w:vAlign w:val="bottom"/>
            <w:gridSpan w:val="16"/>
          </w:tcPr>
          <w:p>
            <w:pPr>
              <w:ind w:left="40"/>
              <w:spacing w:after="0"/>
              <w:rPr>
                <w:sz w:val="20"/>
                <w:szCs w:val="20"/>
                <w:color w:val="auto"/>
              </w:rPr>
            </w:pPr>
            <w:r>
              <w:rPr>
                <w:rFonts w:ascii="Arial" w:cs="Arial" w:eastAsia="Arial" w:hAnsi="Arial"/>
                <w:sz w:val="19"/>
                <w:szCs w:val="19"/>
                <w:color w:val="1D2758"/>
              </w:rPr>
              <w:t>Exhibit Index</w:t>
            </w:r>
          </w:p>
        </w:tc>
      </w:tr>
      <w:tr>
        <w:trPr>
          <w:trHeight w:val="180"/>
        </w:trPr>
        <w:tc>
          <w:tcPr>
            <w:tcW w:w="1460" w:type="dxa"/>
            <w:vAlign w:val="bottom"/>
            <w:gridSpan w:val="4"/>
            <w:shd w:val="clear" w:color="auto" w:fill="1D2758"/>
          </w:tcPr>
          <w:p>
            <w:pPr>
              <w:ind w:left="200"/>
              <w:spacing w:after="0"/>
              <w:rPr>
                <w:sz w:val="20"/>
                <w:szCs w:val="20"/>
                <w:color w:val="auto"/>
              </w:rPr>
            </w:pPr>
            <w:r>
              <w:rPr>
                <w:rFonts w:ascii="Arial" w:cs="Arial" w:eastAsia="Arial" w:hAnsi="Arial"/>
                <w:sz w:val="13"/>
                <w:szCs w:val="13"/>
                <w:b w:val="1"/>
                <w:bCs w:val="1"/>
                <w:color w:val="FFFFFF"/>
              </w:rPr>
              <w:t>Exhibit No.</w:t>
            </w:r>
          </w:p>
        </w:tc>
        <w:tc>
          <w:tcPr>
            <w:tcW w:w="360" w:type="dxa"/>
            <w:vAlign w:val="bottom"/>
            <w:shd w:val="clear" w:color="auto" w:fill="1D2758"/>
          </w:tcPr>
          <w:p>
            <w:pPr>
              <w:spacing w:after="0"/>
              <w:rPr>
                <w:sz w:val="15"/>
                <w:szCs w:val="15"/>
                <w:color w:val="auto"/>
              </w:rPr>
            </w:pPr>
          </w:p>
        </w:tc>
        <w:tc>
          <w:tcPr>
            <w:tcW w:w="780" w:type="dxa"/>
            <w:vAlign w:val="bottom"/>
            <w:shd w:val="clear" w:color="auto" w:fill="1D2758"/>
          </w:tcPr>
          <w:p>
            <w:pPr>
              <w:spacing w:after="0"/>
              <w:rPr>
                <w:sz w:val="15"/>
                <w:szCs w:val="15"/>
                <w:color w:val="auto"/>
              </w:rPr>
            </w:pPr>
          </w:p>
        </w:tc>
        <w:tc>
          <w:tcPr>
            <w:tcW w:w="360" w:type="dxa"/>
            <w:vAlign w:val="bottom"/>
            <w:tcBorders>
              <w:right w:val="single" w:sz="8" w:color="1D2758"/>
            </w:tcBorders>
            <w:shd w:val="clear" w:color="auto" w:fill="1D2758"/>
          </w:tcPr>
          <w:p>
            <w:pPr>
              <w:spacing w:after="0"/>
              <w:rPr>
                <w:sz w:val="15"/>
                <w:szCs w:val="15"/>
                <w:color w:val="auto"/>
              </w:rPr>
            </w:pPr>
          </w:p>
        </w:tc>
        <w:tc>
          <w:tcPr>
            <w:tcW w:w="640" w:type="dxa"/>
            <w:vAlign w:val="bottom"/>
            <w:tcBorders>
              <w:right w:val="single" w:sz="8" w:color="1D2758"/>
            </w:tcBorders>
            <w:shd w:val="clear" w:color="auto" w:fill="1D2758"/>
          </w:tcPr>
          <w:p>
            <w:pPr>
              <w:spacing w:after="0"/>
              <w:rPr>
                <w:sz w:val="15"/>
                <w:szCs w:val="15"/>
                <w:color w:val="auto"/>
              </w:rPr>
            </w:pPr>
          </w:p>
        </w:tc>
        <w:tc>
          <w:tcPr>
            <w:tcW w:w="340" w:type="dxa"/>
            <w:vAlign w:val="bottom"/>
            <w:shd w:val="clear" w:color="auto" w:fill="1D2758"/>
          </w:tcPr>
          <w:p>
            <w:pPr>
              <w:spacing w:after="0"/>
              <w:rPr>
                <w:sz w:val="15"/>
                <w:szCs w:val="15"/>
                <w:color w:val="auto"/>
              </w:rPr>
            </w:pPr>
          </w:p>
        </w:tc>
        <w:tc>
          <w:tcPr>
            <w:tcW w:w="220" w:type="dxa"/>
            <w:vAlign w:val="bottom"/>
            <w:shd w:val="clear" w:color="auto" w:fill="1D2758"/>
          </w:tcPr>
          <w:p>
            <w:pPr>
              <w:spacing w:after="0"/>
              <w:rPr>
                <w:sz w:val="15"/>
                <w:szCs w:val="15"/>
                <w:color w:val="auto"/>
              </w:rPr>
            </w:pPr>
          </w:p>
        </w:tc>
        <w:tc>
          <w:tcPr>
            <w:tcW w:w="880" w:type="dxa"/>
            <w:vAlign w:val="bottom"/>
            <w:shd w:val="clear" w:color="auto" w:fill="1D2758"/>
          </w:tcPr>
          <w:p>
            <w:pPr>
              <w:spacing w:after="0"/>
              <w:rPr>
                <w:sz w:val="15"/>
                <w:szCs w:val="15"/>
                <w:color w:val="auto"/>
              </w:rPr>
            </w:pPr>
          </w:p>
        </w:tc>
        <w:tc>
          <w:tcPr>
            <w:tcW w:w="6220" w:type="dxa"/>
            <w:vAlign w:val="bottom"/>
            <w:tcBorders>
              <w:right w:val="single" w:sz="8" w:color="1D2758"/>
            </w:tcBorders>
            <w:gridSpan w:val="16"/>
            <w:shd w:val="clear" w:color="auto" w:fill="1D2758"/>
          </w:tcPr>
          <w:p>
            <w:pPr>
              <w:ind w:left="700"/>
              <w:spacing w:after="0"/>
              <w:rPr>
                <w:sz w:val="20"/>
                <w:szCs w:val="20"/>
                <w:color w:val="auto"/>
              </w:rPr>
            </w:pPr>
            <w:r>
              <w:rPr>
                <w:rFonts w:ascii="Arial" w:cs="Arial" w:eastAsia="Arial" w:hAnsi="Arial"/>
                <w:sz w:val="13"/>
                <w:szCs w:val="13"/>
                <w:b w:val="1"/>
                <w:bCs w:val="1"/>
                <w:color w:val="FFFFFF"/>
              </w:rPr>
              <w:t>Exhibit Description</w:t>
            </w:r>
          </w:p>
        </w:tc>
      </w:tr>
      <w:tr>
        <w:trPr>
          <w:trHeight w:val="162"/>
        </w:trPr>
        <w:tc>
          <w:tcPr>
            <w:tcW w:w="680" w:type="dxa"/>
            <w:vAlign w:val="bottom"/>
            <w:tcBorders>
              <w:right w:val="single" w:sz="8" w:color="DBDBDB"/>
            </w:tcBorders>
            <w:gridSpan w:val="3"/>
            <w:shd w:val="clear" w:color="auto" w:fill="DBDBDB"/>
          </w:tcPr>
          <w:p>
            <w:pPr>
              <w:jc w:val="center"/>
              <w:ind w:left="334"/>
              <w:spacing w:after="0" w:line="142" w:lineRule="exact"/>
              <w:rPr>
                <w:rFonts w:ascii="Arial" w:cs="Arial" w:eastAsia="Arial" w:hAnsi="Arial"/>
                <w:sz w:val="13"/>
                <w:szCs w:val="13"/>
                <w:color w:val="auto"/>
              </w:rPr>
            </w:pPr>
            <w:hyperlink r:id="rId144">
              <w:r>
                <w:rPr>
                  <w:rFonts w:ascii="Arial" w:cs="Arial" w:eastAsia="Arial" w:hAnsi="Arial"/>
                  <w:sz w:val="13"/>
                  <w:szCs w:val="13"/>
                  <w:color w:val="auto"/>
                </w:rPr>
                <w:t>2.</w:t>
              </w:r>
              <w:r>
                <w:rPr>
                  <w:rFonts w:ascii="Arial" w:cs="Arial" w:eastAsia="Arial" w:hAnsi="Arial"/>
                  <w:sz w:val="13"/>
                  <w:szCs w:val="13"/>
                  <w:u w:val="single" w:color="auto"/>
                  <w:color w:val="auto"/>
                </w:rPr>
                <w:t>1*</w:t>
              </w:r>
            </w:hyperlink>
          </w:p>
        </w:tc>
        <w:tc>
          <w:tcPr>
            <w:tcW w:w="780" w:type="dxa"/>
            <w:vAlign w:val="bottom"/>
            <w:shd w:val="clear" w:color="auto" w:fill="DBDBDB"/>
          </w:tcPr>
          <w:p>
            <w:pPr>
              <w:spacing w:after="0"/>
              <w:rPr>
                <w:sz w:val="14"/>
                <w:szCs w:val="14"/>
                <w:color w:val="auto"/>
              </w:rPr>
            </w:pPr>
          </w:p>
        </w:tc>
        <w:tc>
          <w:tcPr>
            <w:tcW w:w="9800" w:type="dxa"/>
            <w:vAlign w:val="bottom"/>
            <w:tcBorders>
              <w:right w:val="single" w:sz="8" w:color="DBDBDB"/>
            </w:tcBorders>
            <w:gridSpan w:val="23"/>
            <w:shd w:val="clear" w:color="auto" w:fill="DBDBDB"/>
          </w:tcPr>
          <w:p>
            <w:pPr>
              <w:spacing w:after="0" w:line="142" w:lineRule="exact"/>
              <w:rPr>
                <w:rFonts w:ascii="Arial" w:cs="Arial" w:eastAsia="Arial" w:hAnsi="Arial"/>
                <w:sz w:val="13"/>
                <w:szCs w:val="13"/>
                <w:color w:val="auto"/>
              </w:rPr>
            </w:pPr>
            <w:hyperlink r:id="rId144">
              <w:r>
                <w:rPr>
                  <w:rFonts w:ascii="Arial" w:cs="Arial" w:eastAsia="Arial" w:hAnsi="Arial"/>
                  <w:sz w:val="13"/>
                  <w:szCs w:val="13"/>
                  <w:color w:val="auto"/>
                </w:rPr>
                <w:t>Agreement and Plan of Merger, dated as of March 1, 2020, by and among WillScot Corporation, Picasso Merger Sub, Inc. and Mobile Mini, Inc. (incorporated by</w:t>
              </w:r>
            </w:hyperlink>
          </w:p>
        </w:tc>
      </w:tr>
      <w:tr>
        <w:trPr>
          <w:trHeight w:val="104"/>
        </w:trPr>
        <w:tc>
          <w:tcPr>
            <w:tcW w:w="460" w:type="dxa"/>
            <w:vAlign w:val="bottom"/>
            <w:tcBorders>
              <w:top w:val="single" w:sz="8" w:color="DBDBDB"/>
              <w:bottom w:val="single" w:sz="8" w:color="DBDBDB"/>
              <w:right w:val="single" w:sz="8" w:color="DBDBDB"/>
            </w:tcBorders>
            <w:shd w:val="clear" w:color="auto" w:fill="DBDBDB"/>
          </w:tcPr>
          <w:p>
            <w:pPr>
              <w:spacing w:after="0"/>
              <w:rPr>
                <w:sz w:val="9"/>
                <w:szCs w:val="9"/>
                <w:color w:val="auto"/>
              </w:rPr>
            </w:pPr>
          </w:p>
        </w:tc>
        <w:tc>
          <w:tcPr>
            <w:tcW w:w="180" w:type="dxa"/>
            <w:vAlign w:val="bottom"/>
            <w:tcBorders>
              <w:top w:val="single" w:sz="8" w:color="auto"/>
              <w:bottom w:val="single" w:sz="8" w:color="DBDBDB"/>
            </w:tcBorders>
            <w:shd w:val="clear" w:color="auto" w:fill="DBDBDB"/>
          </w:tcPr>
          <w:p>
            <w:pPr>
              <w:spacing w:after="0"/>
              <w:rPr>
                <w:sz w:val="9"/>
                <w:szCs w:val="9"/>
                <w:color w:val="auto"/>
              </w:rPr>
            </w:pPr>
          </w:p>
        </w:tc>
        <w:tc>
          <w:tcPr>
            <w:tcW w:w="40" w:type="dxa"/>
            <w:vAlign w:val="bottom"/>
            <w:tcBorders>
              <w:top w:val="single" w:sz="8" w:color="auto"/>
              <w:bottom w:val="single" w:sz="8" w:color="DBDBDB"/>
              <w:right w:val="single" w:sz="8" w:color="DBDBDB"/>
            </w:tcBorders>
            <w:shd w:val="clear" w:color="auto" w:fill="DBDBDB"/>
          </w:tcPr>
          <w:p>
            <w:pPr>
              <w:spacing w:after="0"/>
              <w:rPr>
                <w:sz w:val="9"/>
                <w:szCs w:val="9"/>
                <w:color w:val="auto"/>
              </w:rPr>
            </w:pPr>
          </w:p>
        </w:tc>
        <w:tc>
          <w:tcPr>
            <w:tcW w:w="780" w:type="dxa"/>
            <w:vAlign w:val="bottom"/>
            <w:tcBorders>
              <w:top w:val="single" w:sz="8" w:color="DBDBDB"/>
              <w:bottom w:val="single" w:sz="8" w:color="DBDBDB"/>
            </w:tcBorders>
            <w:shd w:val="clear" w:color="auto" w:fill="DBDBDB"/>
          </w:tcPr>
          <w:p>
            <w:pPr>
              <w:spacing w:after="0"/>
              <w:rPr>
                <w:sz w:val="9"/>
                <w:szCs w:val="9"/>
                <w:color w:val="auto"/>
              </w:rPr>
            </w:pPr>
          </w:p>
        </w:tc>
        <w:tc>
          <w:tcPr>
            <w:tcW w:w="6020" w:type="dxa"/>
            <w:vAlign w:val="bottom"/>
            <w:tcBorders>
              <w:top w:val="single" w:sz="8" w:color="auto"/>
              <w:bottom w:val="single" w:sz="8" w:color="auto"/>
            </w:tcBorders>
            <w:gridSpan w:val="11"/>
            <w:shd w:val="clear" w:color="auto" w:fill="DBDBDB"/>
          </w:tcPr>
          <w:p>
            <w:pPr>
              <w:spacing w:after="0" w:line="92" w:lineRule="exact"/>
              <w:rPr>
                <w:rFonts w:ascii="Arial" w:cs="Arial" w:eastAsia="Arial" w:hAnsi="Arial"/>
                <w:sz w:val="10"/>
                <w:szCs w:val="10"/>
                <w:color w:val="auto"/>
              </w:rPr>
            </w:pPr>
            <w:hyperlink r:id="rId144">
              <w:r>
                <w:rPr>
                  <w:rFonts w:ascii="Arial" w:cs="Arial" w:eastAsia="Arial" w:hAnsi="Arial"/>
                  <w:sz w:val="10"/>
                  <w:szCs w:val="10"/>
                  <w:color w:val="auto"/>
                </w:rPr>
                <w:t>reference to Exhibit 2.1 to the Current Report on Form 8-K of WillScot Corporation, filed March 5, 2020).</w:t>
              </w:r>
            </w:hyperlink>
          </w:p>
        </w:tc>
        <w:tc>
          <w:tcPr>
            <w:tcW w:w="3240" w:type="dxa"/>
            <w:vAlign w:val="bottom"/>
            <w:tcBorders>
              <w:top w:val="single" w:sz="8" w:color="auto"/>
              <w:bottom w:val="single" w:sz="8" w:color="DBDBDB"/>
            </w:tcBorders>
            <w:gridSpan w:val="7"/>
            <w:shd w:val="clear" w:color="auto" w:fill="DBDBDB"/>
          </w:tcPr>
          <w:p>
            <w:pPr>
              <w:spacing w:after="0"/>
              <w:rPr>
                <w:sz w:val="9"/>
                <w:szCs w:val="9"/>
                <w:color w:val="auto"/>
              </w:rPr>
            </w:pPr>
          </w:p>
        </w:tc>
        <w:tc>
          <w:tcPr>
            <w:tcW w:w="60" w:type="dxa"/>
            <w:vAlign w:val="bottom"/>
            <w:tcBorders>
              <w:top w:val="single" w:sz="8" w:color="DBDBDB"/>
              <w:bottom w:val="single" w:sz="8" w:color="DBDBDB"/>
            </w:tcBorders>
            <w:shd w:val="clear" w:color="auto" w:fill="DBDBDB"/>
          </w:tcPr>
          <w:p>
            <w:pPr>
              <w:spacing w:after="0"/>
              <w:rPr>
                <w:sz w:val="9"/>
                <w:szCs w:val="9"/>
                <w:color w:val="auto"/>
              </w:rPr>
            </w:pPr>
          </w:p>
        </w:tc>
        <w:tc>
          <w:tcPr>
            <w:tcW w:w="20" w:type="dxa"/>
            <w:vAlign w:val="bottom"/>
            <w:tcBorders>
              <w:top w:val="single" w:sz="8" w:color="DBDBDB"/>
              <w:bottom w:val="single" w:sz="8" w:color="DBDBDB"/>
            </w:tcBorders>
            <w:shd w:val="clear" w:color="auto" w:fill="DBDBDB"/>
          </w:tcPr>
          <w:p>
            <w:pPr>
              <w:spacing w:after="0"/>
              <w:rPr>
                <w:sz w:val="9"/>
                <w:szCs w:val="9"/>
                <w:color w:val="auto"/>
              </w:rPr>
            </w:pPr>
          </w:p>
        </w:tc>
        <w:tc>
          <w:tcPr>
            <w:tcW w:w="40" w:type="dxa"/>
            <w:vAlign w:val="bottom"/>
            <w:tcBorders>
              <w:top w:val="single" w:sz="8" w:color="DBDBDB"/>
              <w:bottom w:val="single" w:sz="8" w:color="DBDBDB"/>
            </w:tcBorders>
            <w:shd w:val="clear" w:color="auto" w:fill="DBDBDB"/>
          </w:tcPr>
          <w:p>
            <w:pPr>
              <w:spacing w:after="0"/>
              <w:rPr>
                <w:sz w:val="9"/>
                <w:szCs w:val="9"/>
                <w:color w:val="auto"/>
              </w:rPr>
            </w:pPr>
          </w:p>
        </w:tc>
        <w:tc>
          <w:tcPr>
            <w:tcW w:w="100" w:type="dxa"/>
            <w:vAlign w:val="bottom"/>
            <w:tcBorders>
              <w:top w:val="single" w:sz="8" w:color="DBDBDB"/>
              <w:bottom w:val="single" w:sz="8" w:color="DBDBDB"/>
            </w:tcBorders>
            <w:shd w:val="clear" w:color="auto" w:fill="DBDBDB"/>
          </w:tcPr>
          <w:p>
            <w:pPr>
              <w:spacing w:after="0"/>
              <w:rPr>
                <w:sz w:val="9"/>
                <w:szCs w:val="9"/>
                <w:color w:val="auto"/>
              </w:rPr>
            </w:pPr>
          </w:p>
        </w:tc>
        <w:tc>
          <w:tcPr>
            <w:tcW w:w="320" w:type="dxa"/>
            <w:vAlign w:val="bottom"/>
            <w:tcBorders>
              <w:top w:val="single" w:sz="8" w:color="DBDBDB"/>
              <w:bottom w:val="single" w:sz="8" w:color="DBDBDB"/>
              <w:right w:val="single" w:sz="8" w:color="DBDBDB"/>
            </w:tcBorders>
            <w:shd w:val="clear" w:color="auto" w:fill="DBDBDB"/>
          </w:tcPr>
          <w:p>
            <w:pPr>
              <w:spacing w:after="0"/>
              <w:rPr>
                <w:sz w:val="9"/>
                <w:szCs w:val="9"/>
                <w:color w:val="auto"/>
              </w:rPr>
            </w:pPr>
          </w:p>
        </w:tc>
      </w:tr>
      <w:tr>
        <w:trPr>
          <w:trHeight w:val="142"/>
        </w:trPr>
        <w:tc>
          <w:tcPr>
            <w:tcW w:w="680" w:type="dxa"/>
            <w:vAlign w:val="bottom"/>
            <w:gridSpan w:val="3"/>
          </w:tcPr>
          <w:p>
            <w:pPr>
              <w:jc w:val="center"/>
              <w:ind w:left="354"/>
              <w:spacing w:after="0" w:line="142" w:lineRule="exact"/>
              <w:rPr>
                <w:rFonts w:ascii="Arial" w:cs="Arial" w:eastAsia="Arial" w:hAnsi="Arial"/>
                <w:sz w:val="13"/>
                <w:szCs w:val="13"/>
                <w:color w:val="auto"/>
                <w:w w:val="99"/>
              </w:rPr>
            </w:pPr>
            <w:hyperlink r:id="rId145">
              <w:r>
                <w:rPr>
                  <w:rFonts w:ascii="Arial" w:cs="Arial" w:eastAsia="Arial" w:hAnsi="Arial"/>
                  <w:sz w:val="13"/>
                  <w:szCs w:val="13"/>
                  <w:color w:val="auto"/>
                  <w:w w:val="99"/>
                </w:rPr>
                <w:t>2.</w:t>
              </w:r>
              <w:r>
                <w:rPr>
                  <w:rFonts w:ascii="Arial" w:cs="Arial" w:eastAsia="Arial" w:hAnsi="Arial"/>
                  <w:sz w:val="13"/>
                  <w:szCs w:val="13"/>
                  <w:u w:val="single" w:color="auto"/>
                  <w:color w:val="auto"/>
                  <w:w w:val="99"/>
                </w:rPr>
                <w:t>2</w:t>
              </w:r>
            </w:hyperlink>
          </w:p>
        </w:tc>
        <w:tc>
          <w:tcPr>
            <w:tcW w:w="780" w:type="dxa"/>
            <w:vAlign w:val="bottom"/>
          </w:tcPr>
          <w:p>
            <w:pPr>
              <w:spacing w:after="0"/>
              <w:rPr>
                <w:sz w:val="12"/>
                <w:szCs w:val="12"/>
                <w:color w:val="auto"/>
              </w:rPr>
            </w:pPr>
          </w:p>
        </w:tc>
        <w:tc>
          <w:tcPr>
            <w:tcW w:w="9800" w:type="dxa"/>
            <w:vAlign w:val="bottom"/>
            <w:gridSpan w:val="23"/>
          </w:tcPr>
          <w:p>
            <w:pPr>
              <w:spacing w:after="0" w:line="142" w:lineRule="exact"/>
              <w:rPr>
                <w:rFonts w:ascii="Arial" w:cs="Arial" w:eastAsia="Arial" w:hAnsi="Arial"/>
                <w:sz w:val="13"/>
                <w:szCs w:val="13"/>
                <w:color w:val="auto"/>
              </w:rPr>
            </w:pPr>
            <w:hyperlink r:id="rId145">
              <w:r>
                <w:rPr>
                  <w:rFonts w:ascii="Arial" w:cs="Arial" w:eastAsia="Arial" w:hAnsi="Arial"/>
                  <w:sz w:val="13"/>
                  <w:szCs w:val="13"/>
                  <w:color w:val="auto"/>
                </w:rPr>
                <w:t>Amendment to Agreement and Plan of Merger, dated May 28, 2020, by and among WillScot Corporation, Mobile Mini, Inc. and Picasso Merger Sub, Inc. (incorporated</w:t>
              </w:r>
            </w:hyperlink>
          </w:p>
        </w:tc>
      </w:tr>
      <w:tr>
        <w:trPr>
          <w:trHeight w:val="117"/>
        </w:trPr>
        <w:tc>
          <w:tcPr>
            <w:tcW w:w="4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120" w:type="dxa"/>
            <w:vAlign w:val="bottom"/>
            <w:tcBorders>
              <w:top w:val="single" w:sz="8" w:color="auto"/>
              <w:bottom w:val="single" w:sz="8" w:color="auto"/>
            </w:tcBorders>
            <w:gridSpan w:val="12"/>
          </w:tcPr>
          <w:p>
            <w:pPr>
              <w:spacing w:after="0" w:line="111" w:lineRule="exact"/>
              <w:rPr>
                <w:rFonts w:ascii="Arial" w:cs="Arial" w:eastAsia="Arial" w:hAnsi="Arial"/>
                <w:sz w:val="12"/>
                <w:szCs w:val="12"/>
                <w:color w:val="auto"/>
              </w:rPr>
            </w:pPr>
            <w:hyperlink r:id="rId145">
              <w:r>
                <w:rPr>
                  <w:rFonts w:ascii="Arial" w:cs="Arial" w:eastAsia="Arial" w:hAnsi="Arial"/>
                  <w:sz w:val="12"/>
                  <w:szCs w:val="12"/>
                  <w:color w:val="auto"/>
                </w:rPr>
                <w:t>by reference to Exhibit 2.1 to the Current Report on Form 8-K of WillScot Corporation, filed June 2, 2020).</w:t>
              </w:r>
            </w:hyperlink>
          </w:p>
        </w:tc>
        <w:tc>
          <w:tcPr>
            <w:tcW w:w="3680" w:type="dxa"/>
            <w:vAlign w:val="bottom"/>
            <w:tcBorders>
              <w:top w:val="single" w:sz="8" w:color="auto"/>
            </w:tcBorders>
            <w:gridSpan w:val="11"/>
          </w:tcPr>
          <w:p>
            <w:pPr>
              <w:spacing w:after="0"/>
              <w:rPr>
                <w:sz w:val="10"/>
                <w:szCs w:val="10"/>
                <w:color w:val="auto"/>
              </w:rPr>
            </w:pPr>
          </w:p>
        </w:tc>
      </w:tr>
      <w:tr>
        <w:trPr>
          <w:trHeight w:val="148"/>
        </w:trPr>
        <w:tc>
          <w:tcPr>
            <w:tcW w:w="680" w:type="dxa"/>
            <w:vAlign w:val="bottom"/>
            <w:tcBorders>
              <w:right w:val="single" w:sz="8" w:color="DBDBDB"/>
            </w:tcBorders>
            <w:gridSpan w:val="3"/>
            <w:shd w:val="clear" w:color="auto" w:fill="DBDBDB"/>
          </w:tcPr>
          <w:p>
            <w:pPr>
              <w:jc w:val="center"/>
              <w:ind w:left="354"/>
              <w:spacing w:after="0" w:line="149" w:lineRule="exact"/>
              <w:rPr>
                <w:rFonts w:ascii="Arial" w:cs="Arial" w:eastAsia="Arial" w:hAnsi="Arial"/>
                <w:sz w:val="13"/>
                <w:szCs w:val="13"/>
                <w:color w:val="auto"/>
                <w:w w:val="99"/>
              </w:rPr>
            </w:pPr>
            <w:hyperlink r:id="rId146">
              <w:r>
                <w:rPr>
                  <w:rFonts w:ascii="Arial" w:cs="Arial" w:eastAsia="Arial" w:hAnsi="Arial"/>
                  <w:sz w:val="13"/>
                  <w:szCs w:val="13"/>
                  <w:color w:val="auto"/>
                  <w:w w:val="99"/>
                </w:rPr>
                <w:t>3.</w:t>
              </w:r>
              <w:r>
                <w:rPr>
                  <w:rFonts w:ascii="Arial" w:cs="Arial" w:eastAsia="Arial" w:hAnsi="Arial"/>
                  <w:sz w:val="13"/>
                  <w:szCs w:val="13"/>
                  <w:u w:val="single" w:color="auto"/>
                  <w:color w:val="auto"/>
                  <w:w w:val="99"/>
                </w:rPr>
                <w:t>1</w:t>
              </w:r>
            </w:hyperlink>
          </w:p>
        </w:tc>
        <w:tc>
          <w:tcPr>
            <w:tcW w:w="780" w:type="dxa"/>
            <w:vAlign w:val="bottom"/>
            <w:shd w:val="clear" w:color="auto" w:fill="DBDBDB"/>
          </w:tcPr>
          <w:p>
            <w:pPr>
              <w:spacing w:after="0"/>
              <w:rPr>
                <w:sz w:val="12"/>
                <w:szCs w:val="12"/>
                <w:color w:val="auto"/>
              </w:rPr>
            </w:pPr>
          </w:p>
        </w:tc>
        <w:tc>
          <w:tcPr>
            <w:tcW w:w="9800" w:type="dxa"/>
            <w:vAlign w:val="bottom"/>
            <w:tcBorders>
              <w:right w:val="single" w:sz="8" w:color="DBDBDB"/>
            </w:tcBorders>
            <w:gridSpan w:val="23"/>
            <w:shd w:val="clear" w:color="auto" w:fill="DBDBDB"/>
          </w:tcPr>
          <w:p>
            <w:pPr>
              <w:spacing w:after="0" w:line="149" w:lineRule="exact"/>
              <w:rPr>
                <w:rFonts w:ascii="Arial" w:cs="Arial" w:eastAsia="Arial" w:hAnsi="Arial"/>
                <w:sz w:val="13"/>
                <w:szCs w:val="13"/>
                <w:color w:val="auto"/>
              </w:rPr>
            </w:pPr>
            <w:hyperlink r:id="rId146">
              <w:r>
                <w:rPr>
                  <w:rFonts w:ascii="Arial" w:cs="Arial" w:eastAsia="Arial" w:hAnsi="Arial"/>
                  <w:sz w:val="13"/>
                  <w:szCs w:val="13"/>
                  <w:color w:val="auto"/>
                </w:rPr>
                <w:t>Amended and Restated Certificate of Incorporation of WillScot Mobile Mini Holdings Corp (incorporated by reference to Exhibit 3.1(b) to the Current Report on Form 8-K</w:t>
              </w:r>
            </w:hyperlink>
          </w:p>
        </w:tc>
      </w:tr>
      <w:tr>
        <w:trPr>
          <w:trHeight w:val="124"/>
        </w:trPr>
        <w:tc>
          <w:tcPr>
            <w:tcW w:w="460" w:type="dxa"/>
            <w:vAlign w:val="bottom"/>
            <w:tcBorders>
              <w:top w:val="single" w:sz="8" w:color="DBDBDB"/>
              <w:bottom w:val="single" w:sz="8" w:color="DBDBDB"/>
              <w:right w:val="single" w:sz="8" w:color="DBDBDB"/>
            </w:tcBorders>
            <w:shd w:val="clear" w:color="auto" w:fill="DBDBDB"/>
          </w:tcPr>
          <w:p>
            <w:pPr>
              <w:spacing w:after="0"/>
              <w:rPr>
                <w:sz w:val="10"/>
                <w:szCs w:val="10"/>
                <w:color w:val="auto"/>
              </w:rPr>
            </w:pPr>
          </w:p>
        </w:tc>
        <w:tc>
          <w:tcPr>
            <w:tcW w:w="180" w:type="dxa"/>
            <w:vAlign w:val="bottom"/>
            <w:tcBorders>
              <w:top w:val="single" w:sz="8" w:color="auto"/>
              <w:bottom w:val="single" w:sz="8" w:color="DBDBDB"/>
            </w:tcBorders>
            <w:shd w:val="clear" w:color="auto" w:fill="DBDBDB"/>
          </w:tcPr>
          <w:p>
            <w:pPr>
              <w:spacing w:after="0"/>
              <w:rPr>
                <w:sz w:val="10"/>
                <w:szCs w:val="10"/>
                <w:color w:val="auto"/>
              </w:rPr>
            </w:pPr>
          </w:p>
        </w:tc>
        <w:tc>
          <w:tcPr>
            <w:tcW w:w="40" w:type="dxa"/>
            <w:vAlign w:val="bottom"/>
            <w:tcBorders>
              <w:top w:val="single" w:sz="8" w:color="DBDBDB"/>
              <w:bottom w:val="single" w:sz="8" w:color="DBDBDB"/>
              <w:right w:val="single" w:sz="8" w:color="DBDBDB"/>
            </w:tcBorders>
            <w:shd w:val="clear" w:color="auto" w:fill="DBDBDB"/>
          </w:tcPr>
          <w:p>
            <w:pPr>
              <w:spacing w:after="0"/>
              <w:rPr>
                <w:sz w:val="10"/>
                <w:szCs w:val="10"/>
                <w:color w:val="auto"/>
              </w:rPr>
            </w:pPr>
          </w:p>
        </w:tc>
        <w:tc>
          <w:tcPr>
            <w:tcW w:w="780" w:type="dxa"/>
            <w:vAlign w:val="bottom"/>
            <w:tcBorders>
              <w:top w:val="single" w:sz="8" w:color="DBDBDB"/>
              <w:bottom w:val="single" w:sz="8" w:color="DBDBDB"/>
            </w:tcBorders>
            <w:shd w:val="clear" w:color="auto" w:fill="DBDBDB"/>
          </w:tcPr>
          <w:p>
            <w:pPr>
              <w:spacing w:after="0"/>
              <w:rPr>
                <w:sz w:val="10"/>
                <w:szCs w:val="10"/>
                <w:color w:val="auto"/>
              </w:rPr>
            </w:pPr>
          </w:p>
        </w:tc>
        <w:tc>
          <w:tcPr>
            <w:tcW w:w="2480" w:type="dxa"/>
            <w:vAlign w:val="bottom"/>
            <w:tcBorders>
              <w:top w:val="single" w:sz="8" w:color="auto"/>
              <w:bottom w:val="single" w:sz="8" w:color="auto"/>
            </w:tcBorders>
            <w:gridSpan w:val="5"/>
            <w:shd w:val="clear" w:color="auto" w:fill="DBDBDB"/>
          </w:tcPr>
          <w:p>
            <w:pPr>
              <w:spacing w:after="0" w:line="111" w:lineRule="exact"/>
              <w:rPr>
                <w:rFonts w:ascii="Arial" w:cs="Arial" w:eastAsia="Arial" w:hAnsi="Arial"/>
                <w:sz w:val="12"/>
                <w:szCs w:val="12"/>
                <w:color w:val="auto"/>
              </w:rPr>
            </w:pPr>
            <w:hyperlink r:id="rId146">
              <w:r>
                <w:rPr>
                  <w:rFonts w:ascii="Arial" w:cs="Arial" w:eastAsia="Arial" w:hAnsi="Arial"/>
                  <w:sz w:val="12"/>
                  <w:szCs w:val="12"/>
                  <w:color w:val="auto"/>
                </w:rPr>
                <w:t>of WillScot Corporation, filed July 1, 2020).</w:t>
              </w:r>
            </w:hyperlink>
          </w:p>
        </w:tc>
        <w:tc>
          <w:tcPr>
            <w:tcW w:w="7320" w:type="dxa"/>
            <w:vAlign w:val="bottom"/>
            <w:tcBorders>
              <w:top w:val="single" w:sz="8" w:color="auto"/>
              <w:bottom w:val="single" w:sz="8" w:color="DBDBDB"/>
              <w:right w:val="single" w:sz="8" w:color="DBDBDB"/>
            </w:tcBorders>
            <w:gridSpan w:val="18"/>
            <w:shd w:val="clear" w:color="auto" w:fill="DBDBDB"/>
          </w:tcPr>
          <w:p>
            <w:pPr>
              <w:spacing w:after="0"/>
              <w:rPr>
                <w:sz w:val="10"/>
                <w:szCs w:val="10"/>
                <w:color w:val="auto"/>
              </w:rPr>
            </w:pPr>
          </w:p>
        </w:tc>
      </w:tr>
      <w:tr>
        <w:trPr>
          <w:trHeight w:val="162"/>
        </w:trPr>
        <w:tc>
          <w:tcPr>
            <w:tcW w:w="680" w:type="dxa"/>
            <w:vAlign w:val="bottom"/>
            <w:gridSpan w:val="3"/>
          </w:tcPr>
          <w:p>
            <w:pPr>
              <w:jc w:val="center"/>
              <w:ind w:left="354"/>
              <w:spacing w:after="0" w:line="142" w:lineRule="exact"/>
              <w:rPr>
                <w:rFonts w:ascii="Arial" w:cs="Arial" w:eastAsia="Arial" w:hAnsi="Arial"/>
                <w:sz w:val="13"/>
                <w:szCs w:val="13"/>
                <w:color w:val="auto"/>
                <w:w w:val="99"/>
              </w:rPr>
            </w:pPr>
            <w:hyperlink r:id="rId147">
              <w:r>
                <w:rPr>
                  <w:rFonts w:ascii="Arial" w:cs="Arial" w:eastAsia="Arial" w:hAnsi="Arial"/>
                  <w:sz w:val="13"/>
                  <w:szCs w:val="13"/>
                  <w:color w:val="auto"/>
                  <w:w w:val="99"/>
                </w:rPr>
                <w:t>3.</w:t>
              </w:r>
              <w:r>
                <w:rPr>
                  <w:rFonts w:ascii="Arial" w:cs="Arial" w:eastAsia="Arial" w:hAnsi="Arial"/>
                  <w:sz w:val="13"/>
                  <w:szCs w:val="13"/>
                  <w:u w:val="single" w:color="auto"/>
                  <w:color w:val="auto"/>
                  <w:w w:val="99"/>
                </w:rPr>
                <w:t>2</w:t>
              </w:r>
            </w:hyperlink>
          </w:p>
        </w:tc>
        <w:tc>
          <w:tcPr>
            <w:tcW w:w="780" w:type="dxa"/>
            <w:vAlign w:val="bottom"/>
          </w:tcPr>
          <w:p>
            <w:pPr>
              <w:spacing w:after="0"/>
              <w:rPr>
                <w:sz w:val="14"/>
                <w:szCs w:val="14"/>
                <w:color w:val="auto"/>
              </w:rPr>
            </w:pPr>
          </w:p>
        </w:tc>
        <w:tc>
          <w:tcPr>
            <w:tcW w:w="9800" w:type="dxa"/>
            <w:vAlign w:val="bottom"/>
            <w:gridSpan w:val="23"/>
          </w:tcPr>
          <w:p>
            <w:pPr>
              <w:spacing w:after="0" w:line="142" w:lineRule="exact"/>
              <w:rPr>
                <w:rFonts w:ascii="Arial" w:cs="Arial" w:eastAsia="Arial" w:hAnsi="Arial"/>
                <w:sz w:val="13"/>
                <w:szCs w:val="13"/>
                <w:color w:val="auto"/>
              </w:rPr>
            </w:pPr>
            <w:hyperlink r:id="rId147">
              <w:r>
                <w:rPr>
                  <w:rFonts w:ascii="Arial" w:cs="Arial" w:eastAsia="Arial" w:hAnsi="Arial"/>
                  <w:sz w:val="13"/>
                  <w:szCs w:val="13"/>
                  <w:color w:val="auto"/>
                </w:rPr>
                <w:t>Certificate of Amendment of Certificate of Incorporation, filed June 15, 2021 (incorporated by reference to Exhibit 3.1 of the Company’s Current Report on Form 8-K,</w:t>
              </w:r>
            </w:hyperlink>
          </w:p>
        </w:tc>
      </w:tr>
      <w:tr>
        <w:trPr>
          <w:trHeight w:val="91"/>
        </w:trPr>
        <w:tc>
          <w:tcPr>
            <w:tcW w:w="46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9800" w:type="dxa"/>
            <w:vAlign w:val="bottom"/>
            <w:tcBorders>
              <w:top w:val="single" w:sz="8" w:color="auto"/>
            </w:tcBorders>
            <w:gridSpan w:val="23"/>
          </w:tcPr>
          <w:p>
            <w:pPr>
              <w:spacing w:after="0" w:line="92" w:lineRule="exact"/>
              <w:rPr>
                <w:rFonts w:ascii="Arial" w:cs="Arial" w:eastAsia="Arial" w:hAnsi="Arial"/>
                <w:sz w:val="10"/>
                <w:szCs w:val="10"/>
                <w:color w:val="auto"/>
              </w:rPr>
            </w:pPr>
            <w:hyperlink r:id="rId147">
              <w:r>
                <w:rPr>
                  <w:rFonts w:ascii="Arial" w:cs="Arial" w:eastAsia="Arial" w:hAnsi="Arial"/>
                  <w:sz w:val="10"/>
                  <w:szCs w:val="10"/>
                  <w:color w:val="auto"/>
                </w:rPr>
                <w:t>filed June 16, 2021)</w:t>
              </w:r>
            </w:hyperlink>
          </w:p>
        </w:tc>
      </w:tr>
      <w:tr>
        <w:trPr>
          <w:trHeight w:val="26"/>
        </w:trPr>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148"/>
        </w:trPr>
        <w:tc>
          <w:tcPr>
            <w:tcW w:w="680" w:type="dxa"/>
            <w:vAlign w:val="bottom"/>
            <w:tcBorders>
              <w:right w:val="single" w:sz="8" w:color="DBDBDB"/>
            </w:tcBorders>
            <w:gridSpan w:val="3"/>
            <w:shd w:val="clear" w:color="auto" w:fill="DBDBDB"/>
          </w:tcPr>
          <w:p>
            <w:pPr>
              <w:jc w:val="center"/>
              <w:ind w:left="354"/>
              <w:spacing w:after="0" w:line="149" w:lineRule="exact"/>
              <w:rPr>
                <w:rFonts w:ascii="Arial" w:cs="Arial" w:eastAsia="Arial" w:hAnsi="Arial"/>
                <w:sz w:val="13"/>
                <w:szCs w:val="13"/>
                <w:color w:val="auto"/>
                <w:w w:val="99"/>
              </w:rPr>
            </w:pPr>
            <w:hyperlink r:id="rId148">
              <w:r>
                <w:rPr>
                  <w:rFonts w:ascii="Arial" w:cs="Arial" w:eastAsia="Arial" w:hAnsi="Arial"/>
                  <w:sz w:val="13"/>
                  <w:szCs w:val="13"/>
                  <w:color w:val="auto"/>
                  <w:w w:val="99"/>
                </w:rPr>
                <w:t>3.</w:t>
              </w:r>
              <w:r>
                <w:rPr>
                  <w:rFonts w:ascii="Arial" w:cs="Arial" w:eastAsia="Arial" w:hAnsi="Arial"/>
                  <w:sz w:val="13"/>
                  <w:szCs w:val="13"/>
                  <w:u w:val="single" w:color="auto"/>
                  <w:color w:val="auto"/>
                  <w:w w:val="99"/>
                </w:rPr>
                <w:t>3</w:t>
              </w:r>
            </w:hyperlink>
          </w:p>
        </w:tc>
        <w:tc>
          <w:tcPr>
            <w:tcW w:w="780" w:type="dxa"/>
            <w:vAlign w:val="bottom"/>
            <w:shd w:val="clear" w:color="auto" w:fill="DBDBDB"/>
          </w:tcPr>
          <w:p>
            <w:pPr>
              <w:spacing w:after="0"/>
              <w:rPr>
                <w:sz w:val="12"/>
                <w:szCs w:val="12"/>
                <w:color w:val="auto"/>
              </w:rPr>
            </w:pPr>
          </w:p>
        </w:tc>
        <w:tc>
          <w:tcPr>
            <w:tcW w:w="9800" w:type="dxa"/>
            <w:vAlign w:val="bottom"/>
            <w:tcBorders>
              <w:right w:val="single" w:sz="8" w:color="DBDBDB"/>
            </w:tcBorders>
            <w:gridSpan w:val="23"/>
            <w:shd w:val="clear" w:color="auto" w:fill="DBDBDB"/>
          </w:tcPr>
          <w:p>
            <w:pPr>
              <w:spacing w:after="0" w:line="149" w:lineRule="exact"/>
              <w:rPr>
                <w:rFonts w:ascii="Arial" w:cs="Arial" w:eastAsia="Arial" w:hAnsi="Arial"/>
                <w:sz w:val="13"/>
                <w:szCs w:val="13"/>
                <w:color w:val="auto"/>
              </w:rPr>
            </w:pPr>
            <w:hyperlink r:id="rId148">
              <w:r>
                <w:rPr>
                  <w:rFonts w:ascii="Arial" w:cs="Arial" w:eastAsia="Arial" w:hAnsi="Arial"/>
                  <w:sz w:val="13"/>
                  <w:szCs w:val="13"/>
                  <w:color w:val="auto"/>
                </w:rPr>
                <w:t>Fourth Amended and Restated Bylaws of WillScot Mobile Mini Holdings Corp. (incorporated by reference to Exhibit 3.1 of the Company’s Current Report on Form 8-K,</w:t>
              </w:r>
            </w:hyperlink>
          </w:p>
        </w:tc>
      </w:tr>
      <w:tr>
        <w:trPr>
          <w:trHeight w:val="124"/>
        </w:trPr>
        <w:tc>
          <w:tcPr>
            <w:tcW w:w="460" w:type="dxa"/>
            <w:vAlign w:val="bottom"/>
            <w:tcBorders>
              <w:top w:val="single" w:sz="8" w:color="DBDBDB"/>
              <w:bottom w:val="single" w:sz="8" w:color="DBDBDB"/>
              <w:right w:val="single" w:sz="8" w:color="DBDBDB"/>
            </w:tcBorders>
            <w:shd w:val="clear" w:color="auto" w:fill="DBDBDB"/>
          </w:tcPr>
          <w:p>
            <w:pPr>
              <w:spacing w:after="0"/>
              <w:rPr>
                <w:sz w:val="10"/>
                <w:szCs w:val="10"/>
                <w:color w:val="auto"/>
              </w:rPr>
            </w:pPr>
          </w:p>
        </w:tc>
        <w:tc>
          <w:tcPr>
            <w:tcW w:w="180" w:type="dxa"/>
            <w:vAlign w:val="bottom"/>
            <w:tcBorders>
              <w:top w:val="single" w:sz="8" w:color="auto"/>
              <w:bottom w:val="single" w:sz="8" w:color="DBDBDB"/>
            </w:tcBorders>
            <w:shd w:val="clear" w:color="auto" w:fill="DBDBDB"/>
          </w:tcPr>
          <w:p>
            <w:pPr>
              <w:spacing w:after="0"/>
              <w:rPr>
                <w:sz w:val="10"/>
                <w:szCs w:val="10"/>
                <w:color w:val="auto"/>
              </w:rPr>
            </w:pPr>
          </w:p>
        </w:tc>
        <w:tc>
          <w:tcPr>
            <w:tcW w:w="40" w:type="dxa"/>
            <w:vAlign w:val="bottom"/>
            <w:tcBorders>
              <w:top w:val="single" w:sz="8" w:color="DBDBDB"/>
              <w:bottom w:val="single" w:sz="8" w:color="DBDBDB"/>
              <w:right w:val="single" w:sz="8" w:color="DBDBDB"/>
            </w:tcBorders>
            <w:shd w:val="clear" w:color="auto" w:fill="DBDBDB"/>
          </w:tcPr>
          <w:p>
            <w:pPr>
              <w:spacing w:after="0"/>
              <w:rPr>
                <w:sz w:val="10"/>
                <w:szCs w:val="10"/>
                <w:color w:val="auto"/>
              </w:rPr>
            </w:pPr>
          </w:p>
        </w:tc>
        <w:tc>
          <w:tcPr>
            <w:tcW w:w="780" w:type="dxa"/>
            <w:vAlign w:val="bottom"/>
            <w:tcBorders>
              <w:top w:val="single" w:sz="8" w:color="DBDBDB"/>
              <w:bottom w:val="single" w:sz="8" w:color="DBDBDB"/>
            </w:tcBorders>
            <w:shd w:val="clear" w:color="auto" w:fill="DBDBDB"/>
          </w:tcPr>
          <w:p>
            <w:pPr>
              <w:spacing w:after="0"/>
              <w:rPr>
                <w:sz w:val="10"/>
                <w:szCs w:val="10"/>
                <w:color w:val="auto"/>
              </w:rPr>
            </w:pPr>
          </w:p>
        </w:tc>
        <w:tc>
          <w:tcPr>
            <w:tcW w:w="1500" w:type="dxa"/>
            <w:vAlign w:val="bottom"/>
            <w:tcBorders>
              <w:top w:val="single" w:sz="8" w:color="auto"/>
              <w:bottom w:val="single" w:sz="8" w:color="auto"/>
              <w:right w:val="single" w:sz="8" w:color="DBDBDB"/>
            </w:tcBorders>
            <w:gridSpan w:val="3"/>
            <w:shd w:val="clear" w:color="auto" w:fill="DBDBDB"/>
          </w:tcPr>
          <w:p>
            <w:pPr>
              <w:spacing w:after="0" w:line="111" w:lineRule="exact"/>
              <w:rPr>
                <w:rFonts w:ascii="Arial" w:cs="Arial" w:eastAsia="Arial" w:hAnsi="Arial"/>
                <w:sz w:val="12"/>
                <w:szCs w:val="12"/>
                <w:color w:val="auto"/>
              </w:rPr>
            </w:pPr>
            <w:hyperlink r:id="rId148">
              <w:r>
                <w:rPr>
                  <w:rFonts w:ascii="Arial" w:cs="Arial" w:eastAsia="Arial" w:hAnsi="Arial"/>
                  <w:sz w:val="12"/>
                  <w:szCs w:val="12"/>
                  <w:color w:val="auto"/>
                </w:rPr>
                <w:t>filed November 3, 2021).</w:t>
              </w:r>
            </w:hyperlink>
          </w:p>
        </w:tc>
        <w:tc>
          <w:tcPr>
            <w:tcW w:w="8300" w:type="dxa"/>
            <w:vAlign w:val="bottom"/>
            <w:tcBorders>
              <w:top w:val="single" w:sz="8" w:color="auto"/>
              <w:bottom w:val="single" w:sz="8" w:color="DBDBDB"/>
              <w:right w:val="single" w:sz="8" w:color="DBDBDB"/>
            </w:tcBorders>
            <w:gridSpan w:val="20"/>
            <w:shd w:val="clear" w:color="auto" w:fill="DBDBDB"/>
          </w:tcPr>
          <w:p>
            <w:pPr>
              <w:spacing w:after="0"/>
              <w:rPr>
                <w:sz w:val="10"/>
                <w:szCs w:val="10"/>
                <w:color w:val="auto"/>
              </w:rPr>
            </w:pPr>
          </w:p>
        </w:tc>
      </w:tr>
      <w:tr>
        <w:trPr>
          <w:trHeight w:val="142"/>
        </w:trPr>
        <w:tc>
          <w:tcPr>
            <w:tcW w:w="680" w:type="dxa"/>
            <w:vAlign w:val="bottom"/>
            <w:gridSpan w:val="3"/>
          </w:tcPr>
          <w:p>
            <w:pPr>
              <w:jc w:val="center"/>
              <w:ind w:left="354"/>
              <w:spacing w:after="0" w:line="142" w:lineRule="exact"/>
              <w:rPr>
                <w:rFonts w:ascii="Arial" w:cs="Arial" w:eastAsia="Arial" w:hAnsi="Arial"/>
                <w:sz w:val="13"/>
                <w:szCs w:val="13"/>
                <w:color w:val="auto"/>
                <w:w w:val="99"/>
              </w:rPr>
            </w:pPr>
            <w:hyperlink w:anchor="page123">
              <w:r>
                <w:rPr>
                  <w:rFonts w:ascii="Arial" w:cs="Arial" w:eastAsia="Arial" w:hAnsi="Arial"/>
                  <w:sz w:val="13"/>
                  <w:szCs w:val="13"/>
                  <w:color w:val="auto"/>
                  <w:w w:val="99"/>
                </w:rPr>
                <w:t>4.</w:t>
              </w:r>
              <w:r>
                <w:rPr>
                  <w:rFonts w:ascii="Arial" w:cs="Arial" w:eastAsia="Arial" w:hAnsi="Arial"/>
                  <w:sz w:val="13"/>
                  <w:szCs w:val="13"/>
                  <w:u w:val="single" w:color="auto"/>
                  <w:color w:val="auto"/>
                  <w:w w:val="99"/>
                </w:rPr>
                <w:t>1</w:t>
              </w:r>
            </w:hyperlink>
          </w:p>
        </w:tc>
        <w:tc>
          <w:tcPr>
            <w:tcW w:w="780" w:type="dxa"/>
            <w:vAlign w:val="bottom"/>
          </w:tcPr>
          <w:p>
            <w:pPr>
              <w:spacing w:after="0"/>
              <w:rPr>
                <w:sz w:val="12"/>
                <w:szCs w:val="12"/>
                <w:color w:val="auto"/>
              </w:rPr>
            </w:pPr>
          </w:p>
        </w:tc>
        <w:tc>
          <w:tcPr>
            <w:tcW w:w="9800" w:type="dxa"/>
            <w:vAlign w:val="bottom"/>
            <w:gridSpan w:val="23"/>
          </w:tcPr>
          <w:p>
            <w:pPr>
              <w:spacing w:after="0" w:line="142" w:lineRule="exact"/>
              <w:rPr>
                <w:rFonts w:ascii="Arial" w:cs="Arial" w:eastAsia="Arial" w:hAnsi="Arial"/>
                <w:sz w:val="13"/>
                <w:szCs w:val="13"/>
                <w:color w:val="auto"/>
              </w:rPr>
            </w:pPr>
            <w:hyperlink w:anchor="page123">
              <w:r>
                <w:rPr>
                  <w:rFonts w:ascii="Arial" w:cs="Arial" w:eastAsia="Arial" w:hAnsi="Arial"/>
                  <w:sz w:val="13"/>
                  <w:szCs w:val="13"/>
                  <w:color w:val="auto"/>
                </w:rPr>
                <w:t>Specimen Common Stock Certificate</w:t>
              </w:r>
            </w:hyperlink>
          </w:p>
        </w:tc>
      </w:tr>
      <w:tr>
        <w:trPr>
          <w:trHeight w:val="26"/>
        </w:trPr>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168"/>
        </w:trPr>
        <w:tc>
          <w:tcPr>
            <w:tcW w:w="680" w:type="dxa"/>
            <w:vAlign w:val="bottom"/>
            <w:tcBorders>
              <w:right w:val="single" w:sz="8" w:color="DBDBDB"/>
            </w:tcBorders>
            <w:gridSpan w:val="3"/>
            <w:shd w:val="clear" w:color="auto" w:fill="DBDBDB"/>
          </w:tcPr>
          <w:p>
            <w:pPr>
              <w:jc w:val="center"/>
              <w:ind w:left="354"/>
              <w:spacing w:after="0" w:line="149" w:lineRule="exact"/>
              <w:rPr>
                <w:rFonts w:ascii="Arial" w:cs="Arial" w:eastAsia="Arial" w:hAnsi="Arial"/>
                <w:sz w:val="13"/>
                <w:szCs w:val="13"/>
                <w:color w:val="auto"/>
                <w:w w:val="99"/>
              </w:rPr>
            </w:pPr>
            <w:hyperlink r:id="rId149">
              <w:r>
                <w:rPr>
                  <w:rFonts w:ascii="Arial" w:cs="Arial" w:eastAsia="Arial" w:hAnsi="Arial"/>
                  <w:sz w:val="13"/>
                  <w:szCs w:val="13"/>
                  <w:color w:val="auto"/>
                  <w:w w:val="99"/>
                </w:rPr>
                <w:t>4.</w:t>
              </w:r>
              <w:r>
                <w:rPr>
                  <w:rFonts w:ascii="Arial" w:cs="Arial" w:eastAsia="Arial" w:hAnsi="Arial"/>
                  <w:sz w:val="13"/>
                  <w:szCs w:val="13"/>
                  <w:u w:val="single" w:color="auto"/>
                  <w:color w:val="auto"/>
                  <w:w w:val="99"/>
                </w:rPr>
                <w:t>2</w:t>
              </w:r>
            </w:hyperlink>
          </w:p>
        </w:tc>
        <w:tc>
          <w:tcPr>
            <w:tcW w:w="780" w:type="dxa"/>
            <w:vAlign w:val="bottom"/>
            <w:shd w:val="clear" w:color="auto" w:fill="DBDBDB"/>
          </w:tcPr>
          <w:p>
            <w:pPr>
              <w:spacing w:after="0"/>
              <w:rPr>
                <w:sz w:val="14"/>
                <w:szCs w:val="14"/>
                <w:color w:val="auto"/>
              </w:rPr>
            </w:pPr>
          </w:p>
        </w:tc>
        <w:tc>
          <w:tcPr>
            <w:tcW w:w="9800" w:type="dxa"/>
            <w:vAlign w:val="bottom"/>
            <w:tcBorders>
              <w:right w:val="single" w:sz="8" w:color="DBDBDB"/>
            </w:tcBorders>
            <w:gridSpan w:val="23"/>
            <w:shd w:val="clear" w:color="auto" w:fill="DBDBDB"/>
          </w:tcPr>
          <w:p>
            <w:pPr>
              <w:spacing w:after="0" w:line="149" w:lineRule="exact"/>
              <w:rPr>
                <w:rFonts w:ascii="Arial" w:cs="Arial" w:eastAsia="Arial" w:hAnsi="Arial"/>
                <w:sz w:val="13"/>
                <w:szCs w:val="13"/>
                <w:color w:val="auto"/>
              </w:rPr>
            </w:pPr>
            <w:hyperlink r:id="rId149">
              <w:r>
                <w:rPr>
                  <w:rFonts w:ascii="Arial" w:cs="Arial" w:eastAsia="Arial" w:hAnsi="Arial"/>
                  <w:sz w:val="13"/>
                  <w:szCs w:val="13"/>
                  <w:color w:val="auto"/>
                </w:rPr>
                <w:t>Warrant Agreement between WillScot Corporation and Continental Stock Transfer &amp; Trust Company, dated as of August 15, 2018 (incorporated by reference to Exhibit</w:t>
              </w:r>
            </w:hyperlink>
          </w:p>
        </w:tc>
      </w:tr>
      <w:tr>
        <w:trPr>
          <w:trHeight w:val="104"/>
        </w:trPr>
        <w:tc>
          <w:tcPr>
            <w:tcW w:w="460" w:type="dxa"/>
            <w:vAlign w:val="bottom"/>
            <w:tcBorders>
              <w:top w:val="single" w:sz="8" w:color="DBDBDB"/>
              <w:bottom w:val="single" w:sz="8" w:color="DBDBDB"/>
              <w:right w:val="single" w:sz="8" w:color="DBDBDB"/>
            </w:tcBorders>
            <w:shd w:val="clear" w:color="auto" w:fill="DBDBDB"/>
          </w:tcPr>
          <w:p>
            <w:pPr>
              <w:spacing w:after="0"/>
              <w:rPr>
                <w:sz w:val="9"/>
                <w:szCs w:val="9"/>
                <w:color w:val="auto"/>
              </w:rPr>
            </w:pPr>
          </w:p>
        </w:tc>
        <w:tc>
          <w:tcPr>
            <w:tcW w:w="180" w:type="dxa"/>
            <w:vAlign w:val="bottom"/>
            <w:tcBorders>
              <w:top w:val="single" w:sz="8" w:color="auto"/>
              <w:bottom w:val="single" w:sz="8" w:color="DBDBDB"/>
            </w:tcBorders>
            <w:shd w:val="clear" w:color="auto" w:fill="DBDBDB"/>
          </w:tcPr>
          <w:p>
            <w:pPr>
              <w:spacing w:after="0"/>
              <w:rPr>
                <w:sz w:val="9"/>
                <w:szCs w:val="9"/>
                <w:color w:val="auto"/>
              </w:rPr>
            </w:pPr>
          </w:p>
        </w:tc>
        <w:tc>
          <w:tcPr>
            <w:tcW w:w="40" w:type="dxa"/>
            <w:vAlign w:val="bottom"/>
            <w:tcBorders>
              <w:top w:val="single" w:sz="8" w:color="DBDBDB"/>
              <w:bottom w:val="single" w:sz="8" w:color="DBDBDB"/>
              <w:right w:val="single" w:sz="8" w:color="DBDBDB"/>
            </w:tcBorders>
            <w:shd w:val="clear" w:color="auto" w:fill="DBDBDB"/>
          </w:tcPr>
          <w:p>
            <w:pPr>
              <w:spacing w:after="0"/>
              <w:rPr>
                <w:sz w:val="9"/>
                <w:szCs w:val="9"/>
                <w:color w:val="auto"/>
              </w:rPr>
            </w:pPr>
          </w:p>
        </w:tc>
        <w:tc>
          <w:tcPr>
            <w:tcW w:w="780" w:type="dxa"/>
            <w:vAlign w:val="bottom"/>
            <w:tcBorders>
              <w:top w:val="single" w:sz="8" w:color="DBDBDB"/>
              <w:bottom w:val="single" w:sz="8" w:color="DBDBDB"/>
            </w:tcBorders>
            <w:shd w:val="clear" w:color="auto" w:fill="DBDBDB"/>
          </w:tcPr>
          <w:p>
            <w:pPr>
              <w:spacing w:after="0"/>
              <w:rPr>
                <w:sz w:val="9"/>
                <w:szCs w:val="9"/>
                <w:color w:val="auto"/>
              </w:rPr>
            </w:pPr>
          </w:p>
        </w:tc>
        <w:tc>
          <w:tcPr>
            <w:tcW w:w="4700" w:type="dxa"/>
            <w:vAlign w:val="bottom"/>
            <w:tcBorders>
              <w:top w:val="single" w:sz="8" w:color="auto"/>
              <w:bottom w:val="single" w:sz="8" w:color="auto"/>
            </w:tcBorders>
            <w:gridSpan w:val="9"/>
            <w:shd w:val="clear" w:color="auto" w:fill="DBDBDB"/>
          </w:tcPr>
          <w:p>
            <w:pPr>
              <w:spacing w:after="0" w:line="92" w:lineRule="exact"/>
              <w:rPr>
                <w:rFonts w:ascii="Arial" w:cs="Arial" w:eastAsia="Arial" w:hAnsi="Arial"/>
                <w:sz w:val="10"/>
                <w:szCs w:val="10"/>
                <w:color w:val="auto"/>
              </w:rPr>
            </w:pPr>
            <w:hyperlink r:id="rId149">
              <w:r>
                <w:rPr>
                  <w:rFonts w:ascii="Arial" w:cs="Arial" w:eastAsia="Arial" w:hAnsi="Arial"/>
                  <w:sz w:val="10"/>
                  <w:szCs w:val="10"/>
                  <w:color w:val="auto"/>
                </w:rPr>
                <w:t>4.</w:t>
              </w:r>
              <w:r>
                <w:rPr>
                  <w:rFonts w:ascii="Arial" w:cs="Arial" w:eastAsia="Arial" w:hAnsi="Arial"/>
                  <w:sz w:val="10"/>
                  <w:szCs w:val="10"/>
                  <w:u w:val="single" w:color="auto"/>
                  <w:color w:val="auto"/>
                </w:rPr>
                <w:t>1</w:t>
              </w:r>
              <w:r>
                <w:rPr>
                  <w:rFonts w:ascii="Arial" w:cs="Arial" w:eastAsia="Arial" w:hAnsi="Arial"/>
                  <w:sz w:val="10"/>
                  <w:szCs w:val="10"/>
                  <w:color w:val="auto"/>
                </w:rPr>
                <w:t xml:space="preserve"> to WillScot Corporation's Current Report on Form 8-K, filed August 16, 2018).</w:t>
              </w:r>
            </w:hyperlink>
          </w:p>
        </w:tc>
        <w:tc>
          <w:tcPr>
            <w:tcW w:w="5100" w:type="dxa"/>
            <w:vAlign w:val="bottom"/>
            <w:tcBorders>
              <w:top w:val="single" w:sz="8" w:color="auto"/>
              <w:bottom w:val="single" w:sz="8" w:color="DBDBDB"/>
              <w:right w:val="single" w:sz="8" w:color="DBDBDB"/>
            </w:tcBorders>
            <w:gridSpan w:val="14"/>
            <w:shd w:val="clear" w:color="auto" w:fill="DBDBDB"/>
          </w:tcPr>
          <w:p>
            <w:pPr>
              <w:spacing w:after="0"/>
              <w:rPr>
                <w:sz w:val="9"/>
                <w:szCs w:val="9"/>
                <w:color w:val="auto"/>
              </w:rPr>
            </w:pPr>
          </w:p>
        </w:tc>
      </w:tr>
      <w:tr>
        <w:trPr>
          <w:trHeight w:val="142"/>
        </w:trPr>
        <w:tc>
          <w:tcPr>
            <w:tcW w:w="680" w:type="dxa"/>
            <w:vAlign w:val="bottom"/>
            <w:gridSpan w:val="3"/>
          </w:tcPr>
          <w:p>
            <w:pPr>
              <w:jc w:val="center"/>
              <w:ind w:left="354"/>
              <w:spacing w:after="0" w:line="142" w:lineRule="exact"/>
              <w:rPr>
                <w:rFonts w:ascii="Arial" w:cs="Arial" w:eastAsia="Arial" w:hAnsi="Arial"/>
                <w:sz w:val="13"/>
                <w:szCs w:val="13"/>
                <w:color w:val="auto"/>
                <w:w w:val="99"/>
              </w:rPr>
            </w:pPr>
            <w:hyperlink r:id="rId150">
              <w:r>
                <w:rPr>
                  <w:rFonts w:ascii="Arial" w:cs="Arial" w:eastAsia="Arial" w:hAnsi="Arial"/>
                  <w:sz w:val="13"/>
                  <w:szCs w:val="13"/>
                  <w:color w:val="auto"/>
                  <w:w w:val="99"/>
                </w:rPr>
                <w:t>4.</w:t>
              </w:r>
              <w:r>
                <w:rPr>
                  <w:rFonts w:ascii="Arial" w:cs="Arial" w:eastAsia="Arial" w:hAnsi="Arial"/>
                  <w:sz w:val="13"/>
                  <w:szCs w:val="13"/>
                  <w:u w:val="single" w:color="auto"/>
                  <w:color w:val="auto"/>
                  <w:w w:val="99"/>
                </w:rPr>
                <w:t>3</w:t>
              </w:r>
            </w:hyperlink>
          </w:p>
        </w:tc>
        <w:tc>
          <w:tcPr>
            <w:tcW w:w="780" w:type="dxa"/>
            <w:vAlign w:val="bottom"/>
          </w:tcPr>
          <w:p>
            <w:pPr>
              <w:spacing w:after="0"/>
              <w:rPr>
                <w:sz w:val="12"/>
                <w:szCs w:val="12"/>
                <w:color w:val="auto"/>
              </w:rPr>
            </w:pPr>
          </w:p>
        </w:tc>
        <w:tc>
          <w:tcPr>
            <w:tcW w:w="9800" w:type="dxa"/>
            <w:vAlign w:val="bottom"/>
            <w:gridSpan w:val="23"/>
          </w:tcPr>
          <w:p>
            <w:pPr>
              <w:spacing w:after="0" w:line="142" w:lineRule="exact"/>
              <w:rPr>
                <w:rFonts w:ascii="Arial" w:cs="Arial" w:eastAsia="Arial" w:hAnsi="Arial"/>
                <w:sz w:val="13"/>
                <w:szCs w:val="13"/>
                <w:color w:val="auto"/>
              </w:rPr>
            </w:pPr>
            <w:hyperlink r:id="rId150">
              <w:r>
                <w:rPr>
                  <w:rFonts w:ascii="Arial" w:cs="Arial" w:eastAsia="Arial" w:hAnsi="Arial"/>
                  <w:sz w:val="13"/>
                  <w:szCs w:val="13"/>
                  <w:color w:val="auto"/>
                </w:rPr>
                <w:t>Specimen Warrant Certificate (incorporated by reference to Exhibit 4.5 of WillScot Corporation's Registration Statement on Form S-3. filed January 24, 2019).</w:t>
              </w:r>
            </w:hyperlink>
          </w:p>
        </w:tc>
      </w:tr>
      <w:tr>
        <w:trPr>
          <w:trHeight w:val="26"/>
        </w:trPr>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148"/>
        </w:trPr>
        <w:tc>
          <w:tcPr>
            <w:tcW w:w="680" w:type="dxa"/>
            <w:vAlign w:val="bottom"/>
            <w:tcBorders>
              <w:right w:val="single" w:sz="8" w:color="DBDBDB"/>
            </w:tcBorders>
            <w:gridSpan w:val="3"/>
            <w:shd w:val="clear" w:color="auto" w:fill="DBDBDB"/>
          </w:tcPr>
          <w:p>
            <w:pPr>
              <w:jc w:val="center"/>
              <w:ind w:left="354"/>
              <w:spacing w:after="0" w:line="149" w:lineRule="exact"/>
              <w:rPr>
                <w:rFonts w:ascii="Arial" w:cs="Arial" w:eastAsia="Arial" w:hAnsi="Arial"/>
                <w:sz w:val="13"/>
                <w:szCs w:val="13"/>
                <w:color w:val="auto"/>
                <w:w w:val="99"/>
              </w:rPr>
            </w:pPr>
            <w:hyperlink r:id="rId151">
              <w:r>
                <w:rPr>
                  <w:rFonts w:ascii="Arial" w:cs="Arial" w:eastAsia="Arial" w:hAnsi="Arial"/>
                  <w:sz w:val="13"/>
                  <w:szCs w:val="13"/>
                  <w:color w:val="auto"/>
                  <w:w w:val="99"/>
                </w:rPr>
                <w:t>4.</w:t>
              </w:r>
              <w:r>
                <w:rPr>
                  <w:rFonts w:ascii="Arial" w:cs="Arial" w:eastAsia="Arial" w:hAnsi="Arial"/>
                  <w:sz w:val="13"/>
                  <w:szCs w:val="13"/>
                  <w:u w:val="single" w:color="auto"/>
                  <w:color w:val="auto"/>
                  <w:w w:val="99"/>
                </w:rPr>
                <w:t>4</w:t>
              </w:r>
            </w:hyperlink>
          </w:p>
        </w:tc>
        <w:tc>
          <w:tcPr>
            <w:tcW w:w="780" w:type="dxa"/>
            <w:vAlign w:val="bottom"/>
            <w:shd w:val="clear" w:color="auto" w:fill="DBDBDB"/>
          </w:tcPr>
          <w:p>
            <w:pPr>
              <w:spacing w:after="0"/>
              <w:rPr>
                <w:sz w:val="12"/>
                <w:szCs w:val="12"/>
                <w:color w:val="auto"/>
              </w:rPr>
            </w:pPr>
          </w:p>
        </w:tc>
        <w:tc>
          <w:tcPr>
            <w:tcW w:w="9800" w:type="dxa"/>
            <w:vAlign w:val="bottom"/>
            <w:tcBorders>
              <w:right w:val="single" w:sz="8" w:color="DBDBDB"/>
            </w:tcBorders>
            <w:gridSpan w:val="23"/>
            <w:shd w:val="clear" w:color="auto" w:fill="DBDBDB"/>
          </w:tcPr>
          <w:p>
            <w:pPr>
              <w:spacing w:after="0" w:line="149" w:lineRule="exact"/>
              <w:rPr>
                <w:rFonts w:ascii="Arial" w:cs="Arial" w:eastAsia="Arial" w:hAnsi="Arial"/>
                <w:sz w:val="13"/>
                <w:szCs w:val="13"/>
                <w:color w:val="auto"/>
              </w:rPr>
            </w:pPr>
            <w:hyperlink r:id="rId151">
              <w:r>
                <w:rPr>
                  <w:rFonts w:ascii="Arial" w:cs="Arial" w:eastAsia="Arial" w:hAnsi="Arial"/>
                  <w:sz w:val="13"/>
                  <w:szCs w:val="13"/>
                  <w:color w:val="auto"/>
                </w:rPr>
                <w:t>Indenture, dated as of June 15, 2020, by and between Picasso Finance Sub, Inc., and Deutsche Bank Trust Company Americas, as trustee (incorporated by reference</w:t>
              </w:r>
            </w:hyperlink>
          </w:p>
        </w:tc>
      </w:tr>
      <w:tr>
        <w:trPr>
          <w:trHeight w:val="124"/>
        </w:trPr>
        <w:tc>
          <w:tcPr>
            <w:tcW w:w="460" w:type="dxa"/>
            <w:vAlign w:val="bottom"/>
            <w:tcBorders>
              <w:top w:val="single" w:sz="8" w:color="DBDBDB"/>
              <w:bottom w:val="single" w:sz="8" w:color="DBDBDB"/>
              <w:right w:val="single" w:sz="8" w:color="DBDBDB"/>
            </w:tcBorders>
            <w:shd w:val="clear" w:color="auto" w:fill="DBDBDB"/>
          </w:tcPr>
          <w:p>
            <w:pPr>
              <w:spacing w:after="0"/>
              <w:rPr>
                <w:sz w:val="10"/>
                <w:szCs w:val="10"/>
                <w:color w:val="auto"/>
              </w:rPr>
            </w:pPr>
          </w:p>
        </w:tc>
        <w:tc>
          <w:tcPr>
            <w:tcW w:w="180" w:type="dxa"/>
            <w:vAlign w:val="bottom"/>
            <w:tcBorders>
              <w:top w:val="single" w:sz="8" w:color="auto"/>
              <w:bottom w:val="single" w:sz="8" w:color="DBDBDB"/>
            </w:tcBorders>
            <w:shd w:val="clear" w:color="auto" w:fill="DBDBDB"/>
          </w:tcPr>
          <w:p>
            <w:pPr>
              <w:spacing w:after="0"/>
              <w:rPr>
                <w:sz w:val="10"/>
                <w:szCs w:val="10"/>
                <w:color w:val="auto"/>
              </w:rPr>
            </w:pPr>
          </w:p>
        </w:tc>
        <w:tc>
          <w:tcPr>
            <w:tcW w:w="40" w:type="dxa"/>
            <w:vAlign w:val="bottom"/>
            <w:tcBorders>
              <w:top w:val="single" w:sz="8" w:color="DBDBDB"/>
              <w:bottom w:val="single" w:sz="8" w:color="DBDBDB"/>
              <w:right w:val="single" w:sz="8" w:color="DBDBDB"/>
            </w:tcBorders>
            <w:shd w:val="clear" w:color="auto" w:fill="DBDBDB"/>
          </w:tcPr>
          <w:p>
            <w:pPr>
              <w:spacing w:after="0"/>
              <w:rPr>
                <w:sz w:val="10"/>
                <w:szCs w:val="10"/>
                <w:color w:val="auto"/>
              </w:rPr>
            </w:pPr>
          </w:p>
        </w:tc>
        <w:tc>
          <w:tcPr>
            <w:tcW w:w="780" w:type="dxa"/>
            <w:vAlign w:val="bottom"/>
            <w:tcBorders>
              <w:top w:val="single" w:sz="8" w:color="DBDBDB"/>
              <w:bottom w:val="single" w:sz="8" w:color="DBDBDB"/>
            </w:tcBorders>
            <w:shd w:val="clear" w:color="auto" w:fill="DBDBDB"/>
          </w:tcPr>
          <w:p>
            <w:pPr>
              <w:spacing w:after="0"/>
              <w:rPr>
                <w:sz w:val="10"/>
                <w:szCs w:val="10"/>
                <w:color w:val="auto"/>
              </w:rPr>
            </w:pPr>
          </w:p>
        </w:tc>
        <w:tc>
          <w:tcPr>
            <w:tcW w:w="4680" w:type="dxa"/>
            <w:vAlign w:val="bottom"/>
            <w:tcBorders>
              <w:top w:val="single" w:sz="8" w:color="auto"/>
              <w:bottom w:val="single" w:sz="8" w:color="auto"/>
            </w:tcBorders>
            <w:gridSpan w:val="8"/>
            <w:shd w:val="clear" w:color="auto" w:fill="DBDBDB"/>
          </w:tcPr>
          <w:p>
            <w:pPr>
              <w:spacing w:after="0" w:line="111" w:lineRule="exact"/>
              <w:rPr>
                <w:rFonts w:ascii="Arial" w:cs="Arial" w:eastAsia="Arial" w:hAnsi="Arial"/>
                <w:sz w:val="12"/>
                <w:szCs w:val="12"/>
                <w:color w:val="auto"/>
              </w:rPr>
            </w:pPr>
            <w:hyperlink r:id="rId151">
              <w:r>
                <w:rPr>
                  <w:rFonts w:ascii="Arial" w:cs="Arial" w:eastAsia="Arial" w:hAnsi="Arial"/>
                  <w:sz w:val="12"/>
                  <w:szCs w:val="12"/>
                  <w:color w:val="auto"/>
                </w:rPr>
                <w:t>to Exhibit 4.1 of WillScot Corporation’s Report on Form 8-K, filed June 16, 2020).</w:t>
              </w:r>
            </w:hyperlink>
          </w:p>
        </w:tc>
        <w:tc>
          <w:tcPr>
            <w:tcW w:w="5120" w:type="dxa"/>
            <w:vAlign w:val="bottom"/>
            <w:tcBorders>
              <w:top w:val="single" w:sz="8" w:color="auto"/>
              <w:bottom w:val="single" w:sz="8" w:color="DBDBDB"/>
              <w:right w:val="single" w:sz="8" w:color="DBDBDB"/>
            </w:tcBorders>
            <w:gridSpan w:val="15"/>
            <w:shd w:val="clear" w:color="auto" w:fill="DBDBDB"/>
          </w:tcPr>
          <w:p>
            <w:pPr>
              <w:spacing w:after="0"/>
              <w:rPr>
                <w:sz w:val="10"/>
                <w:szCs w:val="10"/>
                <w:color w:val="auto"/>
              </w:rPr>
            </w:pPr>
          </w:p>
        </w:tc>
      </w:tr>
      <w:tr>
        <w:trPr>
          <w:trHeight w:val="162"/>
        </w:trPr>
        <w:tc>
          <w:tcPr>
            <w:tcW w:w="680" w:type="dxa"/>
            <w:vAlign w:val="bottom"/>
            <w:gridSpan w:val="3"/>
          </w:tcPr>
          <w:p>
            <w:pPr>
              <w:jc w:val="center"/>
              <w:ind w:left="354"/>
              <w:spacing w:after="0" w:line="142" w:lineRule="exact"/>
              <w:rPr>
                <w:rFonts w:ascii="Arial" w:cs="Arial" w:eastAsia="Arial" w:hAnsi="Arial"/>
                <w:sz w:val="13"/>
                <w:szCs w:val="13"/>
                <w:color w:val="auto"/>
                <w:w w:val="99"/>
              </w:rPr>
            </w:pPr>
            <w:hyperlink r:id="rId152">
              <w:r>
                <w:rPr>
                  <w:rFonts w:ascii="Arial" w:cs="Arial" w:eastAsia="Arial" w:hAnsi="Arial"/>
                  <w:sz w:val="13"/>
                  <w:szCs w:val="13"/>
                  <w:color w:val="auto"/>
                  <w:w w:val="99"/>
                </w:rPr>
                <w:t>4.</w:t>
              </w:r>
              <w:r>
                <w:rPr>
                  <w:rFonts w:ascii="Arial" w:cs="Arial" w:eastAsia="Arial" w:hAnsi="Arial"/>
                  <w:sz w:val="13"/>
                  <w:szCs w:val="13"/>
                  <w:u w:val="single" w:color="auto"/>
                  <w:color w:val="auto"/>
                  <w:w w:val="99"/>
                </w:rPr>
                <w:t>5</w:t>
              </w:r>
            </w:hyperlink>
          </w:p>
        </w:tc>
        <w:tc>
          <w:tcPr>
            <w:tcW w:w="780" w:type="dxa"/>
            <w:vAlign w:val="bottom"/>
          </w:tcPr>
          <w:p>
            <w:pPr>
              <w:spacing w:after="0"/>
              <w:rPr>
                <w:sz w:val="14"/>
                <w:szCs w:val="14"/>
                <w:color w:val="auto"/>
              </w:rPr>
            </w:pPr>
          </w:p>
        </w:tc>
        <w:tc>
          <w:tcPr>
            <w:tcW w:w="9800" w:type="dxa"/>
            <w:vAlign w:val="bottom"/>
            <w:gridSpan w:val="23"/>
          </w:tcPr>
          <w:p>
            <w:pPr>
              <w:spacing w:after="0" w:line="142" w:lineRule="exact"/>
              <w:rPr>
                <w:rFonts w:ascii="Arial" w:cs="Arial" w:eastAsia="Arial" w:hAnsi="Arial"/>
                <w:sz w:val="13"/>
                <w:szCs w:val="13"/>
                <w:color w:val="auto"/>
              </w:rPr>
            </w:pPr>
            <w:hyperlink r:id="rId152">
              <w:r>
                <w:rPr>
                  <w:rFonts w:ascii="Arial" w:cs="Arial" w:eastAsia="Arial" w:hAnsi="Arial"/>
                  <w:sz w:val="13"/>
                  <w:szCs w:val="13"/>
                  <w:color w:val="auto"/>
                </w:rPr>
                <w:t>Supplemental Indenture, dated July 1, 2020, to the Indenture dated June 15, 2020, by and among Williams Scotsman International, Inc. (as successor to Picasso</w:t>
              </w:r>
            </w:hyperlink>
          </w:p>
        </w:tc>
      </w:tr>
      <w:tr>
        <w:trPr>
          <w:trHeight w:val="91"/>
        </w:trPr>
        <w:tc>
          <w:tcPr>
            <w:tcW w:w="46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9320" w:type="dxa"/>
            <w:vAlign w:val="bottom"/>
            <w:tcBorders>
              <w:top w:val="single" w:sz="8" w:color="auto"/>
            </w:tcBorders>
            <w:gridSpan w:val="19"/>
          </w:tcPr>
          <w:p>
            <w:pPr>
              <w:spacing w:after="0" w:line="92" w:lineRule="exact"/>
              <w:rPr>
                <w:rFonts w:ascii="Arial" w:cs="Arial" w:eastAsia="Arial" w:hAnsi="Arial"/>
                <w:sz w:val="10"/>
                <w:szCs w:val="10"/>
                <w:color w:val="auto"/>
              </w:rPr>
            </w:pPr>
            <w:hyperlink r:id="rId152">
              <w:r>
                <w:rPr>
                  <w:rFonts w:ascii="Arial" w:cs="Arial" w:eastAsia="Arial" w:hAnsi="Arial"/>
                  <w:sz w:val="10"/>
                  <w:szCs w:val="10"/>
                  <w:color w:val="auto"/>
                </w:rPr>
                <w:t>Finance Sub, Inc.), the guarantors party thereto and Deutsche Bank Trust Company Americas, as trustee (incorporated by reference to Exhibit 4.1 to WillScot</w:t>
              </w:r>
            </w:hyperlink>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r>
      <w:tr>
        <w:trPr>
          <w:trHeight w:val="117"/>
        </w:trPr>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580" w:type="dxa"/>
            <w:vAlign w:val="bottom"/>
            <w:tcBorders>
              <w:top w:val="single" w:sz="8" w:color="auto"/>
              <w:bottom w:val="single" w:sz="8" w:color="auto"/>
            </w:tcBorders>
            <w:gridSpan w:val="7"/>
          </w:tcPr>
          <w:p>
            <w:pPr>
              <w:spacing w:after="0" w:line="111" w:lineRule="exact"/>
              <w:rPr>
                <w:rFonts w:ascii="Arial" w:cs="Arial" w:eastAsia="Arial" w:hAnsi="Arial"/>
                <w:sz w:val="12"/>
                <w:szCs w:val="12"/>
                <w:color w:val="auto"/>
              </w:rPr>
            </w:pPr>
            <w:hyperlink r:id="rId152">
              <w:r>
                <w:rPr>
                  <w:rFonts w:ascii="Arial" w:cs="Arial" w:eastAsia="Arial" w:hAnsi="Arial"/>
                  <w:sz w:val="12"/>
                  <w:szCs w:val="12"/>
                  <w:color w:val="auto"/>
                </w:rPr>
                <w:t>Corporation’s Current Report on Form 8-K, filed July 1, 2020).</w:t>
              </w:r>
            </w:hyperlink>
          </w:p>
        </w:tc>
        <w:tc>
          <w:tcPr>
            <w:tcW w:w="5560" w:type="dxa"/>
            <w:vAlign w:val="bottom"/>
            <w:tcBorders>
              <w:top w:val="single" w:sz="8" w:color="auto"/>
            </w:tcBorders>
            <w:gridSpan w:val="10"/>
          </w:tcPr>
          <w:p>
            <w:pPr>
              <w:spacing w:after="0"/>
              <w:rPr>
                <w:sz w:val="10"/>
                <w:szCs w:val="10"/>
                <w:color w:val="auto"/>
              </w:rPr>
            </w:pPr>
          </w:p>
        </w:tc>
        <w:tc>
          <w:tcPr>
            <w:tcW w:w="200" w:type="dxa"/>
            <w:vAlign w:val="bottom"/>
            <w:gridSpan w:val="3"/>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r>
      <w:tr>
        <w:trPr>
          <w:trHeight w:val="168"/>
        </w:trPr>
        <w:tc>
          <w:tcPr>
            <w:tcW w:w="680" w:type="dxa"/>
            <w:vAlign w:val="bottom"/>
            <w:tcBorders>
              <w:right w:val="single" w:sz="8" w:color="DBDBDB"/>
            </w:tcBorders>
            <w:gridSpan w:val="3"/>
            <w:shd w:val="clear" w:color="auto" w:fill="DBDBDB"/>
          </w:tcPr>
          <w:p>
            <w:pPr>
              <w:jc w:val="center"/>
              <w:ind w:left="354"/>
              <w:spacing w:after="0" w:line="149" w:lineRule="exact"/>
              <w:rPr>
                <w:rFonts w:ascii="Arial" w:cs="Arial" w:eastAsia="Arial" w:hAnsi="Arial"/>
                <w:sz w:val="13"/>
                <w:szCs w:val="13"/>
                <w:color w:val="auto"/>
                <w:w w:val="99"/>
              </w:rPr>
            </w:pPr>
            <w:hyperlink r:id="rId153">
              <w:r>
                <w:rPr>
                  <w:rFonts w:ascii="Arial" w:cs="Arial" w:eastAsia="Arial" w:hAnsi="Arial"/>
                  <w:sz w:val="13"/>
                  <w:szCs w:val="13"/>
                  <w:color w:val="auto"/>
                  <w:w w:val="99"/>
                </w:rPr>
                <w:t>4.</w:t>
              </w:r>
              <w:r>
                <w:rPr>
                  <w:rFonts w:ascii="Arial" w:cs="Arial" w:eastAsia="Arial" w:hAnsi="Arial"/>
                  <w:sz w:val="13"/>
                  <w:szCs w:val="13"/>
                  <w:u w:val="single" w:color="auto"/>
                  <w:color w:val="auto"/>
                  <w:w w:val="99"/>
                </w:rPr>
                <w:t>6</w:t>
              </w:r>
            </w:hyperlink>
          </w:p>
        </w:tc>
        <w:tc>
          <w:tcPr>
            <w:tcW w:w="780" w:type="dxa"/>
            <w:vAlign w:val="bottom"/>
            <w:shd w:val="clear" w:color="auto" w:fill="DBDBDB"/>
          </w:tcPr>
          <w:p>
            <w:pPr>
              <w:spacing w:after="0"/>
              <w:rPr>
                <w:sz w:val="14"/>
                <w:szCs w:val="14"/>
                <w:color w:val="auto"/>
              </w:rPr>
            </w:pPr>
          </w:p>
        </w:tc>
        <w:tc>
          <w:tcPr>
            <w:tcW w:w="9800" w:type="dxa"/>
            <w:vAlign w:val="bottom"/>
            <w:tcBorders>
              <w:right w:val="single" w:sz="8" w:color="DBDBDB"/>
            </w:tcBorders>
            <w:gridSpan w:val="23"/>
            <w:shd w:val="clear" w:color="auto" w:fill="DBDBDB"/>
          </w:tcPr>
          <w:p>
            <w:pPr>
              <w:spacing w:after="0" w:line="149" w:lineRule="exact"/>
              <w:rPr>
                <w:rFonts w:ascii="Arial" w:cs="Arial" w:eastAsia="Arial" w:hAnsi="Arial"/>
                <w:sz w:val="13"/>
                <w:szCs w:val="13"/>
                <w:color w:val="auto"/>
              </w:rPr>
            </w:pPr>
            <w:hyperlink r:id="rId153">
              <w:r>
                <w:rPr>
                  <w:rFonts w:ascii="Arial" w:cs="Arial" w:eastAsia="Arial" w:hAnsi="Arial"/>
                  <w:sz w:val="13"/>
                  <w:szCs w:val="13"/>
                  <w:color w:val="auto"/>
                </w:rPr>
                <w:t>Indenture, dated as of August 25, 2020, by and between Williams Scotsman International, Inc., the guarantors named therein, and Deutsche Bank Trust Company</w:t>
              </w:r>
            </w:hyperlink>
          </w:p>
        </w:tc>
      </w:tr>
      <w:tr>
        <w:trPr>
          <w:trHeight w:val="104"/>
        </w:trPr>
        <w:tc>
          <w:tcPr>
            <w:tcW w:w="460" w:type="dxa"/>
            <w:vAlign w:val="bottom"/>
            <w:tcBorders>
              <w:top w:val="single" w:sz="8" w:color="DBDBDB"/>
              <w:bottom w:val="single" w:sz="8" w:color="DBDBDB"/>
              <w:right w:val="single" w:sz="8" w:color="DBDBDB"/>
            </w:tcBorders>
            <w:shd w:val="clear" w:color="auto" w:fill="DBDBDB"/>
          </w:tcPr>
          <w:p>
            <w:pPr>
              <w:spacing w:after="0"/>
              <w:rPr>
                <w:sz w:val="9"/>
                <w:szCs w:val="9"/>
                <w:color w:val="auto"/>
              </w:rPr>
            </w:pPr>
          </w:p>
        </w:tc>
        <w:tc>
          <w:tcPr>
            <w:tcW w:w="180" w:type="dxa"/>
            <w:vAlign w:val="bottom"/>
            <w:tcBorders>
              <w:top w:val="single" w:sz="8" w:color="auto"/>
              <w:bottom w:val="single" w:sz="8" w:color="DBDBDB"/>
            </w:tcBorders>
            <w:shd w:val="clear" w:color="auto" w:fill="DBDBDB"/>
          </w:tcPr>
          <w:p>
            <w:pPr>
              <w:spacing w:after="0"/>
              <w:rPr>
                <w:sz w:val="9"/>
                <w:szCs w:val="9"/>
                <w:color w:val="auto"/>
              </w:rPr>
            </w:pPr>
          </w:p>
        </w:tc>
        <w:tc>
          <w:tcPr>
            <w:tcW w:w="40" w:type="dxa"/>
            <w:vAlign w:val="bottom"/>
            <w:tcBorders>
              <w:top w:val="single" w:sz="8" w:color="DBDBDB"/>
              <w:bottom w:val="single" w:sz="8" w:color="DBDBDB"/>
              <w:right w:val="single" w:sz="8" w:color="DBDBDB"/>
            </w:tcBorders>
            <w:shd w:val="clear" w:color="auto" w:fill="DBDBDB"/>
          </w:tcPr>
          <w:p>
            <w:pPr>
              <w:spacing w:after="0"/>
              <w:rPr>
                <w:sz w:val="9"/>
                <w:szCs w:val="9"/>
                <w:color w:val="auto"/>
              </w:rPr>
            </w:pPr>
          </w:p>
        </w:tc>
        <w:tc>
          <w:tcPr>
            <w:tcW w:w="780" w:type="dxa"/>
            <w:vAlign w:val="bottom"/>
            <w:tcBorders>
              <w:top w:val="single" w:sz="8" w:color="DBDBDB"/>
              <w:bottom w:val="single" w:sz="8" w:color="DBDBDB"/>
            </w:tcBorders>
            <w:shd w:val="clear" w:color="auto" w:fill="DBDBDB"/>
          </w:tcPr>
          <w:p>
            <w:pPr>
              <w:spacing w:after="0"/>
              <w:rPr>
                <w:sz w:val="9"/>
                <w:szCs w:val="9"/>
                <w:color w:val="auto"/>
              </w:rPr>
            </w:pPr>
          </w:p>
        </w:tc>
        <w:tc>
          <w:tcPr>
            <w:tcW w:w="8220" w:type="dxa"/>
            <w:vAlign w:val="bottom"/>
            <w:tcBorders>
              <w:top w:val="single" w:sz="8" w:color="auto"/>
              <w:bottom w:val="single" w:sz="8" w:color="auto"/>
            </w:tcBorders>
            <w:gridSpan w:val="14"/>
            <w:shd w:val="clear" w:color="auto" w:fill="DBDBDB"/>
          </w:tcPr>
          <w:p>
            <w:pPr>
              <w:spacing w:after="0" w:line="92" w:lineRule="exact"/>
              <w:rPr>
                <w:rFonts w:ascii="Arial" w:cs="Arial" w:eastAsia="Arial" w:hAnsi="Arial"/>
                <w:sz w:val="10"/>
                <w:szCs w:val="10"/>
                <w:color w:val="auto"/>
              </w:rPr>
            </w:pPr>
            <w:hyperlink r:id="rId153">
              <w:r>
                <w:rPr>
                  <w:rFonts w:ascii="Arial" w:cs="Arial" w:eastAsia="Arial" w:hAnsi="Arial"/>
                  <w:sz w:val="10"/>
                  <w:szCs w:val="10"/>
                  <w:color w:val="auto"/>
                </w:rPr>
                <w:t>Americas, as trustee (incorporated by reference to Exhibit 4.1 to WillScot Corporation’s Current Report on Form 8-K, filed on August 27, 2020.</w:t>
              </w:r>
            </w:hyperlink>
          </w:p>
        </w:tc>
        <w:tc>
          <w:tcPr>
            <w:tcW w:w="1160" w:type="dxa"/>
            <w:vAlign w:val="bottom"/>
            <w:tcBorders>
              <w:top w:val="single" w:sz="8" w:color="auto"/>
              <w:bottom w:val="single" w:sz="8" w:color="DBDBDB"/>
            </w:tcBorders>
            <w:gridSpan w:val="7"/>
            <w:shd w:val="clear" w:color="auto" w:fill="DBDBDB"/>
          </w:tcPr>
          <w:p>
            <w:pPr>
              <w:spacing w:after="0"/>
              <w:rPr>
                <w:sz w:val="9"/>
                <w:szCs w:val="9"/>
                <w:color w:val="auto"/>
              </w:rPr>
            </w:pPr>
          </w:p>
        </w:tc>
        <w:tc>
          <w:tcPr>
            <w:tcW w:w="100" w:type="dxa"/>
            <w:vAlign w:val="bottom"/>
            <w:tcBorders>
              <w:top w:val="single" w:sz="8" w:color="DBDBDB"/>
              <w:bottom w:val="single" w:sz="8" w:color="DBDBDB"/>
            </w:tcBorders>
            <w:shd w:val="clear" w:color="auto" w:fill="DBDBDB"/>
          </w:tcPr>
          <w:p>
            <w:pPr>
              <w:spacing w:after="0"/>
              <w:rPr>
                <w:sz w:val="9"/>
                <w:szCs w:val="9"/>
                <w:color w:val="auto"/>
              </w:rPr>
            </w:pPr>
          </w:p>
        </w:tc>
        <w:tc>
          <w:tcPr>
            <w:tcW w:w="320" w:type="dxa"/>
            <w:vAlign w:val="bottom"/>
            <w:tcBorders>
              <w:top w:val="single" w:sz="8" w:color="DBDBDB"/>
              <w:bottom w:val="single" w:sz="8" w:color="DBDBDB"/>
              <w:right w:val="single" w:sz="8" w:color="DBDBDB"/>
            </w:tcBorders>
            <w:shd w:val="clear" w:color="auto" w:fill="DBDBDB"/>
          </w:tcPr>
          <w:p>
            <w:pPr>
              <w:spacing w:after="0"/>
              <w:rPr>
                <w:sz w:val="9"/>
                <w:szCs w:val="9"/>
                <w:color w:val="auto"/>
              </w:rPr>
            </w:pPr>
          </w:p>
        </w:tc>
      </w:tr>
      <w:tr>
        <w:trPr>
          <w:trHeight w:val="142"/>
        </w:trPr>
        <w:tc>
          <w:tcPr>
            <w:tcW w:w="680" w:type="dxa"/>
            <w:vAlign w:val="bottom"/>
            <w:gridSpan w:val="3"/>
          </w:tcPr>
          <w:p>
            <w:pPr>
              <w:jc w:val="center"/>
              <w:ind w:left="354"/>
              <w:spacing w:after="0" w:line="142" w:lineRule="exact"/>
              <w:rPr>
                <w:rFonts w:ascii="Arial" w:cs="Arial" w:eastAsia="Arial" w:hAnsi="Arial"/>
                <w:sz w:val="13"/>
                <w:szCs w:val="13"/>
                <w:color w:val="auto"/>
                <w:w w:val="99"/>
              </w:rPr>
            </w:pPr>
            <w:hyperlink r:id="rId154">
              <w:r>
                <w:rPr>
                  <w:rFonts w:ascii="Arial" w:cs="Arial" w:eastAsia="Arial" w:hAnsi="Arial"/>
                  <w:sz w:val="13"/>
                  <w:szCs w:val="13"/>
                  <w:color w:val="auto"/>
                  <w:w w:val="99"/>
                </w:rPr>
                <w:t>4.</w:t>
              </w:r>
              <w:r>
                <w:rPr>
                  <w:rFonts w:ascii="Arial" w:cs="Arial" w:eastAsia="Arial" w:hAnsi="Arial"/>
                  <w:sz w:val="13"/>
                  <w:szCs w:val="13"/>
                  <w:u w:val="single" w:color="auto"/>
                  <w:color w:val="auto"/>
                  <w:w w:val="99"/>
                </w:rPr>
                <w:t>7</w:t>
              </w:r>
            </w:hyperlink>
          </w:p>
        </w:tc>
        <w:tc>
          <w:tcPr>
            <w:tcW w:w="780" w:type="dxa"/>
            <w:vAlign w:val="bottom"/>
          </w:tcPr>
          <w:p>
            <w:pPr>
              <w:spacing w:after="0"/>
              <w:rPr>
                <w:sz w:val="12"/>
                <w:szCs w:val="12"/>
                <w:color w:val="auto"/>
              </w:rPr>
            </w:pPr>
          </w:p>
        </w:tc>
        <w:tc>
          <w:tcPr>
            <w:tcW w:w="9800" w:type="dxa"/>
            <w:vAlign w:val="bottom"/>
            <w:gridSpan w:val="23"/>
          </w:tcPr>
          <w:p>
            <w:pPr>
              <w:spacing w:after="0" w:line="142" w:lineRule="exact"/>
              <w:rPr>
                <w:rFonts w:ascii="Arial" w:cs="Arial" w:eastAsia="Arial" w:hAnsi="Arial"/>
                <w:sz w:val="13"/>
                <w:szCs w:val="13"/>
                <w:color w:val="auto"/>
              </w:rPr>
            </w:pPr>
            <w:hyperlink r:id="rId154">
              <w:r>
                <w:rPr>
                  <w:rFonts w:ascii="Arial" w:cs="Arial" w:eastAsia="Arial" w:hAnsi="Arial"/>
                  <w:sz w:val="13"/>
                  <w:szCs w:val="13"/>
                  <w:color w:val="auto"/>
                </w:rPr>
                <w:t>Shareholders Agreement, dated July 1, 2020, by and among WillScot Mobile Mini Holdings Corp., Sapphire Holdings, S.á r.l., TDR Capital Holdings L.P. and TDR</w:t>
              </w:r>
            </w:hyperlink>
          </w:p>
        </w:tc>
      </w:tr>
      <w:tr>
        <w:trPr>
          <w:trHeight w:val="111"/>
        </w:trPr>
        <w:tc>
          <w:tcPr>
            <w:tcW w:w="4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9340" w:type="dxa"/>
            <w:vAlign w:val="bottom"/>
            <w:tcBorders>
              <w:top w:val="single" w:sz="8" w:color="auto"/>
            </w:tcBorders>
            <w:gridSpan w:val="20"/>
          </w:tcPr>
          <w:p>
            <w:pPr>
              <w:spacing w:after="0" w:line="111" w:lineRule="exact"/>
              <w:rPr>
                <w:rFonts w:ascii="Arial" w:cs="Arial" w:eastAsia="Arial" w:hAnsi="Arial"/>
                <w:sz w:val="12"/>
                <w:szCs w:val="12"/>
                <w:color w:val="auto"/>
              </w:rPr>
            </w:pPr>
            <w:hyperlink r:id="rId154">
              <w:r>
                <w:rPr>
                  <w:rFonts w:ascii="Arial" w:cs="Arial" w:eastAsia="Arial" w:hAnsi="Arial"/>
                  <w:sz w:val="12"/>
                  <w:szCs w:val="12"/>
                  <w:color w:val="auto"/>
                </w:rPr>
                <w:t>Capital, L.L.P (incorporated by reference to Exhibit 1.1 of the Company’s Current Report on Form 8-K, filed July 1, 2020).</w:t>
              </w:r>
            </w:hyperlink>
          </w:p>
        </w:tc>
        <w:tc>
          <w:tcPr>
            <w:tcW w:w="140" w:type="dxa"/>
            <w:vAlign w:val="bottom"/>
            <w:gridSpan w:val="2"/>
          </w:tcPr>
          <w:p>
            <w:pPr>
              <w:spacing w:after="0"/>
              <w:rPr>
                <w:sz w:val="9"/>
                <w:szCs w:val="9"/>
                <w:color w:val="auto"/>
              </w:rPr>
            </w:pPr>
          </w:p>
        </w:tc>
        <w:tc>
          <w:tcPr>
            <w:tcW w:w="320" w:type="dxa"/>
            <w:vAlign w:val="bottom"/>
          </w:tcPr>
          <w:p>
            <w:pPr>
              <w:spacing w:after="0"/>
              <w:rPr>
                <w:sz w:val="9"/>
                <w:szCs w:val="9"/>
                <w:color w:val="auto"/>
              </w:rPr>
            </w:pPr>
          </w:p>
        </w:tc>
      </w:tr>
      <w:tr>
        <w:trPr>
          <w:trHeight w:val="26"/>
        </w:trPr>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148"/>
        </w:trPr>
        <w:tc>
          <w:tcPr>
            <w:tcW w:w="680" w:type="dxa"/>
            <w:vAlign w:val="bottom"/>
            <w:tcBorders>
              <w:right w:val="single" w:sz="8" w:color="DBDBDB"/>
            </w:tcBorders>
            <w:gridSpan w:val="3"/>
            <w:shd w:val="clear" w:color="auto" w:fill="DBDBDB"/>
          </w:tcPr>
          <w:p>
            <w:pPr>
              <w:jc w:val="center"/>
              <w:ind w:left="354"/>
              <w:spacing w:after="0" w:line="149" w:lineRule="exact"/>
              <w:rPr>
                <w:rFonts w:ascii="Arial" w:cs="Arial" w:eastAsia="Arial" w:hAnsi="Arial"/>
                <w:sz w:val="13"/>
                <w:szCs w:val="13"/>
                <w:color w:val="auto"/>
                <w:w w:val="99"/>
              </w:rPr>
            </w:pPr>
            <w:hyperlink r:id="rId155">
              <w:r>
                <w:rPr>
                  <w:rFonts w:ascii="Arial" w:cs="Arial" w:eastAsia="Arial" w:hAnsi="Arial"/>
                  <w:sz w:val="13"/>
                  <w:szCs w:val="13"/>
                  <w:color w:val="auto"/>
                  <w:w w:val="99"/>
                </w:rPr>
                <w:t>4.</w:t>
              </w:r>
              <w:r>
                <w:rPr>
                  <w:rFonts w:ascii="Arial" w:cs="Arial" w:eastAsia="Arial" w:hAnsi="Arial"/>
                  <w:sz w:val="13"/>
                  <w:szCs w:val="13"/>
                  <w:u w:val="single" w:color="auto"/>
                  <w:color w:val="auto"/>
                  <w:w w:val="99"/>
                </w:rPr>
                <w:t>8</w:t>
              </w:r>
            </w:hyperlink>
          </w:p>
        </w:tc>
        <w:tc>
          <w:tcPr>
            <w:tcW w:w="780" w:type="dxa"/>
            <w:vAlign w:val="bottom"/>
            <w:shd w:val="clear" w:color="auto" w:fill="DBDBDB"/>
          </w:tcPr>
          <w:p>
            <w:pPr>
              <w:spacing w:after="0"/>
              <w:rPr>
                <w:sz w:val="12"/>
                <w:szCs w:val="12"/>
                <w:color w:val="auto"/>
              </w:rPr>
            </w:pPr>
          </w:p>
        </w:tc>
        <w:tc>
          <w:tcPr>
            <w:tcW w:w="9800" w:type="dxa"/>
            <w:vAlign w:val="bottom"/>
            <w:tcBorders>
              <w:right w:val="single" w:sz="8" w:color="DBDBDB"/>
            </w:tcBorders>
            <w:gridSpan w:val="23"/>
            <w:shd w:val="clear" w:color="auto" w:fill="DBDBDB"/>
          </w:tcPr>
          <w:p>
            <w:pPr>
              <w:spacing w:after="0" w:line="149" w:lineRule="exact"/>
              <w:rPr>
                <w:rFonts w:ascii="Arial" w:cs="Arial" w:eastAsia="Arial" w:hAnsi="Arial"/>
                <w:sz w:val="13"/>
                <w:szCs w:val="13"/>
                <w:color w:val="auto"/>
              </w:rPr>
            </w:pPr>
            <w:hyperlink r:id="rId155">
              <w:r>
                <w:rPr>
                  <w:rFonts w:ascii="Arial" w:cs="Arial" w:eastAsia="Arial" w:hAnsi="Arial"/>
                  <w:sz w:val="13"/>
                  <w:szCs w:val="13"/>
                  <w:color w:val="auto"/>
                </w:rPr>
                <w:t>Second Supplemental Indenture, dated December 23, 2021, to the Indenture dated June 15, 2020, by and among Williams Scotsman, Inc., the guarantors party thereto</w:t>
              </w:r>
            </w:hyperlink>
          </w:p>
        </w:tc>
      </w:tr>
      <w:tr>
        <w:trPr>
          <w:trHeight w:val="111"/>
        </w:trPr>
        <w:tc>
          <w:tcPr>
            <w:tcW w:w="460" w:type="dxa"/>
            <w:vAlign w:val="bottom"/>
            <w:tcBorders>
              <w:top w:val="single" w:sz="8" w:color="DBDBDB"/>
              <w:right w:val="single" w:sz="8" w:color="DBDBDB"/>
            </w:tcBorders>
            <w:shd w:val="clear" w:color="auto" w:fill="DBDBDB"/>
          </w:tcPr>
          <w:p>
            <w:pPr>
              <w:spacing w:after="0"/>
              <w:rPr>
                <w:sz w:val="9"/>
                <w:szCs w:val="9"/>
                <w:color w:val="auto"/>
              </w:rPr>
            </w:pPr>
          </w:p>
        </w:tc>
        <w:tc>
          <w:tcPr>
            <w:tcW w:w="180" w:type="dxa"/>
            <w:vAlign w:val="bottom"/>
            <w:tcBorders>
              <w:top w:val="single" w:sz="8" w:color="auto"/>
            </w:tcBorders>
            <w:shd w:val="clear" w:color="auto" w:fill="DBDBDB"/>
          </w:tcPr>
          <w:p>
            <w:pPr>
              <w:spacing w:after="0"/>
              <w:rPr>
                <w:sz w:val="9"/>
                <w:szCs w:val="9"/>
                <w:color w:val="auto"/>
              </w:rPr>
            </w:pPr>
          </w:p>
        </w:tc>
        <w:tc>
          <w:tcPr>
            <w:tcW w:w="40" w:type="dxa"/>
            <w:vAlign w:val="bottom"/>
            <w:tcBorders>
              <w:top w:val="single" w:sz="8" w:color="DBDBDB"/>
              <w:right w:val="single" w:sz="8" w:color="DBDBDB"/>
            </w:tcBorders>
            <w:shd w:val="clear" w:color="auto" w:fill="DBDBDB"/>
          </w:tcPr>
          <w:p>
            <w:pPr>
              <w:spacing w:after="0"/>
              <w:rPr>
                <w:sz w:val="9"/>
                <w:szCs w:val="9"/>
                <w:color w:val="auto"/>
              </w:rPr>
            </w:pPr>
          </w:p>
        </w:tc>
        <w:tc>
          <w:tcPr>
            <w:tcW w:w="780" w:type="dxa"/>
            <w:vAlign w:val="bottom"/>
            <w:tcBorders>
              <w:top w:val="single" w:sz="8" w:color="DBDBDB"/>
            </w:tcBorders>
            <w:shd w:val="clear" w:color="auto" w:fill="DBDBDB"/>
          </w:tcPr>
          <w:p>
            <w:pPr>
              <w:spacing w:after="0"/>
              <w:rPr>
                <w:sz w:val="9"/>
                <w:szCs w:val="9"/>
                <w:color w:val="auto"/>
              </w:rPr>
            </w:pPr>
          </w:p>
        </w:tc>
        <w:tc>
          <w:tcPr>
            <w:tcW w:w="9800" w:type="dxa"/>
            <w:vAlign w:val="bottom"/>
            <w:tcBorders>
              <w:top w:val="single" w:sz="8" w:color="auto"/>
              <w:right w:val="single" w:sz="8" w:color="DBDBDB"/>
            </w:tcBorders>
            <w:gridSpan w:val="23"/>
            <w:shd w:val="clear" w:color="auto" w:fill="DBDBDB"/>
          </w:tcPr>
          <w:p>
            <w:pPr>
              <w:spacing w:after="0" w:line="111" w:lineRule="exact"/>
              <w:rPr>
                <w:rFonts w:ascii="Arial" w:cs="Arial" w:eastAsia="Arial" w:hAnsi="Arial"/>
                <w:sz w:val="12"/>
                <w:szCs w:val="12"/>
                <w:color w:val="auto"/>
              </w:rPr>
            </w:pPr>
            <w:hyperlink r:id="rId155">
              <w:r>
                <w:rPr>
                  <w:rFonts w:ascii="Arial" w:cs="Arial" w:eastAsia="Arial" w:hAnsi="Arial"/>
                  <w:sz w:val="12"/>
                  <w:szCs w:val="12"/>
                  <w:color w:val="auto"/>
                </w:rPr>
                <w:t>and Deutsche Bank Trust Company Americas, as trustee and collateral agent (incorporated by reference to Exhibit 4.1 of the Company’s Current Report on Form 8-K,</w:t>
              </w:r>
            </w:hyperlink>
          </w:p>
        </w:tc>
      </w:tr>
      <w:tr>
        <w:trPr>
          <w:trHeight w:val="111"/>
        </w:trPr>
        <w:tc>
          <w:tcPr>
            <w:tcW w:w="460" w:type="dxa"/>
            <w:vAlign w:val="bottom"/>
            <w:tcBorders>
              <w:top w:val="single" w:sz="8" w:color="DBDBDB"/>
              <w:right w:val="single" w:sz="8" w:color="DBDBDB"/>
            </w:tcBorders>
            <w:shd w:val="clear" w:color="auto" w:fill="DBDBDB"/>
          </w:tcPr>
          <w:p>
            <w:pPr>
              <w:spacing w:after="0"/>
              <w:rPr>
                <w:sz w:val="9"/>
                <w:szCs w:val="9"/>
                <w:color w:val="auto"/>
              </w:rPr>
            </w:pPr>
          </w:p>
        </w:tc>
        <w:tc>
          <w:tcPr>
            <w:tcW w:w="180" w:type="dxa"/>
            <w:vAlign w:val="bottom"/>
            <w:tcBorders>
              <w:top w:val="single" w:sz="8" w:color="DBDBDB"/>
            </w:tcBorders>
            <w:shd w:val="clear" w:color="auto" w:fill="DBDBDB"/>
          </w:tcPr>
          <w:p>
            <w:pPr>
              <w:spacing w:after="0"/>
              <w:rPr>
                <w:sz w:val="9"/>
                <w:szCs w:val="9"/>
                <w:color w:val="auto"/>
              </w:rPr>
            </w:pPr>
          </w:p>
        </w:tc>
        <w:tc>
          <w:tcPr>
            <w:tcW w:w="40" w:type="dxa"/>
            <w:vAlign w:val="bottom"/>
            <w:tcBorders>
              <w:top w:val="single" w:sz="8" w:color="DBDBDB"/>
              <w:right w:val="single" w:sz="8" w:color="DBDBDB"/>
            </w:tcBorders>
            <w:shd w:val="clear" w:color="auto" w:fill="DBDBDB"/>
          </w:tcPr>
          <w:p>
            <w:pPr>
              <w:spacing w:after="0"/>
              <w:rPr>
                <w:sz w:val="9"/>
                <w:szCs w:val="9"/>
                <w:color w:val="auto"/>
              </w:rPr>
            </w:pPr>
          </w:p>
        </w:tc>
        <w:tc>
          <w:tcPr>
            <w:tcW w:w="780" w:type="dxa"/>
            <w:vAlign w:val="bottom"/>
            <w:tcBorders>
              <w:top w:val="single" w:sz="8" w:color="DBDBDB"/>
            </w:tcBorders>
            <w:shd w:val="clear" w:color="auto" w:fill="DBDBDB"/>
          </w:tcPr>
          <w:p>
            <w:pPr>
              <w:spacing w:after="0"/>
              <w:rPr>
                <w:sz w:val="9"/>
                <w:szCs w:val="9"/>
                <w:color w:val="auto"/>
              </w:rPr>
            </w:pPr>
          </w:p>
        </w:tc>
        <w:tc>
          <w:tcPr>
            <w:tcW w:w="9800" w:type="dxa"/>
            <w:vAlign w:val="bottom"/>
            <w:tcBorders>
              <w:top w:val="single" w:sz="8" w:color="auto"/>
              <w:right w:val="single" w:sz="8" w:color="DBDBDB"/>
            </w:tcBorders>
            <w:gridSpan w:val="23"/>
            <w:shd w:val="clear" w:color="auto" w:fill="DBDBDB"/>
          </w:tcPr>
          <w:p>
            <w:pPr>
              <w:spacing w:after="0" w:line="111" w:lineRule="exact"/>
              <w:rPr>
                <w:rFonts w:ascii="Arial" w:cs="Arial" w:eastAsia="Arial" w:hAnsi="Arial"/>
                <w:sz w:val="12"/>
                <w:szCs w:val="12"/>
                <w:color w:val="auto"/>
              </w:rPr>
            </w:pPr>
            <w:hyperlink r:id="rId155">
              <w:r>
                <w:rPr>
                  <w:rFonts w:ascii="Arial" w:cs="Arial" w:eastAsia="Arial" w:hAnsi="Arial"/>
                  <w:sz w:val="12"/>
                  <w:szCs w:val="12"/>
                  <w:color w:val="auto"/>
                </w:rPr>
                <w:t>filed December 27, 2021).</w:t>
              </w:r>
            </w:hyperlink>
          </w:p>
        </w:tc>
      </w:tr>
      <w:tr>
        <w:trPr>
          <w:trHeight w:val="33"/>
        </w:trPr>
        <w:tc>
          <w:tcPr>
            <w:tcW w:w="460" w:type="dxa"/>
            <w:vAlign w:val="bottom"/>
            <w:tcBorders>
              <w:right w:val="single" w:sz="8" w:color="DBDBDB"/>
            </w:tcBorders>
            <w:shd w:val="clear" w:color="auto" w:fill="DBDBDB"/>
          </w:tcPr>
          <w:p>
            <w:pPr>
              <w:spacing w:after="0"/>
              <w:rPr>
                <w:sz w:val="2"/>
                <w:szCs w:val="2"/>
                <w:color w:val="auto"/>
              </w:rPr>
            </w:pPr>
          </w:p>
        </w:tc>
        <w:tc>
          <w:tcPr>
            <w:tcW w:w="180" w:type="dxa"/>
            <w:vAlign w:val="bottom"/>
            <w:shd w:val="clear" w:color="auto" w:fill="DBDBDB"/>
          </w:tcPr>
          <w:p>
            <w:pPr>
              <w:spacing w:after="0"/>
              <w:rPr>
                <w:sz w:val="2"/>
                <w:szCs w:val="2"/>
                <w:color w:val="auto"/>
              </w:rPr>
            </w:pPr>
          </w:p>
        </w:tc>
        <w:tc>
          <w:tcPr>
            <w:tcW w:w="40" w:type="dxa"/>
            <w:vAlign w:val="bottom"/>
            <w:tcBorders>
              <w:right w:val="single" w:sz="8" w:color="DBDBDB"/>
            </w:tcBorders>
            <w:shd w:val="clear" w:color="auto" w:fill="DBDBDB"/>
          </w:tcPr>
          <w:p>
            <w:pPr>
              <w:spacing w:after="0"/>
              <w:rPr>
                <w:sz w:val="2"/>
                <w:szCs w:val="2"/>
                <w:color w:val="auto"/>
              </w:rPr>
            </w:pPr>
          </w:p>
        </w:tc>
        <w:tc>
          <w:tcPr>
            <w:tcW w:w="780" w:type="dxa"/>
            <w:vAlign w:val="bottom"/>
            <w:shd w:val="clear" w:color="auto" w:fill="DBDBDB"/>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640" w:type="dxa"/>
            <w:vAlign w:val="bottom"/>
            <w:tcBorders>
              <w:right w:val="single" w:sz="8" w:color="DBDBDB"/>
            </w:tcBorders>
            <w:shd w:val="clear" w:color="auto" w:fill="DBDBDB"/>
          </w:tcPr>
          <w:p>
            <w:pPr>
              <w:spacing w:after="0"/>
              <w:rPr>
                <w:sz w:val="2"/>
                <w:szCs w:val="2"/>
                <w:color w:val="auto"/>
              </w:rPr>
            </w:pPr>
          </w:p>
        </w:tc>
        <w:tc>
          <w:tcPr>
            <w:tcW w:w="340" w:type="dxa"/>
            <w:vAlign w:val="bottom"/>
            <w:shd w:val="clear" w:color="auto" w:fill="DBDBDB"/>
          </w:tcPr>
          <w:p>
            <w:pPr>
              <w:spacing w:after="0"/>
              <w:rPr>
                <w:sz w:val="2"/>
                <w:szCs w:val="2"/>
                <w:color w:val="auto"/>
              </w:rPr>
            </w:pPr>
          </w:p>
        </w:tc>
        <w:tc>
          <w:tcPr>
            <w:tcW w:w="220" w:type="dxa"/>
            <w:vAlign w:val="bottom"/>
            <w:shd w:val="clear" w:color="auto" w:fill="DBDBDB"/>
          </w:tcPr>
          <w:p>
            <w:pPr>
              <w:spacing w:after="0"/>
              <w:rPr>
                <w:sz w:val="2"/>
                <w:szCs w:val="2"/>
                <w:color w:val="auto"/>
              </w:rPr>
            </w:pPr>
          </w:p>
        </w:tc>
        <w:tc>
          <w:tcPr>
            <w:tcW w:w="880" w:type="dxa"/>
            <w:vAlign w:val="bottom"/>
            <w:shd w:val="clear" w:color="auto" w:fill="DBDBDB"/>
          </w:tcPr>
          <w:p>
            <w:pPr>
              <w:spacing w:after="0"/>
              <w:rPr>
                <w:sz w:val="2"/>
                <w:szCs w:val="2"/>
                <w:color w:val="auto"/>
              </w:rPr>
            </w:pPr>
          </w:p>
        </w:tc>
        <w:tc>
          <w:tcPr>
            <w:tcW w:w="110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108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880" w:type="dxa"/>
            <w:vAlign w:val="bottom"/>
            <w:shd w:val="clear" w:color="auto" w:fill="DBDBDB"/>
          </w:tcPr>
          <w:p>
            <w:pPr>
              <w:spacing w:after="0"/>
              <w:rPr>
                <w:sz w:val="2"/>
                <w:szCs w:val="2"/>
                <w:color w:val="auto"/>
              </w:rPr>
            </w:pPr>
          </w:p>
        </w:tc>
        <w:tc>
          <w:tcPr>
            <w:tcW w:w="122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340" w:type="dxa"/>
            <w:vAlign w:val="bottom"/>
            <w:shd w:val="clear" w:color="auto" w:fill="DBDBDB"/>
          </w:tcPr>
          <w:p>
            <w:pPr>
              <w:spacing w:after="0"/>
              <w:rPr>
                <w:sz w:val="2"/>
                <w:szCs w:val="2"/>
                <w:color w:val="auto"/>
              </w:rPr>
            </w:pPr>
          </w:p>
        </w:tc>
        <w:tc>
          <w:tcPr>
            <w:tcW w:w="460" w:type="dxa"/>
            <w:vAlign w:val="bottom"/>
            <w:tcBorders>
              <w:right w:val="single" w:sz="8" w:color="DBDBDB"/>
            </w:tcBorders>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6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320" w:type="dxa"/>
            <w:vAlign w:val="bottom"/>
            <w:tcBorders>
              <w:right w:val="single" w:sz="8" w:color="DBDBDB"/>
            </w:tcBorders>
            <w:shd w:val="clear" w:color="auto" w:fill="DBDBDB"/>
          </w:tcPr>
          <w:p>
            <w:pPr>
              <w:spacing w:after="0"/>
              <w:rPr>
                <w:sz w:val="2"/>
                <w:szCs w:val="2"/>
                <w:color w:val="auto"/>
              </w:rPr>
            </w:pPr>
          </w:p>
        </w:tc>
      </w:tr>
      <w:tr>
        <w:trPr>
          <w:trHeight w:val="162"/>
        </w:trPr>
        <w:tc>
          <w:tcPr>
            <w:tcW w:w="680" w:type="dxa"/>
            <w:vAlign w:val="bottom"/>
            <w:gridSpan w:val="3"/>
          </w:tcPr>
          <w:p>
            <w:pPr>
              <w:jc w:val="center"/>
              <w:ind w:left="354"/>
              <w:spacing w:after="0" w:line="142" w:lineRule="exact"/>
              <w:rPr>
                <w:rFonts w:ascii="Arial" w:cs="Arial" w:eastAsia="Arial" w:hAnsi="Arial"/>
                <w:sz w:val="13"/>
                <w:szCs w:val="13"/>
                <w:color w:val="auto"/>
                <w:w w:val="99"/>
              </w:rPr>
            </w:pPr>
            <w:hyperlink r:id="rId156">
              <w:r>
                <w:rPr>
                  <w:rFonts w:ascii="Arial" w:cs="Arial" w:eastAsia="Arial" w:hAnsi="Arial"/>
                  <w:sz w:val="13"/>
                  <w:szCs w:val="13"/>
                  <w:color w:val="auto"/>
                  <w:w w:val="99"/>
                </w:rPr>
                <w:t>4.</w:t>
              </w:r>
              <w:r>
                <w:rPr>
                  <w:rFonts w:ascii="Arial" w:cs="Arial" w:eastAsia="Arial" w:hAnsi="Arial"/>
                  <w:sz w:val="13"/>
                  <w:szCs w:val="13"/>
                  <w:u w:val="single" w:color="auto"/>
                  <w:color w:val="auto"/>
                  <w:w w:val="99"/>
                </w:rPr>
                <w:t>9</w:t>
              </w:r>
            </w:hyperlink>
          </w:p>
        </w:tc>
        <w:tc>
          <w:tcPr>
            <w:tcW w:w="780" w:type="dxa"/>
            <w:vAlign w:val="bottom"/>
          </w:tcPr>
          <w:p>
            <w:pPr>
              <w:spacing w:after="0"/>
              <w:rPr>
                <w:sz w:val="14"/>
                <w:szCs w:val="14"/>
                <w:color w:val="auto"/>
              </w:rPr>
            </w:pPr>
          </w:p>
        </w:tc>
        <w:tc>
          <w:tcPr>
            <w:tcW w:w="9800" w:type="dxa"/>
            <w:vAlign w:val="bottom"/>
            <w:gridSpan w:val="23"/>
          </w:tcPr>
          <w:p>
            <w:pPr>
              <w:spacing w:after="0" w:line="142" w:lineRule="exact"/>
              <w:rPr>
                <w:rFonts w:ascii="Arial" w:cs="Arial" w:eastAsia="Arial" w:hAnsi="Arial"/>
                <w:sz w:val="13"/>
                <w:szCs w:val="13"/>
                <w:color w:val="auto"/>
              </w:rPr>
            </w:pPr>
            <w:hyperlink r:id="rId156">
              <w:r>
                <w:rPr>
                  <w:rFonts w:ascii="Arial" w:cs="Arial" w:eastAsia="Arial" w:hAnsi="Arial"/>
                  <w:sz w:val="13"/>
                  <w:szCs w:val="13"/>
                  <w:color w:val="auto"/>
                </w:rPr>
                <w:t>First Supplemental Indenture, dated December 23, 2021, to the Indenture dated August 25, 2020, by and among Williams Scotsman, Inc., the guarantors party thereto</w:t>
              </w:r>
            </w:hyperlink>
          </w:p>
        </w:tc>
      </w:tr>
      <w:tr>
        <w:trPr>
          <w:trHeight w:val="91"/>
        </w:trPr>
        <w:tc>
          <w:tcPr>
            <w:tcW w:w="46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9800" w:type="dxa"/>
            <w:vAlign w:val="bottom"/>
            <w:tcBorders>
              <w:top w:val="single" w:sz="8" w:color="auto"/>
            </w:tcBorders>
            <w:gridSpan w:val="23"/>
          </w:tcPr>
          <w:p>
            <w:pPr>
              <w:spacing w:after="0" w:line="92" w:lineRule="exact"/>
              <w:rPr>
                <w:rFonts w:ascii="Arial" w:cs="Arial" w:eastAsia="Arial" w:hAnsi="Arial"/>
                <w:sz w:val="10"/>
                <w:szCs w:val="10"/>
                <w:color w:val="auto"/>
              </w:rPr>
            </w:pPr>
            <w:hyperlink r:id="rId156">
              <w:r>
                <w:rPr>
                  <w:rFonts w:ascii="Arial" w:cs="Arial" w:eastAsia="Arial" w:hAnsi="Arial"/>
                  <w:sz w:val="10"/>
                  <w:szCs w:val="10"/>
                  <w:color w:val="auto"/>
                </w:rPr>
                <w:t>and Deutsche Bank Trust Company Americas, as trustee and collateral agent (incorporated by reference to Exhibit 4.2 of the Company’s Current Report on Form 8-K,</w:t>
              </w:r>
            </w:hyperlink>
          </w:p>
        </w:tc>
      </w:tr>
      <w:tr>
        <w:trPr>
          <w:trHeight w:val="111"/>
        </w:trPr>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9800" w:type="dxa"/>
            <w:vAlign w:val="bottom"/>
            <w:tcBorders>
              <w:top w:val="single" w:sz="8" w:color="auto"/>
            </w:tcBorders>
            <w:gridSpan w:val="23"/>
          </w:tcPr>
          <w:p>
            <w:pPr>
              <w:spacing w:after="0" w:line="111" w:lineRule="exact"/>
              <w:rPr>
                <w:rFonts w:ascii="Arial" w:cs="Arial" w:eastAsia="Arial" w:hAnsi="Arial"/>
                <w:sz w:val="12"/>
                <w:szCs w:val="12"/>
                <w:color w:val="auto"/>
              </w:rPr>
            </w:pPr>
            <w:hyperlink r:id="rId156">
              <w:r>
                <w:rPr>
                  <w:rFonts w:ascii="Arial" w:cs="Arial" w:eastAsia="Arial" w:hAnsi="Arial"/>
                  <w:sz w:val="12"/>
                  <w:szCs w:val="12"/>
                  <w:color w:val="auto"/>
                </w:rPr>
                <w:t>filed December 27, 2021).</w:t>
              </w:r>
            </w:hyperlink>
          </w:p>
        </w:tc>
      </w:tr>
      <w:tr>
        <w:trPr>
          <w:trHeight w:val="26"/>
        </w:trPr>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148"/>
        </w:trPr>
        <w:tc>
          <w:tcPr>
            <w:tcW w:w="1460" w:type="dxa"/>
            <w:vAlign w:val="bottom"/>
            <w:gridSpan w:val="4"/>
            <w:shd w:val="clear" w:color="auto" w:fill="DBDBDB"/>
          </w:tcPr>
          <w:p>
            <w:pPr>
              <w:jc w:val="center"/>
              <w:ind w:right="360"/>
              <w:spacing w:after="0" w:line="149" w:lineRule="exact"/>
              <w:rPr>
                <w:rFonts w:ascii="Arial" w:cs="Arial" w:eastAsia="Arial" w:hAnsi="Arial"/>
                <w:sz w:val="13"/>
                <w:szCs w:val="13"/>
                <w:color w:val="auto"/>
              </w:rPr>
            </w:pPr>
            <w:hyperlink w:anchor="page125">
              <w:r>
                <w:rPr>
                  <w:rFonts w:ascii="Arial" w:cs="Arial" w:eastAsia="Arial" w:hAnsi="Arial"/>
                  <w:sz w:val="13"/>
                  <w:szCs w:val="13"/>
                  <w:color w:val="auto"/>
                </w:rPr>
                <w:t>4.</w:t>
              </w:r>
              <w:r>
                <w:rPr>
                  <w:rFonts w:ascii="Arial" w:cs="Arial" w:eastAsia="Arial" w:hAnsi="Arial"/>
                  <w:sz w:val="13"/>
                  <w:szCs w:val="13"/>
                  <w:u w:val="single" w:color="auto"/>
                  <w:color w:val="auto"/>
                </w:rPr>
                <w:t>10</w:t>
              </w:r>
            </w:hyperlink>
          </w:p>
        </w:tc>
        <w:tc>
          <w:tcPr>
            <w:tcW w:w="9800" w:type="dxa"/>
            <w:vAlign w:val="bottom"/>
            <w:tcBorders>
              <w:right w:val="single" w:sz="8" w:color="DBDBDB"/>
            </w:tcBorders>
            <w:gridSpan w:val="23"/>
            <w:shd w:val="clear" w:color="auto" w:fill="DBDBDB"/>
          </w:tcPr>
          <w:p>
            <w:pPr>
              <w:spacing w:after="0" w:line="149" w:lineRule="exact"/>
              <w:rPr>
                <w:rFonts w:ascii="Arial" w:cs="Arial" w:eastAsia="Arial" w:hAnsi="Arial"/>
                <w:sz w:val="13"/>
                <w:szCs w:val="13"/>
                <w:color w:val="auto"/>
              </w:rPr>
            </w:pPr>
            <w:hyperlink w:anchor="page125">
              <w:r>
                <w:rPr>
                  <w:rFonts w:ascii="Arial" w:cs="Arial" w:eastAsia="Arial" w:hAnsi="Arial"/>
                  <w:sz w:val="13"/>
                  <w:szCs w:val="13"/>
                  <w:color w:val="auto"/>
                </w:rPr>
                <w:t>Description of Registered Securities</w:t>
              </w:r>
            </w:hyperlink>
          </w:p>
        </w:tc>
      </w:tr>
      <w:tr>
        <w:trPr>
          <w:trHeight w:val="33"/>
        </w:trPr>
        <w:tc>
          <w:tcPr>
            <w:tcW w:w="460" w:type="dxa"/>
            <w:vAlign w:val="bottom"/>
            <w:tcBorders>
              <w:right w:val="single" w:sz="8" w:color="auto"/>
            </w:tcBorders>
            <w:shd w:val="clear" w:color="auto" w:fill="DBDBDB"/>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780" w:type="dxa"/>
            <w:vAlign w:val="bottom"/>
            <w:shd w:val="clear" w:color="auto" w:fill="DBDBDB"/>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640" w:type="dxa"/>
            <w:vAlign w:val="bottom"/>
            <w:tcBorders>
              <w:right w:val="single" w:sz="8" w:color="DBDBDB"/>
            </w:tcBorders>
            <w:shd w:val="clear" w:color="auto" w:fill="000000"/>
          </w:tcPr>
          <w:p>
            <w:pPr>
              <w:spacing w:after="0"/>
              <w:rPr>
                <w:sz w:val="2"/>
                <w:szCs w:val="2"/>
                <w:color w:val="auto"/>
              </w:rPr>
            </w:pPr>
          </w:p>
        </w:tc>
        <w:tc>
          <w:tcPr>
            <w:tcW w:w="340" w:type="dxa"/>
            <w:vAlign w:val="bottom"/>
            <w:shd w:val="clear" w:color="auto" w:fill="DBDBDB"/>
          </w:tcPr>
          <w:p>
            <w:pPr>
              <w:spacing w:after="0"/>
              <w:rPr>
                <w:sz w:val="2"/>
                <w:szCs w:val="2"/>
                <w:color w:val="auto"/>
              </w:rPr>
            </w:pPr>
          </w:p>
        </w:tc>
        <w:tc>
          <w:tcPr>
            <w:tcW w:w="220" w:type="dxa"/>
            <w:vAlign w:val="bottom"/>
            <w:shd w:val="clear" w:color="auto" w:fill="DBDBDB"/>
          </w:tcPr>
          <w:p>
            <w:pPr>
              <w:spacing w:after="0"/>
              <w:rPr>
                <w:sz w:val="2"/>
                <w:szCs w:val="2"/>
                <w:color w:val="auto"/>
              </w:rPr>
            </w:pPr>
          </w:p>
        </w:tc>
        <w:tc>
          <w:tcPr>
            <w:tcW w:w="880" w:type="dxa"/>
            <w:vAlign w:val="bottom"/>
            <w:shd w:val="clear" w:color="auto" w:fill="DBDBDB"/>
          </w:tcPr>
          <w:p>
            <w:pPr>
              <w:spacing w:after="0"/>
              <w:rPr>
                <w:sz w:val="2"/>
                <w:szCs w:val="2"/>
                <w:color w:val="auto"/>
              </w:rPr>
            </w:pPr>
          </w:p>
        </w:tc>
        <w:tc>
          <w:tcPr>
            <w:tcW w:w="110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108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880" w:type="dxa"/>
            <w:vAlign w:val="bottom"/>
            <w:shd w:val="clear" w:color="auto" w:fill="DBDBDB"/>
          </w:tcPr>
          <w:p>
            <w:pPr>
              <w:spacing w:after="0"/>
              <w:rPr>
                <w:sz w:val="2"/>
                <w:szCs w:val="2"/>
                <w:color w:val="auto"/>
              </w:rPr>
            </w:pPr>
          </w:p>
        </w:tc>
        <w:tc>
          <w:tcPr>
            <w:tcW w:w="122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340" w:type="dxa"/>
            <w:vAlign w:val="bottom"/>
            <w:shd w:val="clear" w:color="auto" w:fill="DBDBDB"/>
          </w:tcPr>
          <w:p>
            <w:pPr>
              <w:spacing w:after="0"/>
              <w:rPr>
                <w:sz w:val="2"/>
                <w:szCs w:val="2"/>
                <w:color w:val="auto"/>
              </w:rPr>
            </w:pPr>
          </w:p>
        </w:tc>
        <w:tc>
          <w:tcPr>
            <w:tcW w:w="460" w:type="dxa"/>
            <w:vAlign w:val="bottom"/>
            <w:tcBorders>
              <w:right w:val="single" w:sz="8" w:color="DBDBDB"/>
            </w:tcBorders>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6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320" w:type="dxa"/>
            <w:vAlign w:val="bottom"/>
            <w:tcBorders>
              <w:right w:val="single" w:sz="8" w:color="DBDBDB"/>
            </w:tcBorders>
            <w:shd w:val="clear" w:color="auto" w:fill="DBDBDB"/>
          </w:tcPr>
          <w:p>
            <w:pPr>
              <w:spacing w:after="0"/>
              <w:rPr>
                <w:sz w:val="2"/>
                <w:szCs w:val="2"/>
                <w:color w:val="auto"/>
              </w:rPr>
            </w:pPr>
          </w:p>
        </w:tc>
      </w:tr>
      <w:tr>
        <w:trPr>
          <w:trHeight w:val="142"/>
        </w:trPr>
        <w:tc>
          <w:tcPr>
            <w:tcW w:w="1460" w:type="dxa"/>
            <w:vAlign w:val="bottom"/>
            <w:gridSpan w:val="4"/>
          </w:tcPr>
          <w:p>
            <w:pPr>
              <w:jc w:val="center"/>
              <w:ind w:right="360"/>
              <w:spacing w:after="0" w:line="142" w:lineRule="exact"/>
              <w:rPr>
                <w:rFonts w:ascii="Arial" w:cs="Arial" w:eastAsia="Arial" w:hAnsi="Arial"/>
                <w:sz w:val="13"/>
                <w:szCs w:val="13"/>
                <w:color w:val="auto"/>
              </w:rPr>
            </w:pPr>
            <w:hyperlink r:id="rId157">
              <w:r>
                <w:rPr>
                  <w:rFonts w:ascii="Arial" w:cs="Arial" w:eastAsia="Arial" w:hAnsi="Arial"/>
                  <w:sz w:val="13"/>
                  <w:szCs w:val="13"/>
                  <w:color w:val="auto"/>
                </w:rPr>
                <w:t>10.</w:t>
              </w:r>
              <w:r>
                <w:rPr>
                  <w:rFonts w:ascii="Arial" w:cs="Arial" w:eastAsia="Arial" w:hAnsi="Arial"/>
                  <w:sz w:val="13"/>
                  <w:szCs w:val="13"/>
                  <w:u w:val="single" w:color="auto"/>
                  <w:color w:val="auto"/>
                </w:rPr>
                <w:t>1</w:t>
              </w:r>
            </w:hyperlink>
          </w:p>
        </w:tc>
        <w:tc>
          <w:tcPr>
            <w:tcW w:w="9800" w:type="dxa"/>
            <w:vAlign w:val="bottom"/>
            <w:gridSpan w:val="23"/>
          </w:tcPr>
          <w:p>
            <w:pPr>
              <w:spacing w:after="0" w:line="142" w:lineRule="exact"/>
              <w:rPr>
                <w:rFonts w:ascii="Arial" w:cs="Arial" w:eastAsia="Arial" w:hAnsi="Arial"/>
                <w:sz w:val="13"/>
                <w:szCs w:val="13"/>
                <w:color w:val="auto"/>
              </w:rPr>
            </w:pPr>
            <w:hyperlink r:id="rId157">
              <w:r>
                <w:rPr>
                  <w:rFonts w:ascii="Arial" w:cs="Arial" w:eastAsia="Arial" w:hAnsi="Arial"/>
                  <w:sz w:val="13"/>
                  <w:szCs w:val="13"/>
                  <w:color w:val="auto"/>
                </w:rPr>
                <w:t>Registration Rights Agreement between WillScot Corporation and each of the ModSpace Investors defined therein (incorporated by reference to Exhibit 10.1 to WillScot</w:t>
              </w:r>
            </w:hyperlink>
          </w:p>
        </w:tc>
      </w:tr>
      <w:tr>
        <w:trPr>
          <w:trHeight w:val="111"/>
        </w:trPr>
        <w:tc>
          <w:tcPr>
            <w:tcW w:w="4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9800" w:type="dxa"/>
            <w:vAlign w:val="bottom"/>
            <w:tcBorders>
              <w:top w:val="single" w:sz="8" w:color="auto"/>
            </w:tcBorders>
            <w:gridSpan w:val="23"/>
          </w:tcPr>
          <w:p>
            <w:pPr>
              <w:spacing w:after="0" w:line="111" w:lineRule="exact"/>
              <w:rPr>
                <w:rFonts w:ascii="Arial" w:cs="Arial" w:eastAsia="Arial" w:hAnsi="Arial"/>
                <w:sz w:val="12"/>
                <w:szCs w:val="12"/>
                <w:color w:val="auto"/>
              </w:rPr>
            </w:pPr>
            <w:hyperlink r:id="rId157">
              <w:r>
                <w:rPr>
                  <w:rFonts w:ascii="Arial" w:cs="Arial" w:eastAsia="Arial" w:hAnsi="Arial"/>
                  <w:sz w:val="12"/>
                  <w:szCs w:val="12"/>
                  <w:color w:val="auto"/>
                </w:rPr>
                <w:t>Corporation’s Form 8-K filed August 16, 2018).</w:t>
              </w:r>
            </w:hyperlink>
          </w:p>
        </w:tc>
      </w:tr>
      <w:tr>
        <w:trPr>
          <w:trHeight w:val="26"/>
        </w:trPr>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168"/>
        </w:trPr>
        <w:tc>
          <w:tcPr>
            <w:tcW w:w="1460" w:type="dxa"/>
            <w:vAlign w:val="bottom"/>
            <w:gridSpan w:val="4"/>
            <w:shd w:val="clear" w:color="auto" w:fill="DBDBDB"/>
          </w:tcPr>
          <w:p>
            <w:pPr>
              <w:jc w:val="center"/>
              <w:ind w:right="360"/>
              <w:spacing w:after="0" w:line="149" w:lineRule="exact"/>
              <w:rPr>
                <w:rFonts w:ascii="Arial" w:cs="Arial" w:eastAsia="Arial" w:hAnsi="Arial"/>
                <w:sz w:val="13"/>
                <w:szCs w:val="13"/>
                <w:color w:val="auto"/>
              </w:rPr>
            </w:pPr>
            <w:hyperlink r:id="rId158">
              <w:r>
                <w:rPr>
                  <w:rFonts w:ascii="Arial" w:cs="Arial" w:eastAsia="Arial" w:hAnsi="Arial"/>
                  <w:sz w:val="13"/>
                  <w:szCs w:val="13"/>
                  <w:color w:val="auto"/>
                </w:rPr>
                <w:t>10.</w:t>
              </w:r>
              <w:r>
                <w:rPr>
                  <w:rFonts w:ascii="Arial" w:cs="Arial" w:eastAsia="Arial" w:hAnsi="Arial"/>
                  <w:sz w:val="13"/>
                  <w:szCs w:val="13"/>
                  <w:u w:val="single" w:color="auto"/>
                  <w:color w:val="auto"/>
                </w:rPr>
                <w:t>2</w:t>
              </w:r>
            </w:hyperlink>
          </w:p>
        </w:tc>
        <w:tc>
          <w:tcPr>
            <w:tcW w:w="9800" w:type="dxa"/>
            <w:vAlign w:val="bottom"/>
            <w:tcBorders>
              <w:right w:val="single" w:sz="8" w:color="DBDBDB"/>
            </w:tcBorders>
            <w:gridSpan w:val="23"/>
            <w:shd w:val="clear" w:color="auto" w:fill="DBDBDB"/>
          </w:tcPr>
          <w:p>
            <w:pPr>
              <w:spacing w:after="0" w:line="149" w:lineRule="exact"/>
              <w:rPr>
                <w:rFonts w:ascii="Arial" w:cs="Arial" w:eastAsia="Arial" w:hAnsi="Arial"/>
                <w:sz w:val="13"/>
                <w:szCs w:val="13"/>
                <w:color w:val="auto"/>
              </w:rPr>
            </w:pPr>
            <w:hyperlink r:id="rId158">
              <w:r>
                <w:rPr>
                  <w:rFonts w:ascii="Arial" w:cs="Arial" w:eastAsia="Arial" w:hAnsi="Arial"/>
                  <w:sz w:val="13"/>
                  <w:szCs w:val="13"/>
                  <w:color w:val="auto"/>
                </w:rPr>
                <w:t>ABL Credit Agreement, dated July 1, 2020, by and among Williams Scotsman Holdings Corp., WSII, the guarantors party thereto, the lenders party thereto, and Bank of</w:t>
              </w:r>
            </w:hyperlink>
          </w:p>
        </w:tc>
      </w:tr>
      <w:tr>
        <w:trPr>
          <w:trHeight w:val="104"/>
        </w:trPr>
        <w:tc>
          <w:tcPr>
            <w:tcW w:w="460" w:type="dxa"/>
            <w:vAlign w:val="bottom"/>
            <w:tcBorders>
              <w:top w:val="single" w:sz="8" w:color="DBDBDB"/>
              <w:bottom w:val="single" w:sz="8" w:color="DBDBDB"/>
              <w:right w:val="single" w:sz="8" w:color="DBDBDB"/>
            </w:tcBorders>
            <w:shd w:val="clear" w:color="auto" w:fill="DBDBDB"/>
          </w:tcPr>
          <w:p>
            <w:pPr>
              <w:spacing w:after="0"/>
              <w:rPr>
                <w:sz w:val="9"/>
                <w:szCs w:val="9"/>
                <w:color w:val="auto"/>
              </w:rPr>
            </w:pPr>
          </w:p>
        </w:tc>
        <w:tc>
          <w:tcPr>
            <w:tcW w:w="180" w:type="dxa"/>
            <w:vAlign w:val="bottom"/>
            <w:tcBorders>
              <w:top w:val="single" w:sz="8" w:color="auto"/>
              <w:bottom w:val="single" w:sz="8" w:color="DBDBDB"/>
            </w:tcBorders>
            <w:shd w:val="clear" w:color="auto" w:fill="DBDBDB"/>
          </w:tcPr>
          <w:p>
            <w:pPr>
              <w:spacing w:after="0"/>
              <w:rPr>
                <w:sz w:val="9"/>
                <w:szCs w:val="9"/>
                <w:color w:val="auto"/>
              </w:rPr>
            </w:pPr>
          </w:p>
        </w:tc>
        <w:tc>
          <w:tcPr>
            <w:tcW w:w="40" w:type="dxa"/>
            <w:vAlign w:val="bottom"/>
            <w:tcBorders>
              <w:top w:val="single" w:sz="8" w:color="auto"/>
              <w:bottom w:val="single" w:sz="8" w:color="DBDBDB"/>
              <w:right w:val="single" w:sz="8" w:color="DBDBDB"/>
            </w:tcBorders>
            <w:shd w:val="clear" w:color="auto" w:fill="DBDBDB"/>
          </w:tcPr>
          <w:p>
            <w:pPr>
              <w:spacing w:after="0"/>
              <w:rPr>
                <w:sz w:val="9"/>
                <w:szCs w:val="9"/>
                <w:color w:val="auto"/>
              </w:rPr>
            </w:pPr>
          </w:p>
        </w:tc>
        <w:tc>
          <w:tcPr>
            <w:tcW w:w="780" w:type="dxa"/>
            <w:vAlign w:val="bottom"/>
            <w:tcBorders>
              <w:top w:val="single" w:sz="8" w:color="DBDBDB"/>
              <w:bottom w:val="single" w:sz="8" w:color="DBDBDB"/>
            </w:tcBorders>
            <w:shd w:val="clear" w:color="auto" w:fill="DBDBDB"/>
          </w:tcPr>
          <w:p>
            <w:pPr>
              <w:spacing w:after="0"/>
              <w:rPr>
                <w:sz w:val="9"/>
                <w:szCs w:val="9"/>
                <w:color w:val="auto"/>
              </w:rPr>
            </w:pPr>
          </w:p>
        </w:tc>
        <w:tc>
          <w:tcPr>
            <w:tcW w:w="9800" w:type="dxa"/>
            <w:vAlign w:val="bottom"/>
            <w:tcBorders>
              <w:top w:val="single" w:sz="8" w:color="auto"/>
              <w:bottom w:val="single" w:sz="8" w:color="auto"/>
              <w:right w:val="single" w:sz="8" w:color="DBDBDB"/>
            </w:tcBorders>
            <w:gridSpan w:val="23"/>
            <w:shd w:val="clear" w:color="auto" w:fill="DBDBDB"/>
          </w:tcPr>
          <w:p>
            <w:pPr>
              <w:spacing w:after="0" w:line="92" w:lineRule="exact"/>
              <w:rPr>
                <w:rFonts w:ascii="Arial" w:cs="Arial" w:eastAsia="Arial" w:hAnsi="Arial"/>
                <w:sz w:val="10"/>
                <w:szCs w:val="10"/>
                <w:color w:val="auto"/>
              </w:rPr>
            </w:pPr>
            <w:hyperlink r:id="rId158">
              <w:r>
                <w:rPr>
                  <w:rFonts w:ascii="Arial" w:cs="Arial" w:eastAsia="Arial" w:hAnsi="Arial"/>
                  <w:sz w:val="10"/>
                  <w:szCs w:val="10"/>
                  <w:color w:val="auto"/>
                </w:rPr>
                <w:t>America, N.A., as administrative agent and collateral agent (incorporated by reference to Exhibit 10.1 of the Company’s Current Report on Form 8-K, filed July 1, 2020).</w:t>
              </w:r>
            </w:hyperlink>
          </w:p>
        </w:tc>
      </w:tr>
      <w:tr>
        <w:trPr>
          <w:trHeight w:val="142"/>
        </w:trPr>
        <w:tc>
          <w:tcPr>
            <w:tcW w:w="1460" w:type="dxa"/>
            <w:vAlign w:val="bottom"/>
            <w:gridSpan w:val="4"/>
          </w:tcPr>
          <w:p>
            <w:pPr>
              <w:jc w:val="center"/>
              <w:ind w:right="360"/>
              <w:spacing w:after="0" w:line="142" w:lineRule="exact"/>
              <w:rPr>
                <w:rFonts w:ascii="Arial" w:cs="Arial" w:eastAsia="Arial" w:hAnsi="Arial"/>
                <w:sz w:val="13"/>
                <w:szCs w:val="13"/>
                <w:color w:val="auto"/>
              </w:rPr>
            </w:pPr>
            <w:hyperlink r:id="rId159">
              <w:r>
                <w:rPr>
                  <w:rFonts w:ascii="Arial" w:cs="Arial" w:eastAsia="Arial" w:hAnsi="Arial"/>
                  <w:sz w:val="13"/>
                  <w:szCs w:val="13"/>
                  <w:color w:val="auto"/>
                </w:rPr>
                <w:t>10.</w:t>
              </w:r>
              <w:r>
                <w:rPr>
                  <w:rFonts w:ascii="Arial" w:cs="Arial" w:eastAsia="Arial" w:hAnsi="Arial"/>
                  <w:sz w:val="13"/>
                  <w:szCs w:val="13"/>
                  <w:u w:val="single" w:color="auto"/>
                  <w:color w:val="auto"/>
                </w:rPr>
                <w:t>3</w:t>
              </w:r>
            </w:hyperlink>
          </w:p>
        </w:tc>
        <w:tc>
          <w:tcPr>
            <w:tcW w:w="9800" w:type="dxa"/>
            <w:vAlign w:val="bottom"/>
            <w:gridSpan w:val="23"/>
          </w:tcPr>
          <w:p>
            <w:pPr>
              <w:spacing w:after="0" w:line="142" w:lineRule="exact"/>
              <w:rPr>
                <w:rFonts w:ascii="Arial" w:cs="Arial" w:eastAsia="Arial" w:hAnsi="Arial"/>
                <w:sz w:val="13"/>
                <w:szCs w:val="13"/>
                <w:color w:val="auto"/>
              </w:rPr>
            </w:pPr>
            <w:hyperlink r:id="rId159">
              <w:r>
                <w:rPr>
                  <w:rFonts w:ascii="Arial" w:cs="Arial" w:eastAsia="Arial" w:hAnsi="Arial"/>
                  <w:sz w:val="13"/>
                  <w:szCs w:val="13"/>
                  <w:color w:val="auto"/>
                </w:rPr>
                <w:t>Form of Indemnification Agreement (incorporated by reference to Exhibit 10.2 of the Company’s Current Report on Form 8-K, filed July 1, 2020).</w:t>
              </w:r>
            </w:hyperlink>
          </w:p>
        </w:tc>
      </w:tr>
      <w:tr>
        <w:trPr>
          <w:trHeight w:val="26"/>
        </w:trPr>
        <w:tc>
          <w:tcPr>
            <w:tcW w:w="46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148"/>
        </w:trPr>
        <w:tc>
          <w:tcPr>
            <w:tcW w:w="1460" w:type="dxa"/>
            <w:vAlign w:val="bottom"/>
            <w:gridSpan w:val="4"/>
            <w:shd w:val="clear" w:color="auto" w:fill="DBDBDB"/>
          </w:tcPr>
          <w:p>
            <w:pPr>
              <w:jc w:val="center"/>
              <w:ind w:right="360"/>
              <w:spacing w:after="0" w:line="149" w:lineRule="exact"/>
              <w:rPr>
                <w:rFonts w:ascii="Arial" w:cs="Arial" w:eastAsia="Arial" w:hAnsi="Arial"/>
                <w:sz w:val="13"/>
                <w:szCs w:val="13"/>
                <w:color w:val="auto"/>
              </w:rPr>
            </w:pPr>
            <w:hyperlink r:id="rId160">
              <w:r>
                <w:rPr>
                  <w:rFonts w:ascii="Arial" w:cs="Arial" w:eastAsia="Arial" w:hAnsi="Arial"/>
                  <w:sz w:val="13"/>
                  <w:szCs w:val="13"/>
                  <w:color w:val="auto"/>
                </w:rPr>
                <w:t>10.</w:t>
              </w:r>
              <w:r>
                <w:rPr>
                  <w:rFonts w:ascii="Arial" w:cs="Arial" w:eastAsia="Arial" w:hAnsi="Arial"/>
                  <w:sz w:val="13"/>
                  <w:szCs w:val="13"/>
                  <w:u w:val="single" w:color="auto"/>
                  <w:color w:val="auto"/>
                </w:rPr>
                <w:t>4</w:t>
              </w:r>
            </w:hyperlink>
          </w:p>
        </w:tc>
        <w:tc>
          <w:tcPr>
            <w:tcW w:w="9800" w:type="dxa"/>
            <w:vAlign w:val="bottom"/>
            <w:tcBorders>
              <w:right w:val="single" w:sz="8" w:color="DBDBDB"/>
            </w:tcBorders>
            <w:gridSpan w:val="23"/>
            <w:shd w:val="clear" w:color="auto" w:fill="DBDBDB"/>
          </w:tcPr>
          <w:p>
            <w:pPr>
              <w:spacing w:after="0" w:line="149" w:lineRule="exact"/>
              <w:rPr>
                <w:rFonts w:ascii="Arial" w:cs="Arial" w:eastAsia="Arial" w:hAnsi="Arial"/>
                <w:sz w:val="13"/>
                <w:szCs w:val="13"/>
                <w:color w:val="auto"/>
              </w:rPr>
            </w:pPr>
            <w:hyperlink r:id="rId160">
              <w:r>
                <w:rPr>
                  <w:rFonts w:ascii="Arial" w:cs="Arial" w:eastAsia="Arial" w:hAnsi="Arial"/>
                  <w:sz w:val="13"/>
                  <w:szCs w:val="13"/>
                  <w:color w:val="auto"/>
                </w:rPr>
                <w:t>WillScot Mobile Mini Holdings Corp. 2020 Incentive Plan (incorporated by reference to Exhibit 10.3 of the Company’s Current Report on Form 8-K, filed July 1, 2020).</w:t>
              </w:r>
            </w:hyperlink>
          </w:p>
        </w:tc>
      </w:tr>
      <w:tr>
        <w:trPr>
          <w:trHeight w:val="33"/>
        </w:trPr>
        <w:tc>
          <w:tcPr>
            <w:tcW w:w="460" w:type="dxa"/>
            <w:vAlign w:val="bottom"/>
            <w:tcBorders>
              <w:right w:val="single" w:sz="8" w:color="auto"/>
            </w:tcBorders>
            <w:shd w:val="clear" w:color="auto" w:fill="DBDBDB"/>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780" w:type="dxa"/>
            <w:vAlign w:val="bottom"/>
            <w:shd w:val="clear" w:color="auto" w:fill="DBDBDB"/>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r>
      <w:tr>
        <w:trPr>
          <w:trHeight w:val="142"/>
        </w:trPr>
        <w:tc>
          <w:tcPr>
            <w:tcW w:w="1460" w:type="dxa"/>
            <w:vAlign w:val="bottom"/>
            <w:gridSpan w:val="4"/>
          </w:tcPr>
          <w:p>
            <w:pPr>
              <w:jc w:val="center"/>
              <w:ind w:right="360"/>
              <w:spacing w:after="0" w:line="142" w:lineRule="exact"/>
              <w:rPr>
                <w:rFonts w:ascii="Arial" w:cs="Arial" w:eastAsia="Arial" w:hAnsi="Arial"/>
                <w:sz w:val="13"/>
                <w:szCs w:val="13"/>
                <w:color w:val="auto"/>
              </w:rPr>
            </w:pPr>
            <w:hyperlink r:id="rId161">
              <w:r>
                <w:rPr>
                  <w:rFonts w:ascii="Arial" w:cs="Arial" w:eastAsia="Arial" w:hAnsi="Arial"/>
                  <w:sz w:val="13"/>
                  <w:szCs w:val="13"/>
                  <w:color w:val="auto"/>
                </w:rPr>
                <w:t>10.</w:t>
              </w:r>
              <w:r>
                <w:rPr>
                  <w:rFonts w:ascii="Arial" w:cs="Arial" w:eastAsia="Arial" w:hAnsi="Arial"/>
                  <w:sz w:val="13"/>
                  <w:szCs w:val="13"/>
                  <w:u w:val="single" w:color="auto"/>
                  <w:color w:val="auto"/>
                </w:rPr>
                <w:t>5</w:t>
              </w:r>
            </w:hyperlink>
          </w:p>
        </w:tc>
        <w:tc>
          <w:tcPr>
            <w:tcW w:w="9800" w:type="dxa"/>
            <w:vAlign w:val="bottom"/>
            <w:gridSpan w:val="23"/>
          </w:tcPr>
          <w:p>
            <w:pPr>
              <w:spacing w:after="0" w:line="142" w:lineRule="exact"/>
              <w:rPr>
                <w:rFonts w:ascii="Arial" w:cs="Arial" w:eastAsia="Arial" w:hAnsi="Arial"/>
                <w:sz w:val="13"/>
                <w:szCs w:val="13"/>
                <w:color w:val="auto"/>
              </w:rPr>
            </w:pPr>
            <w:hyperlink r:id="rId161">
              <w:r>
                <w:rPr>
                  <w:rFonts w:ascii="Arial" w:cs="Arial" w:eastAsia="Arial" w:hAnsi="Arial"/>
                  <w:sz w:val="13"/>
                  <w:szCs w:val="13"/>
                  <w:color w:val="auto"/>
                </w:rPr>
                <w:t>Form of Restricted Stock Unit Agreement (incorporated by reference to Exhibit 10.4 of the Company’s Current Report on Form 8-K, filed July 1, 2020).</w:t>
              </w:r>
            </w:hyperlink>
          </w:p>
        </w:tc>
      </w:tr>
      <w:tr>
        <w:trPr>
          <w:trHeight w:val="26"/>
        </w:trPr>
        <w:tc>
          <w:tcPr>
            <w:tcW w:w="46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148"/>
        </w:trPr>
        <w:tc>
          <w:tcPr>
            <w:tcW w:w="1460" w:type="dxa"/>
            <w:vAlign w:val="bottom"/>
            <w:gridSpan w:val="4"/>
            <w:shd w:val="clear" w:color="auto" w:fill="DBDBDB"/>
          </w:tcPr>
          <w:p>
            <w:pPr>
              <w:jc w:val="center"/>
              <w:ind w:right="360"/>
              <w:spacing w:after="0" w:line="149" w:lineRule="exact"/>
              <w:rPr>
                <w:rFonts w:ascii="Arial" w:cs="Arial" w:eastAsia="Arial" w:hAnsi="Arial"/>
                <w:sz w:val="13"/>
                <w:szCs w:val="13"/>
                <w:color w:val="auto"/>
              </w:rPr>
            </w:pPr>
            <w:hyperlink r:id="rId162">
              <w:r>
                <w:rPr>
                  <w:rFonts w:ascii="Arial" w:cs="Arial" w:eastAsia="Arial" w:hAnsi="Arial"/>
                  <w:sz w:val="13"/>
                  <w:szCs w:val="13"/>
                  <w:color w:val="auto"/>
                </w:rPr>
                <w:t>10.</w:t>
              </w:r>
              <w:r>
                <w:rPr>
                  <w:rFonts w:ascii="Arial" w:cs="Arial" w:eastAsia="Arial" w:hAnsi="Arial"/>
                  <w:sz w:val="13"/>
                  <w:szCs w:val="13"/>
                  <w:u w:val="single" w:color="auto"/>
                  <w:color w:val="auto"/>
                </w:rPr>
                <w:t>6</w:t>
              </w:r>
            </w:hyperlink>
          </w:p>
        </w:tc>
        <w:tc>
          <w:tcPr>
            <w:tcW w:w="9800" w:type="dxa"/>
            <w:vAlign w:val="bottom"/>
            <w:tcBorders>
              <w:right w:val="single" w:sz="8" w:color="DBDBDB"/>
            </w:tcBorders>
            <w:gridSpan w:val="23"/>
            <w:shd w:val="clear" w:color="auto" w:fill="DBDBDB"/>
          </w:tcPr>
          <w:p>
            <w:pPr>
              <w:spacing w:after="0" w:line="149" w:lineRule="exact"/>
              <w:rPr>
                <w:rFonts w:ascii="Arial" w:cs="Arial" w:eastAsia="Arial" w:hAnsi="Arial"/>
                <w:sz w:val="13"/>
                <w:szCs w:val="13"/>
                <w:color w:val="auto"/>
              </w:rPr>
            </w:pPr>
            <w:hyperlink r:id="rId162">
              <w:r>
                <w:rPr>
                  <w:rFonts w:ascii="Arial" w:cs="Arial" w:eastAsia="Arial" w:hAnsi="Arial"/>
                  <w:sz w:val="13"/>
                  <w:szCs w:val="13"/>
                  <w:color w:val="auto"/>
                </w:rPr>
                <w:t>Form of Performance-Based Restricted Stock Unit Agreement (incorporated by reference to Exhibit 10.5 of the Company’s Current Report on Form 8-K, filed July 1,</w:t>
              </w:r>
            </w:hyperlink>
          </w:p>
        </w:tc>
      </w:tr>
      <w:tr>
        <w:trPr>
          <w:trHeight w:val="111"/>
        </w:trPr>
        <w:tc>
          <w:tcPr>
            <w:tcW w:w="460" w:type="dxa"/>
            <w:vAlign w:val="bottom"/>
            <w:tcBorders>
              <w:top w:val="single" w:sz="8" w:color="DBDBDB"/>
              <w:right w:val="single" w:sz="8" w:color="DBDBDB"/>
            </w:tcBorders>
            <w:shd w:val="clear" w:color="auto" w:fill="DBDBDB"/>
          </w:tcPr>
          <w:p>
            <w:pPr>
              <w:spacing w:after="0"/>
              <w:rPr>
                <w:sz w:val="9"/>
                <w:szCs w:val="9"/>
                <w:color w:val="auto"/>
              </w:rPr>
            </w:pPr>
          </w:p>
        </w:tc>
        <w:tc>
          <w:tcPr>
            <w:tcW w:w="180" w:type="dxa"/>
            <w:vAlign w:val="bottom"/>
            <w:tcBorders>
              <w:top w:val="single" w:sz="8" w:color="auto"/>
            </w:tcBorders>
            <w:shd w:val="clear" w:color="auto" w:fill="DBDBDB"/>
          </w:tcPr>
          <w:p>
            <w:pPr>
              <w:spacing w:after="0"/>
              <w:rPr>
                <w:sz w:val="9"/>
                <w:szCs w:val="9"/>
                <w:color w:val="auto"/>
              </w:rPr>
            </w:pPr>
          </w:p>
        </w:tc>
        <w:tc>
          <w:tcPr>
            <w:tcW w:w="40" w:type="dxa"/>
            <w:vAlign w:val="bottom"/>
            <w:tcBorders>
              <w:top w:val="single" w:sz="8" w:color="auto"/>
              <w:right w:val="single" w:sz="8" w:color="DBDBDB"/>
            </w:tcBorders>
            <w:shd w:val="clear" w:color="auto" w:fill="DBDBDB"/>
          </w:tcPr>
          <w:p>
            <w:pPr>
              <w:spacing w:after="0"/>
              <w:rPr>
                <w:sz w:val="9"/>
                <w:szCs w:val="9"/>
                <w:color w:val="auto"/>
              </w:rPr>
            </w:pPr>
          </w:p>
        </w:tc>
        <w:tc>
          <w:tcPr>
            <w:tcW w:w="780" w:type="dxa"/>
            <w:vAlign w:val="bottom"/>
            <w:tcBorders>
              <w:top w:val="single" w:sz="8" w:color="DBDBDB"/>
            </w:tcBorders>
            <w:shd w:val="clear" w:color="auto" w:fill="DBDBDB"/>
          </w:tcPr>
          <w:p>
            <w:pPr>
              <w:spacing w:after="0"/>
              <w:rPr>
                <w:sz w:val="9"/>
                <w:szCs w:val="9"/>
                <w:color w:val="auto"/>
              </w:rPr>
            </w:pPr>
          </w:p>
        </w:tc>
        <w:tc>
          <w:tcPr>
            <w:tcW w:w="1140" w:type="dxa"/>
            <w:vAlign w:val="bottom"/>
            <w:tcBorders>
              <w:top w:val="single" w:sz="8" w:color="auto"/>
            </w:tcBorders>
            <w:gridSpan w:val="2"/>
            <w:shd w:val="clear" w:color="auto" w:fill="DBDBDB"/>
          </w:tcPr>
          <w:p>
            <w:pPr>
              <w:spacing w:after="0" w:line="111" w:lineRule="exact"/>
              <w:rPr>
                <w:rFonts w:ascii="Arial" w:cs="Arial" w:eastAsia="Arial" w:hAnsi="Arial"/>
                <w:sz w:val="12"/>
                <w:szCs w:val="12"/>
                <w:color w:val="auto"/>
              </w:rPr>
            </w:pPr>
            <w:hyperlink r:id="rId162">
              <w:r>
                <w:rPr>
                  <w:rFonts w:ascii="Arial" w:cs="Arial" w:eastAsia="Arial" w:hAnsi="Arial"/>
                  <w:sz w:val="12"/>
                  <w:szCs w:val="12"/>
                  <w:color w:val="auto"/>
                </w:rPr>
                <w:t>2020).</w:t>
              </w:r>
            </w:hyperlink>
          </w:p>
        </w:tc>
        <w:tc>
          <w:tcPr>
            <w:tcW w:w="360" w:type="dxa"/>
            <w:vAlign w:val="bottom"/>
            <w:tcBorders>
              <w:top w:val="single" w:sz="8" w:color="auto"/>
              <w:right w:val="single" w:sz="8" w:color="DBDBDB"/>
            </w:tcBorders>
            <w:shd w:val="clear" w:color="auto" w:fill="DBDBDB"/>
          </w:tcPr>
          <w:p>
            <w:pPr>
              <w:spacing w:after="0"/>
              <w:rPr>
                <w:sz w:val="9"/>
                <w:szCs w:val="9"/>
                <w:color w:val="auto"/>
              </w:rPr>
            </w:pPr>
          </w:p>
        </w:tc>
        <w:tc>
          <w:tcPr>
            <w:tcW w:w="640" w:type="dxa"/>
            <w:vAlign w:val="bottom"/>
            <w:tcBorders>
              <w:top w:val="single" w:sz="8" w:color="auto"/>
              <w:right w:val="single" w:sz="8" w:color="DBDBDB"/>
            </w:tcBorders>
            <w:shd w:val="clear" w:color="auto" w:fill="DBDBDB"/>
          </w:tcPr>
          <w:p>
            <w:pPr>
              <w:spacing w:after="0"/>
              <w:rPr>
                <w:sz w:val="9"/>
                <w:szCs w:val="9"/>
                <w:color w:val="auto"/>
              </w:rPr>
            </w:pPr>
          </w:p>
        </w:tc>
        <w:tc>
          <w:tcPr>
            <w:tcW w:w="340" w:type="dxa"/>
            <w:vAlign w:val="bottom"/>
            <w:tcBorders>
              <w:top w:val="single" w:sz="8" w:color="auto"/>
            </w:tcBorders>
            <w:shd w:val="clear" w:color="auto" w:fill="DBDBDB"/>
          </w:tcPr>
          <w:p>
            <w:pPr>
              <w:spacing w:after="0"/>
              <w:rPr>
                <w:sz w:val="9"/>
                <w:szCs w:val="9"/>
                <w:color w:val="auto"/>
              </w:rPr>
            </w:pPr>
          </w:p>
        </w:tc>
        <w:tc>
          <w:tcPr>
            <w:tcW w:w="220" w:type="dxa"/>
            <w:vAlign w:val="bottom"/>
            <w:tcBorders>
              <w:top w:val="single" w:sz="8" w:color="auto"/>
            </w:tcBorders>
            <w:shd w:val="clear" w:color="auto" w:fill="DBDBDB"/>
          </w:tcPr>
          <w:p>
            <w:pPr>
              <w:spacing w:after="0"/>
              <w:rPr>
                <w:sz w:val="9"/>
                <w:szCs w:val="9"/>
                <w:color w:val="auto"/>
              </w:rPr>
            </w:pPr>
          </w:p>
        </w:tc>
        <w:tc>
          <w:tcPr>
            <w:tcW w:w="880" w:type="dxa"/>
            <w:vAlign w:val="bottom"/>
            <w:tcBorders>
              <w:top w:val="single" w:sz="8" w:color="auto"/>
            </w:tcBorders>
            <w:shd w:val="clear" w:color="auto" w:fill="DBDBDB"/>
          </w:tcPr>
          <w:p>
            <w:pPr>
              <w:spacing w:after="0"/>
              <w:rPr>
                <w:sz w:val="9"/>
                <w:szCs w:val="9"/>
                <w:color w:val="auto"/>
              </w:rPr>
            </w:pPr>
          </w:p>
        </w:tc>
        <w:tc>
          <w:tcPr>
            <w:tcW w:w="1100" w:type="dxa"/>
            <w:vAlign w:val="bottom"/>
            <w:tcBorders>
              <w:top w:val="single" w:sz="8" w:color="auto"/>
            </w:tcBorders>
            <w:shd w:val="clear" w:color="auto" w:fill="DBDBDB"/>
          </w:tcPr>
          <w:p>
            <w:pPr>
              <w:spacing w:after="0"/>
              <w:rPr>
                <w:sz w:val="9"/>
                <w:szCs w:val="9"/>
                <w:color w:val="auto"/>
              </w:rPr>
            </w:pPr>
          </w:p>
        </w:tc>
        <w:tc>
          <w:tcPr>
            <w:tcW w:w="20" w:type="dxa"/>
            <w:vAlign w:val="bottom"/>
            <w:tcBorders>
              <w:top w:val="single" w:sz="8" w:color="auto"/>
            </w:tcBorders>
            <w:shd w:val="clear" w:color="auto" w:fill="DBDBDB"/>
          </w:tcPr>
          <w:p>
            <w:pPr>
              <w:spacing w:after="0"/>
              <w:rPr>
                <w:sz w:val="9"/>
                <w:szCs w:val="9"/>
                <w:color w:val="auto"/>
              </w:rPr>
            </w:pPr>
          </w:p>
        </w:tc>
        <w:tc>
          <w:tcPr>
            <w:tcW w:w="240" w:type="dxa"/>
            <w:vAlign w:val="bottom"/>
            <w:tcBorders>
              <w:top w:val="single" w:sz="8" w:color="auto"/>
            </w:tcBorders>
            <w:shd w:val="clear" w:color="auto" w:fill="DBDBDB"/>
          </w:tcPr>
          <w:p>
            <w:pPr>
              <w:spacing w:after="0"/>
              <w:rPr>
                <w:sz w:val="9"/>
                <w:szCs w:val="9"/>
                <w:color w:val="auto"/>
              </w:rPr>
            </w:pPr>
          </w:p>
        </w:tc>
        <w:tc>
          <w:tcPr>
            <w:tcW w:w="1080" w:type="dxa"/>
            <w:vAlign w:val="bottom"/>
            <w:tcBorders>
              <w:top w:val="single" w:sz="8" w:color="auto"/>
            </w:tcBorders>
            <w:shd w:val="clear" w:color="auto" w:fill="DBDBDB"/>
          </w:tcPr>
          <w:p>
            <w:pPr>
              <w:spacing w:after="0"/>
              <w:rPr>
                <w:sz w:val="9"/>
                <w:szCs w:val="9"/>
                <w:color w:val="auto"/>
              </w:rPr>
            </w:pPr>
          </w:p>
        </w:tc>
        <w:tc>
          <w:tcPr>
            <w:tcW w:w="100" w:type="dxa"/>
            <w:vAlign w:val="bottom"/>
            <w:tcBorders>
              <w:top w:val="single" w:sz="8" w:color="auto"/>
            </w:tcBorders>
            <w:shd w:val="clear" w:color="auto" w:fill="DBDBDB"/>
          </w:tcPr>
          <w:p>
            <w:pPr>
              <w:spacing w:after="0"/>
              <w:rPr>
                <w:sz w:val="9"/>
                <w:szCs w:val="9"/>
                <w:color w:val="auto"/>
              </w:rPr>
            </w:pPr>
          </w:p>
        </w:tc>
        <w:tc>
          <w:tcPr>
            <w:tcW w:w="880" w:type="dxa"/>
            <w:vAlign w:val="bottom"/>
            <w:tcBorders>
              <w:top w:val="single" w:sz="8" w:color="auto"/>
            </w:tcBorders>
            <w:shd w:val="clear" w:color="auto" w:fill="DBDBDB"/>
          </w:tcPr>
          <w:p>
            <w:pPr>
              <w:spacing w:after="0"/>
              <w:rPr>
                <w:sz w:val="9"/>
                <w:szCs w:val="9"/>
                <w:color w:val="auto"/>
              </w:rPr>
            </w:pPr>
          </w:p>
        </w:tc>
        <w:tc>
          <w:tcPr>
            <w:tcW w:w="1220" w:type="dxa"/>
            <w:vAlign w:val="bottom"/>
            <w:tcBorders>
              <w:top w:val="single" w:sz="8" w:color="auto"/>
            </w:tcBorders>
            <w:shd w:val="clear" w:color="auto" w:fill="DBDBDB"/>
          </w:tcPr>
          <w:p>
            <w:pPr>
              <w:spacing w:after="0"/>
              <w:rPr>
                <w:sz w:val="9"/>
                <w:szCs w:val="9"/>
                <w:color w:val="auto"/>
              </w:rPr>
            </w:pPr>
          </w:p>
        </w:tc>
        <w:tc>
          <w:tcPr>
            <w:tcW w:w="120" w:type="dxa"/>
            <w:vAlign w:val="bottom"/>
            <w:tcBorders>
              <w:top w:val="single" w:sz="8" w:color="auto"/>
            </w:tcBorders>
            <w:shd w:val="clear" w:color="auto" w:fill="DBDBDB"/>
          </w:tcPr>
          <w:p>
            <w:pPr>
              <w:spacing w:after="0"/>
              <w:rPr>
                <w:sz w:val="9"/>
                <w:szCs w:val="9"/>
                <w:color w:val="auto"/>
              </w:rPr>
            </w:pPr>
          </w:p>
        </w:tc>
        <w:tc>
          <w:tcPr>
            <w:tcW w:w="340" w:type="dxa"/>
            <w:vAlign w:val="bottom"/>
            <w:tcBorders>
              <w:top w:val="single" w:sz="8" w:color="auto"/>
            </w:tcBorders>
            <w:shd w:val="clear" w:color="auto" w:fill="DBDBDB"/>
          </w:tcPr>
          <w:p>
            <w:pPr>
              <w:spacing w:after="0"/>
              <w:rPr>
                <w:sz w:val="9"/>
                <w:szCs w:val="9"/>
                <w:color w:val="auto"/>
              </w:rPr>
            </w:pPr>
          </w:p>
        </w:tc>
        <w:tc>
          <w:tcPr>
            <w:tcW w:w="460" w:type="dxa"/>
            <w:vAlign w:val="bottom"/>
            <w:tcBorders>
              <w:top w:val="single" w:sz="8" w:color="auto"/>
              <w:right w:val="single" w:sz="8" w:color="DBDBDB"/>
            </w:tcBorders>
            <w:shd w:val="clear" w:color="auto" w:fill="DBDBDB"/>
          </w:tcPr>
          <w:p>
            <w:pPr>
              <w:spacing w:after="0"/>
              <w:rPr>
                <w:sz w:val="9"/>
                <w:szCs w:val="9"/>
                <w:color w:val="auto"/>
              </w:rPr>
            </w:pPr>
          </w:p>
        </w:tc>
        <w:tc>
          <w:tcPr>
            <w:tcW w:w="120" w:type="dxa"/>
            <w:vAlign w:val="bottom"/>
            <w:tcBorders>
              <w:top w:val="single" w:sz="8" w:color="auto"/>
            </w:tcBorders>
            <w:shd w:val="clear" w:color="auto" w:fill="DBDBDB"/>
          </w:tcPr>
          <w:p>
            <w:pPr>
              <w:spacing w:after="0"/>
              <w:rPr>
                <w:sz w:val="9"/>
                <w:szCs w:val="9"/>
                <w:color w:val="auto"/>
              </w:rPr>
            </w:pPr>
          </w:p>
        </w:tc>
        <w:tc>
          <w:tcPr>
            <w:tcW w:w="60" w:type="dxa"/>
            <w:vAlign w:val="bottom"/>
            <w:tcBorders>
              <w:top w:val="single" w:sz="8" w:color="auto"/>
            </w:tcBorders>
            <w:shd w:val="clear" w:color="auto" w:fill="DBDBDB"/>
          </w:tcPr>
          <w:p>
            <w:pPr>
              <w:spacing w:after="0"/>
              <w:rPr>
                <w:sz w:val="9"/>
                <w:szCs w:val="9"/>
                <w:color w:val="auto"/>
              </w:rPr>
            </w:pPr>
          </w:p>
        </w:tc>
        <w:tc>
          <w:tcPr>
            <w:tcW w:w="20" w:type="dxa"/>
            <w:vAlign w:val="bottom"/>
            <w:tcBorders>
              <w:top w:val="single" w:sz="8" w:color="auto"/>
            </w:tcBorders>
            <w:shd w:val="clear" w:color="auto" w:fill="DBDBDB"/>
          </w:tcPr>
          <w:p>
            <w:pPr>
              <w:spacing w:after="0"/>
              <w:rPr>
                <w:sz w:val="9"/>
                <w:szCs w:val="9"/>
                <w:color w:val="auto"/>
              </w:rPr>
            </w:pPr>
          </w:p>
        </w:tc>
        <w:tc>
          <w:tcPr>
            <w:tcW w:w="40" w:type="dxa"/>
            <w:vAlign w:val="bottom"/>
            <w:tcBorders>
              <w:top w:val="single" w:sz="8" w:color="auto"/>
            </w:tcBorders>
            <w:shd w:val="clear" w:color="auto" w:fill="DBDBDB"/>
          </w:tcPr>
          <w:p>
            <w:pPr>
              <w:spacing w:after="0"/>
              <w:rPr>
                <w:sz w:val="9"/>
                <w:szCs w:val="9"/>
                <w:color w:val="auto"/>
              </w:rPr>
            </w:pPr>
          </w:p>
        </w:tc>
        <w:tc>
          <w:tcPr>
            <w:tcW w:w="100" w:type="dxa"/>
            <w:vAlign w:val="bottom"/>
            <w:tcBorders>
              <w:top w:val="single" w:sz="8" w:color="auto"/>
            </w:tcBorders>
            <w:shd w:val="clear" w:color="auto" w:fill="DBDBDB"/>
          </w:tcPr>
          <w:p>
            <w:pPr>
              <w:spacing w:after="0"/>
              <w:rPr>
                <w:sz w:val="9"/>
                <w:szCs w:val="9"/>
                <w:color w:val="auto"/>
              </w:rPr>
            </w:pPr>
          </w:p>
        </w:tc>
        <w:tc>
          <w:tcPr>
            <w:tcW w:w="320" w:type="dxa"/>
            <w:vAlign w:val="bottom"/>
            <w:tcBorders>
              <w:top w:val="single" w:sz="8" w:color="DBDBDB"/>
              <w:right w:val="single" w:sz="8" w:color="DBDBDB"/>
            </w:tcBorders>
            <w:shd w:val="clear" w:color="auto" w:fill="DBDBDB"/>
          </w:tcPr>
          <w:p>
            <w:pPr>
              <w:spacing w:after="0"/>
              <w:rPr>
                <w:sz w:val="9"/>
                <w:szCs w:val="9"/>
                <w:color w:val="auto"/>
              </w:rPr>
            </w:pPr>
          </w:p>
        </w:tc>
      </w:tr>
      <w:tr>
        <w:trPr>
          <w:trHeight w:val="33"/>
        </w:trPr>
        <w:tc>
          <w:tcPr>
            <w:tcW w:w="460" w:type="dxa"/>
            <w:vAlign w:val="bottom"/>
            <w:tcBorders>
              <w:right w:val="single" w:sz="8" w:color="DBDBDB"/>
            </w:tcBorders>
            <w:shd w:val="clear" w:color="auto" w:fill="DBDBDB"/>
          </w:tcPr>
          <w:p>
            <w:pPr>
              <w:spacing w:after="0"/>
              <w:rPr>
                <w:sz w:val="2"/>
                <w:szCs w:val="2"/>
                <w:color w:val="auto"/>
              </w:rPr>
            </w:pPr>
          </w:p>
        </w:tc>
        <w:tc>
          <w:tcPr>
            <w:tcW w:w="180" w:type="dxa"/>
            <w:vAlign w:val="bottom"/>
            <w:shd w:val="clear" w:color="auto" w:fill="DBDBDB"/>
          </w:tcPr>
          <w:p>
            <w:pPr>
              <w:spacing w:after="0"/>
              <w:rPr>
                <w:sz w:val="2"/>
                <w:szCs w:val="2"/>
                <w:color w:val="auto"/>
              </w:rPr>
            </w:pPr>
          </w:p>
        </w:tc>
        <w:tc>
          <w:tcPr>
            <w:tcW w:w="40" w:type="dxa"/>
            <w:vAlign w:val="bottom"/>
            <w:tcBorders>
              <w:right w:val="single" w:sz="8" w:color="DBDBDB"/>
            </w:tcBorders>
            <w:shd w:val="clear" w:color="auto" w:fill="DBDBDB"/>
          </w:tcPr>
          <w:p>
            <w:pPr>
              <w:spacing w:after="0"/>
              <w:rPr>
                <w:sz w:val="2"/>
                <w:szCs w:val="2"/>
                <w:color w:val="auto"/>
              </w:rPr>
            </w:pPr>
          </w:p>
        </w:tc>
        <w:tc>
          <w:tcPr>
            <w:tcW w:w="780" w:type="dxa"/>
            <w:vAlign w:val="bottom"/>
            <w:shd w:val="clear" w:color="auto" w:fill="DBDBDB"/>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DBDBDB"/>
          </w:tcPr>
          <w:p>
            <w:pPr>
              <w:spacing w:after="0"/>
              <w:rPr>
                <w:sz w:val="2"/>
                <w:szCs w:val="2"/>
                <w:color w:val="auto"/>
              </w:rPr>
            </w:pPr>
          </w:p>
        </w:tc>
        <w:tc>
          <w:tcPr>
            <w:tcW w:w="360" w:type="dxa"/>
            <w:vAlign w:val="bottom"/>
            <w:tcBorders>
              <w:right w:val="single" w:sz="8" w:color="DBDBDB"/>
            </w:tcBorders>
            <w:shd w:val="clear" w:color="auto" w:fill="DBDBDB"/>
          </w:tcPr>
          <w:p>
            <w:pPr>
              <w:spacing w:after="0"/>
              <w:rPr>
                <w:sz w:val="2"/>
                <w:szCs w:val="2"/>
                <w:color w:val="auto"/>
              </w:rPr>
            </w:pPr>
          </w:p>
        </w:tc>
        <w:tc>
          <w:tcPr>
            <w:tcW w:w="640" w:type="dxa"/>
            <w:vAlign w:val="bottom"/>
            <w:tcBorders>
              <w:right w:val="single" w:sz="8" w:color="DBDBDB"/>
            </w:tcBorders>
            <w:shd w:val="clear" w:color="auto" w:fill="DBDBDB"/>
          </w:tcPr>
          <w:p>
            <w:pPr>
              <w:spacing w:after="0"/>
              <w:rPr>
                <w:sz w:val="2"/>
                <w:szCs w:val="2"/>
                <w:color w:val="auto"/>
              </w:rPr>
            </w:pPr>
          </w:p>
        </w:tc>
        <w:tc>
          <w:tcPr>
            <w:tcW w:w="340" w:type="dxa"/>
            <w:vAlign w:val="bottom"/>
            <w:shd w:val="clear" w:color="auto" w:fill="DBDBDB"/>
          </w:tcPr>
          <w:p>
            <w:pPr>
              <w:spacing w:after="0"/>
              <w:rPr>
                <w:sz w:val="2"/>
                <w:szCs w:val="2"/>
                <w:color w:val="auto"/>
              </w:rPr>
            </w:pPr>
          </w:p>
        </w:tc>
        <w:tc>
          <w:tcPr>
            <w:tcW w:w="220" w:type="dxa"/>
            <w:vAlign w:val="bottom"/>
            <w:shd w:val="clear" w:color="auto" w:fill="DBDBDB"/>
          </w:tcPr>
          <w:p>
            <w:pPr>
              <w:spacing w:after="0"/>
              <w:rPr>
                <w:sz w:val="2"/>
                <w:szCs w:val="2"/>
                <w:color w:val="auto"/>
              </w:rPr>
            </w:pPr>
          </w:p>
        </w:tc>
        <w:tc>
          <w:tcPr>
            <w:tcW w:w="880" w:type="dxa"/>
            <w:vAlign w:val="bottom"/>
            <w:shd w:val="clear" w:color="auto" w:fill="DBDBDB"/>
          </w:tcPr>
          <w:p>
            <w:pPr>
              <w:spacing w:after="0"/>
              <w:rPr>
                <w:sz w:val="2"/>
                <w:szCs w:val="2"/>
                <w:color w:val="auto"/>
              </w:rPr>
            </w:pPr>
          </w:p>
        </w:tc>
        <w:tc>
          <w:tcPr>
            <w:tcW w:w="110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108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880" w:type="dxa"/>
            <w:vAlign w:val="bottom"/>
            <w:shd w:val="clear" w:color="auto" w:fill="DBDBDB"/>
          </w:tcPr>
          <w:p>
            <w:pPr>
              <w:spacing w:after="0"/>
              <w:rPr>
                <w:sz w:val="2"/>
                <w:szCs w:val="2"/>
                <w:color w:val="auto"/>
              </w:rPr>
            </w:pPr>
          </w:p>
        </w:tc>
        <w:tc>
          <w:tcPr>
            <w:tcW w:w="122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340" w:type="dxa"/>
            <w:vAlign w:val="bottom"/>
            <w:shd w:val="clear" w:color="auto" w:fill="DBDBDB"/>
          </w:tcPr>
          <w:p>
            <w:pPr>
              <w:spacing w:after="0"/>
              <w:rPr>
                <w:sz w:val="2"/>
                <w:szCs w:val="2"/>
                <w:color w:val="auto"/>
              </w:rPr>
            </w:pPr>
          </w:p>
        </w:tc>
        <w:tc>
          <w:tcPr>
            <w:tcW w:w="460" w:type="dxa"/>
            <w:vAlign w:val="bottom"/>
            <w:tcBorders>
              <w:right w:val="single" w:sz="8" w:color="DBDBDB"/>
            </w:tcBorders>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6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320" w:type="dxa"/>
            <w:vAlign w:val="bottom"/>
            <w:tcBorders>
              <w:right w:val="single" w:sz="8" w:color="DBDBDB"/>
            </w:tcBorders>
            <w:shd w:val="clear" w:color="auto" w:fill="DBDBDB"/>
          </w:tcPr>
          <w:p>
            <w:pPr>
              <w:spacing w:after="0"/>
              <w:rPr>
                <w:sz w:val="2"/>
                <w:szCs w:val="2"/>
                <w:color w:val="auto"/>
              </w:rPr>
            </w:pPr>
          </w:p>
        </w:tc>
      </w:tr>
      <w:tr>
        <w:trPr>
          <w:trHeight w:val="142"/>
        </w:trPr>
        <w:tc>
          <w:tcPr>
            <w:tcW w:w="1460" w:type="dxa"/>
            <w:vAlign w:val="bottom"/>
            <w:gridSpan w:val="4"/>
          </w:tcPr>
          <w:p>
            <w:pPr>
              <w:jc w:val="center"/>
              <w:ind w:right="360"/>
              <w:spacing w:after="0" w:line="142" w:lineRule="exact"/>
              <w:rPr>
                <w:rFonts w:ascii="Arial" w:cs="Arial" w:eastAsia="Arial" w:hAnsi="Arial"/>
                <w:sz w:val="13"/>
                <w:szCs w:val="13"/>
                <w:color w:val="auto"/>
              </w:rPr>
            </w:pPr>
            <w:hyperlink r:id="rId163">
              <w:r>
                <w:rPr>
                  <w:rFonts w:ascii="Arial" w:cs="Arial" w:eastAsia="Arial" w:hAnsi="Arial"/>
                  <w:sz w:val="13"/>
                  <w:szCs w:val="13"/>
                  <w:color w:val="auto"/>
                </w:rPr>
                <w:t>10.</w:t>
              </w:r>
              <w:r>
                <w:rPr>
                  <w:rFonts w:ascii="Arial" w:cs="Arial" w:eastAsia="Arial" w:hAnsi="Arial"/>
                  <w:sz w:val="13"/>
                  <w:szCs w:val="13"/>
                  <w:u w:val="single" w:color="auto"/>
                  <w:color w:val="auto"/>
                </w:rPr>
                <w:t>7</w:t>
              </w:r>
            </w:hyperlink>
          </w:p>
        </w:tc>
        <w:tc>
          <w:tcPr>
            <w:tcW w:w="9800" w:type="dxa"/>
            <w:vAlign w:val="bottom"/>
            <w:gridSpan w:val="23"/>
          </w:tcPr>
          <w:p>
            <w:pPr>
              <w:spacing w:after="0" w:line="142" w:lineRule="exact"/>
              <w:rPr>
                <w:rFonts w:ascii="Arial" w:cs="Arial" w:eastAsia="Arial" w:hAnsi="Arial"/>
                <w:sz w:val="13"/>
                <w:szCs w:val="13"/>
                <w:color w:val="auto"/>
              </w:rPr>
            </w:pPr>
            <w:hyperlink r:id="rId163">
              <w:r>
                <w:rPr>
                  <w:rFonts w:ascii="Arial" w:cs="Arial" w:eastAsia="Arial" w:hAnsi="Arial"/>
                  <w:sz w:val="13"/>
                  <w:szCs w:val="13"/>
                  <w:color w:val="auto"/>
                </w:rPr>
                <w:t>Amended and Restated Employment Agreement, dated as of September 7, 2021, by and between WillScot Corporation and Bradley Soultz (incorporated by reference to</w:t>
              </w:r>
            </w:hyperlink>
          </w:p>
        </w:tc>
      </w:tr>
      <w:tr>
        <w:trPr>
          <w:trHeight w:val="111"/>
        </w:trPr>
        <w:tc>
          <w:tcPr>
            <w:tcW w:w="4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9800" w:type="dxa"/>
            <w:vAlign w:val="bottom"/>
            <w:tcBorders>
              <w:top w:val="single" w:sz="8" w:color="auto"/>
            </w:tcBorders>
            <w:gridSpan w:val="23"/>
          </w:tcPr>
          <w:p>
            <w:pPr>
              <w:spacing w:after="0" w:line="111" w:lineRule="exact"/>
              <w:rPr>
                <w:rFonts w:ascii="Arial" w:cs="Arial" w:eastAsia="Arial" w:hAnsi="Arial"/>
                <w:sz w:val="12"/>
                <w:szCs w:val="12"/>
                <w:color w:val="auto"/>
              </w:rPr>
            </w:pPr>
            <w:hyperlink r:id="rId163">
              <w:r>
                <w:rPr>
                  <w:rFonts w:ascii="Arial" w:cs="Arial" w:eastAsia="Arial" w:hAnsi="Arial"/>
                  <w:sz w:val="12"/>
                  <w:szCs w:val="12"/>
                  <w:color w:val="auto"/>
                </w:rPr>
                <w:t>Exhibit 10.1 of the Company’s Current Report on Form 8-K, filed September 8, 2021).</w:t>
              </w:r>
            </w:hyperlink>
          </w:p>
        </w:tc>
      </w:tr>
      <w:tr>
        <w:trPr>
          <w:trHeight w:val="20"/>
        </w:trPr>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36195</wp:posOffset>
            </wp:positionV>
            <wp:extent cx="7183755" cy="393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4">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120" w:name="page121"/>
    <w:bookmarkEnd w:id="120"/>
    <w:tbl>
      <w:tblPr>
        <w:tblLayout w:type="fixed"/>
        <w:tblInd w:w="20" w:type="dxa"/>
        <w:tblCellMar>
          <w:top w:w="0" w:type="dxa"/>
          <w:left w:w="0" w:type="dxa"/>
          <w:bottom w:w="0" w:type="dxa"/>
          <w:right w:w="0" w:type="dxa"/>
        </w:tblCellMar>
      </w:tblPr>
      <w:tr>
        <w:trPr>
          <w:trHeight w:val="169"/>
        </w:trPr>
        <w:tc>
          <w:tcPr>
            <w:tcW w:w="680" w:type="dxa"/>
            <w:vAlign w:val="bottom"/>
            <w:gridSpan w:val="2"/>
            <w:shd w:val="clear" w:color="auto" w:fill="DBDBDB"/>
          </w:tcPr>
          <w:p>
            <w:pPr>
              <w:jc w:val="center"/>
              <w:ind w:left="354"/>
              <w:spacing w:after="0"/>
              <w:rPr>
                <w:rFonts w:ascii="Arial" w:cs="Arial" w:eastAsia="Arial" w:hAnsi="Arial"/>
                <w:sz w:val="13"/>
                <w:szCs w:val="13"/>
                <w:color w:val="auto"/>
              </w:rPr>
            </w:pPr>
            <w:hyperlink r:id="rId165">
              <w:r>
                <w:rPr>
                  <w:rFonts w:ascii="Arial" w:cs="Arial" w:eastAsia="Arial" w:hAnsi="Arial"/>
                  <w:sz w:val="13"/>
                  <w:szCs w:val="13"/>
                  <w:color w:val="auto"/>
                </w:rPr>
                <w:t>10.</w:t>
              </w:r>
              <w:r>
                <w:rPr>
                  <w:rFonts w:ascii="Arial" w:cs="Arial" w:eastAsia="Arial" w:hAnsi="Arial"/>
                  <w:sz w:val="13"/>
                  <w:szCs w:val="13"/>
                  <w:u w:val="single" w:color="auto"/>
                  <w:color w:val="auto"/>
                </w:rPr>
                <w:t>8</w:t>
              </w:r>
            </w:hyperlink>
          </w:p>
        </w:tc>
        <w:tc>
          <w:tcPr>
            <w:tcW w:w="780" w:type="dxa"/>
            <w:vAlign w:val="bottom"/>
            <w:tcBorders>
              <w:left w:val="single" w:sz="8" w:color="DBDBDB"/>
            </w:tcBorders>
            <w:shd w:val="clear" w:color="auto" w:fill="DBDBDB"/>
          </w:tcPr>
          <w:p>
            <w:pPr>
              <w:spacing w:after="0"/>
              <w:rPr>
                <w:sz w:val="14"/>
                <w:szCs w:val="14"/>
                <w:color w:val="auto"/>
              </w:rPr>
            </w:pPr>
          </w:p>
        </w:tc>
        <w:tc>
          <w:tcPr>
            <w:tcW w:w="9800" w:type="dxa"/>
            <w:vAlign w:val="bottom"/>
            <w:gridSpan w:val="29"/>
            <w:shd w:val="clear" w:color="auto" w:fill="DBDBDB"/>
          </w:tcPr>
          <w:p>
            <w:pPr>
              <w:spacing w:after="0"/>
              <w:rPr>
                <w:rFonts w:ascii="Arial" w:cs="Arial" w:eastAsia="Arial" w:hAnsi="Arial"/>
                <w:sz w:val="13"/>
                <w:szCs w:val="13"/>
                <w:color w:val="auto"/>
              </w:rPr>
            </w:pPr>
            <w:hyperlink r:id="rId165">
              <w:r>
                <w:rPr>
                  <w:rFonts w:ascii="Arial" w:cs="Arial" w:eastAsia="Arial" w:hAnsi="Arial"/>
                  <w:sz w:val="13"/>
                  <w:szCs w:val="13"/>
                  <w:color w:val="auto"/>
                </w:rPr>
                <w:t>Employment Agreement, dated as of March 1, 2020, by and between WillScot Corporation and Kelly Williams (incorporated by reference to Exhibit 10.2 of WillScot</w:t>
              </w:r>
            </w:hyperlink>
          </w:p>
        </w:tc>
      </w:tr>
      <w:tr>
        <w:trPr>
          <w:trHeight w:val="91"/>
        </w:trPr>
        <w:tc>
          <w:tcPr>
            <w:tcW w:w="420" w:type="dxa"/>
            <w:vAlign w:val="bottom"/>
            <w:tcBorders>
              <w:top w:val="single" w:sz="8" w:color="DBDBDB"/>
              <w:right w:val="single" w:sz="8" w:color="DBDBDB"/>
            </w:tcBorders>
            <w:shd w:val="clear" w:color="auto" w:fill="DBDBDB"/>
          </w:tcPr>
          <w:p>
            <w:pPr>
              <w:spacing w:after="0"/>
              <w:rPr>
                <w:sz w:val="7"/>
                <w:szCs w:val="7"/>
                <w:color w:val="auto"/>
              </w:rPr>
            </w:pPr>
          </w:p>
        </w:tc>
        <w:tc>
          <w:tcPr>
            <w:tcW w:w="260" w:type="dxa"/>
            <w:vAlign w:val="bottom"/>
            <w:tcBorders>
              <w:top w:val="single" w:sz="8" w:color="auto"/>
            </w:tcBorders>
            <w:shd w:val="clear" w:color="auto" w:fill="DBDBDB"/>
          </w:tcPr>
          <w:p>
            <w:pPr>
              <w:spacing w:after="0"/>
              <w:rPr>
                <w:sz w:val="7"/>
                <w:szCs w:val="7"/>
                <w:color w:val="auto"/>
              </w:rPr>
            </w:pPr>
          </w:p>
        </w:tc>
        <w:tc>
          <w:tcPr>
            <w:tcW w:w="780" w:type="dxa"/>
            <w:vAlign w:val="bottom"/>
            <w:tcBorders>
              <w:top w:val="single" w:sz="8" w:color="DBDBDB"/>
              <w:left w:val="single" w:sz="8" w:color="DBDBDB"/>
            </w:tcBorders>
            <w:shd w:val="clear" w:color="auto" w:fill="DBDBDB"/>
          </w:tcPr>
          <w:p>
            <w:pPr>
              <w:spacing w:after="0"/>
              <w:rPr>
                <w:sz w:val="7"/>
                <w:szCs w:val="7"/>
                <w:color w:val="auto"/>
              </w:rPr>
            </w:pPr>
          </w:p>
        </w:tc>
        <w:tc>
          <w:tcPr>
            <w:tcW w:w="9420" w:type="dxa"/>
            <w:vAlign w:val="bottom"/>
            <w:tcBorders>
              <w:top w:val="single" w:sz="8" w:color="auto"/>
            </w:tcBorders>
            <w:gridSpan w:val="16"/>
            <w:shd w:val="clear" w:color="auto" w:fill="DBDBDB"/>
          </w:tcPr>
          <w:p>
            <w:pPr>
              <w:spacing w:after="0" w:line="92" w:lineRule="exact"/>
              <w:rPr>
                <w:rFonts w:ascii="Arial" w:cs="Arial" w:eastAsia="Arial" w:hAnsi="Arial"/>
                <w:sz w:val="10"/>
                <w:szCs w:val="10"/>
                <w:color w:val="auto"/>
              </w:rPr>
            </w:pPr>
            <w:hyperlink r:id="rId165">
              <w:r>
                <w:rPr>
                  <w:rFonts w:ascii="Arial" w:cs="Arial" w:eastAsia="Arial" w:hAnsi="Arial"/>
                  <w:sz w:val="10"/>
                  <w:szCs w:val="10"/>
                  <w:color w:val="auto"/>
                </w:rPr>
                <w:t>Corporation’s Current Report on Form 8-K, filed March 5, 2020).</w:t>
              </w:r>
            </w:hyperlink>
          </w:p>
        </w:tc>
        <w:tc>
          <w:tcPr>
            <w:tcW w:w="20" w:type="dxa"/>
            <w:vAlign w:val="bottom"/>
            <w:tcBorders>
              <w:top w:val="single" w:sz="8" w:color="DBDBDB"/>
            </w:tcBorders>
            <w:shd w:val="clear" w:color="auto" w:fill="DBDBDB"/>
          </w:tcPr>
          <w:p>
            <w:pPr>
              <w:spacing w:after="0"/>
              <w:rPr>
                <w:sz w:val="7"/>
                <w:szCs w:val="7"/>
                <w:color w:val="auto"/>
              </w:rPr>
            </w:pPr>
          </w:p>
        </w:tc>
        <w:tc>
          <w:tcPr>
            <w:tcW w:w="20" w:type="dxa"/>
            <w:vAlign w:val="bottom"/>
            <w:tcBorders>
              <w:top w:val="single" w:sz="8" w:color="DBDBDB"/>
            </w:tcBorders>
            <w:shd w:val="clear" w:color="auto" w:fill="DBDBDB"/>
          </w:tcPr>
          <w:p>
            <w:pPr>
              <w:spacing w:after="0"/>
              <w:rPr>
                <w:sz w:val="7"/>
                <w:szCs w:val="7"/>
                <w:color w:val="auto"/>
              </w:rPr>
            </w:pPr>
          </w:p>
        </w:tc>
        <w:tc>
          <w:tcPr>
            <w:tcW w:w="60" w:type="dxa"/>
            <w:vAlign w:val="bottom"/>
            <w:tcBorders>
              <w:top w:val="single" w:sz="8" w:color="DBDBDB"/>
            </w:tcBorders>
            <w:shd w:val="clear" w:color="auto" w:fill="DBDBDB"/>
          </w:tcPr>
          <w:p>
            <w:pPr>
              <w:spacing w:after="0"/>
              <w:rPr>
                <w:sz w:val="7"/>
                <w:szCs w:val="7"/>
                <w:color w:val="auto"/>
              </w:rPr>
            </w:pPr>
          </w:p>
        </w:tc>
        <w:tc>
          <w:tcPr>
            <w:tcW w:w="20" w:type="dxa"/>
            <w:vAlign w:val="bottom"/>
            <w:tcBorders>
              <w:top w:val="single" w:sz="8" w:color="DBDBDB"/>
            </w:tcBorders>
            <w:shd w:val="clear" w:color="auto" w:fill="DBDBDB"/>
          </w:tcPr>
          <w:p>
            <w:pPr>
              <w:spacing w:after="0"/>
              <w:rPr>
                <w:sz w:val="7"/>
                <w:szCs w:val="7"/>
                <w:color w:val="auto"/>
              </w:rPr>
            </w:pPr>
          </w:p>
        </w:tc>
        <w:tc>
          <w:tcPr>
            <w:tcW w:w="40" w:type="dxa"/>
            <w:vAlign w:val="bottom"/>
            <w:tcBorders>
              <w:top w:val="single" w:sz="8" w:color="DBDBDB"/>
            </w:tcBorders>
            <w:shd w:val="clear" w:color="auto" w:fill="DBDBDB"/>
          </w:tcPr>
          <w:p>
            <w:pPr>
              <w:spacing w:after="0"/>
              <w:rPr>
                <w:sz w:val="7"/>
                <w:szCs w:val="7"/>
                <w:color w:val="auto"/>
              </w:rPr>
            </w:pPr>
          </w:p>
        </w:tc>
        <w:tc>
          <w:tcPr>
            <w:tcW w:w="40" w:type="dxa"/>
            <w:vAlign w:val="bottom"/>
            <w:tcBorders>
              <w:top w:val="single" w:sz="8" w:color="DBDBDB"/>
            </w:tcBorders>
            <w:shd w:val="clear" w:color="auto" w:fill="DBDBDB"/>
          </w:tcPr>
          <w:p>
            <w:pPr>
              <w:spacing w:after="0"/>
              <w:rPr>
                <w:sz w:val="7"/>
                <w:szCs w:val="7"/>
                <w:color w:val="auto"/>
              </w:rPr>
            </w:pPr>
          </w:p>
        </w:tc>
        <w:tc>
          <w:tcPr>
            <w:tcW w:w="40" w:type="dxa"/>
            <w:vAlign w:val="bottom"/>
            <w:tcBorders>
              <w:top w:val="single" w:sz="8" w:color="DBDBDB"/>
            </w:tcBorders>
            <w:shd w:val="clear" w:color="auto" w:fill="DBDBDB"/>
          </w:tcPr>
          <w:p>
            <w:pPr>
              <w:spacing w:after="0"/>
              <w:rPr>
                <w:sz w:val="7"/>
                <w:szCs w:val="7"/>
                <w:color w:val="auto"/>
              </w:rPr>
            </w:pPr>
          </w:p>
        </w:tc>
        <w:tc>
          <w:tcPr>
            <w:tcW w:w="20" w:type="dxa"/>
            <w:vAlign w:val="bottom"/>
            <w:tcBorders>
              <w:top w:val="single" w:sz="8" w:color="DBDBDB"/>
            </w:tcBorders>
            <w:shd w:val="clear" w:color="auto" w:fill="DBDBDB"/>
          </w:tcPr>
          <w:p>
            <w:pPr>
              <w:spacing w:after="0"/>
              <w:rPr>
                <w:sz w:val="7"/>
                <w:szCs w:val="7"/>
                <w:color w:val="auto"/>
              </w:rPr>
            </w:pPr>
          </w:p>
        </w:tc>
        <w:tc>
          <w:tcPr>
            <w:tcW w:w="40" w:type="dxa"/>
            <w:vAlign w:val="bottom"/>
            <w:tcBorders>
              <w:top w:val="single" w:sz="8" w:color="DBDBDB"/>
            </w:tcBorders>
            <w:shd w:val="clear" w:color="auto" w:fill="DBDBDB"/>
          </w:tcPr>
          <w:p>
            <w:pPr>
              <w:spacing w:after="0"/>
              <w:rPr>
                <w:sz w:val="7"/>
                <w:szCs w:val="7"/>
                <w:color w:val="auto"/>
              </w:rPr>
            </w:pPr>
          </w:p>
        </w:tc>
        <w:tc>
          <w:tcPr>
            <w:tcW w:w="20" w:type="dxa"/>
            <w:vAlign w:val="bottom"/>
            <w:tcBorders>
              <w:top w:val="single" w:sz="8" w:color="DBDBDB"/>
            </w:tcBorders>
            <w:shd w:val="clear" w:color="auto" w:fill="DBDBDB"/>
          </w:tcPr>
          <w:p>
            <w:pPr>
              <w:spacing w:after="0"/>
              <w:rPr>
                <w:sz w:val="7"/>
                <w:szCs w:val="7"/>
                <w:color w:val="auto"/>
              </w:rPr>
            </w:pPr>
          </w:p>
        </w:tc>
        <w:tc>
          <w:tcPr>
            <w:tcW w:w="20" w:type="dxa"/>
            <w:vAlign w:val="bottom"/>
            <w:tcBorders>
              <w:top w:val="single" w:sz="8" w:color="DBDBDB"/>
            </w:tcBorders>
            <w:shd w:val="clear" w:color="auto" w:fill="DBDBDB"/>
          </w:tcPr>
          <w:p>
            <w:pPr>
              <w:spacing w:after="0"/>
              <w:rPr>
                <w:sz w:val="7"/>
                <w:szCs w:val="7"/>
                <w:color w:val="auto"/>
              </w:rPr>
            </w:pPr>
          </w:p>
        </w:tc>
        <w:tc>
          <w:tcPr>
            <w:tcW w:w="20" w:type="dxa"/>
            <w:vAlign w:val="bottom"/>
            <w:tcBorders>
              <w:top w:val="single" w:sz="8" w:color="DBDBDB"/>
            </w:tcBorders>
            <w:shd w:val="clear" w:color="auto" w:fill="DBDBDB"/>
          </w:tcPr>
          <w:p>
            <w:pPr>
              <w:spacing w:after="0"/>
              <w:rPr>
                <w:sz w:val="7"/>
                <w:szCs w:val="7"/>
                <w:color w:val="auto"/>
              </w:rPr>
            </w:pPr>
          </w:p>
        </w:tc>
        <w:tc>
          <w:tcPr>
            <w:tcW w:w="20" w:type="dxa"/>
            <w:vAlign w:val="bottom"/>
            <w:tcBorders>
              <w:top w:val="single" w:sz="8" w:color="DBDBDB"/>
            </w:tcBorders>
            <w:shd w:val="clear" w:color="auto" w:fill="DBDBDB"/>
          </w:tcPr>
          <w:p>
            <w:pPr>
              <w:spacing w:after="0"/>
              <w:rPr>
                <w:sz w:val="7"/>
                <w:szCs w:val="7"/>
                <w:color w:val="auto"/>
              </w:rPr>
            </w:pPr>
          </w:p>
        </w:tc>
      </w:tr>
      <w:tr>
        <w:trPr>
          <w:trHeight w:val="33"/>
        </w:trPr>
        <w:tc>
          <w:tcPr>
            <w:tcW w:w="420" w:type="dxa"/>
            <w:vAlign w:val="bottom"/>
            <w:tcBorders>
              <w:right w:val="single" w:sz="8" w:color="DBDBDB"/>
            </w:tcBorders>
            <w:shd w:val="clear" w:color="auto" w:fill="DBDBDB"/>
          </w:tcPr>
          <w:p>
            <w:pPr>
              <w:spacing w:after="0"/>
              <w:rPr>
                <w:sz w:val="2"/>
                <w:szCs w:val="2"/>
                <w:color w:val="auto"/>
              </w:rPr>
            </w:pPr>
          </w:p>
        </w:tc>
        <w:tc>
          <w:tcPr>
            <w:tcW w:w="260" w:type="dxa"/>
            <w:vAlign w:val="bottom"/>
            <w:shd w:val="clear" w:color="auto" w:fill="DBDBDB"/>
          </w:tcPr>
          <w:p>
            <w:pPr>
              <w:spacing w:after="0"/>
              <w:rPr>
                <w:sz w:val="2"/>
                <w:szCs w:val="2"/>
                <w:color w:val="auto"/>
              </w:rPr>
            </w:pPr>
          </w:p>
        </w:tc>
        <w:tc>
          <w:tcPr>
            <w:tcW w:w="780" w:type="dxa"/>
            <w:vAlign w:val="bottom"/>
            <w:tcBorders>
              <w:left w:val="single" w:sz="8" w:color="DBDBDB"/>
            </w:tcBorders>
            <w:shd w:val="clear" w:color="auto" w:fill="DBDBDB"/>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shd w:val="clear" w:color="auto" w:fill="DBDBDB"/>
          </w:tcPr>
          <w:p>
            <w:pPr>
              <w:spacing w:after="0"/>
              <w:rPr>
                <w:sz w:val="2"/>
                <w:szCs w:val="2"/>
                <w:color w:val="auto"/>
              </w:rPr>
            </w:pPr>
          </w:p>
        </w:tc>
        <w:tc>
          <w:tcPr>
            <w:tcW w:w="1080" w:type="dxa"/>
            <w:vAlign w:val="bottom"/>
            <w:shd w:val="clear" w:color="auto" w:fill="DBDBDB"/>
          </w:tcPr>
          <w:p>
            <w:pPr>
              <w:spacing w:after="0"/>
              <w:rPr>
                <w:sz w:val="2"/>
                <w:szCs w:val="2"/>
                <w:color w:val="auto"/>
              </w:rPr>
            </w:pPr>
          </w:p>
        </w:tc>
        <w:tc>
          <w:tcPr>
            <w:tcW w:w="800" w:type="dxa"/>
            <w:vAlign w:val="bottom"/>
            <w:shd w:val="clear" w:color="auto" w:fill="DBDBDB"/>
          </w:tcPr>
          <w:p>
            <w:pPr>
              <w:spacing w:after="0"/>
              <w:rPr>
                <w:sz w:val="2"/>
                <w:szCs w:val="2"/>
                <w:color w:val="auto"/>
              </w:rPr>
            </w:pPr>
          </w:p>
        </w:tc>
        <w:tc>
          <w:tcPr>
            <w:tcW w:w="1960" w:type="dxa"/>
            <w:vAlign w:val="bottom"/>
            <w:shd w:val="clear" w:color="auto" w:fill="DBDBDB"/>
          </w:tcPr>
          <w:p>
            <w:pPr>
              <w:spacing w:after="0"/>
              <w:rPr>
                <w:sz w:val="2"/>
                <w:szCs w:val="2"/>
                <w:color w:val="auto"/>
              </w:rPr>
            </w:pPr>
          </w:p>
        </w:tc>
        <w:tc>
          <w:tcPr>
            <w:tcW w:w="300" w:type="dxa"/>
            <w:vAlign w:val="bottom"/>
            <w:tcBorders>
              <w:left w:val="single" w:sz="8" w:color="DBDBDB"/>
            </w:tcBorders>
            <w:shd w:val="clear" w:color="auto" w:fill="DBDBDB"/>
          </w:tcPr>
          <w:p>
            <w:pPr>
              <w:spacing w:after="0"/>
              <w:rPr>
                <w:sz w:val="2"/>
                <w:szCs w:val="2"/>
                <w:color w:val="auto"/>
              </w:rPr>
            </w:pPr>
          </w:p>
        </w:tc>
        <w:tc>
          <w:tcPr>
            <w:tcW w:w="1020" w:type="dxa"/>
            <w:vAlign w:val="bottom"/>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6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r>
      <w:tr>
        <w:trPr>
          <w:trHeight w:val="142"/>
        </w:trPr>
        <w:tc>
          <w:tcPr>
            <w:tcW w:w="680" w:type="dxa"/>
            <w:vAlign w:val="bottom"/>
            <w:gridSpan w:val="2"/>
          </w:tcPr>
          <w:p>
            <w:pPr>
              <w:jc w:val="center"/>
              <w:ind w:left="354"/>
              <w:spacing w:after="0" w:line="142" w:lineRule="exact"/>
              <w:rPr>
                <w:rFonts w:ascii="Arial" w:cs="Arial" w:eastAsia="Arial" w:hAnsi="Arial"/>
                <w:sz w:val="13"/>
                <w:szCs w:val="13"/>
                <w:color w:val="auto"/>
              </w:rPr>
            </w:pPr>
            <w:hyperlink r:id="rId166">
              <w:r>
                <w:rPr>
                  <w:rFonts w:ascii="Arial" w:cs="Arial" w:eastAsia="Arial" w:hAnsi="Arial"/>
                  <w:sz w:val="13"/>
                  <w:szCs w:val="13"/>
                  <w:color w:val="auto"/>
                </w:rPr>
                <w:t>10.</w:t>
              </w:r>
              <w:r>
                <w:rPr>
                  <w:rFonts w:ascii="Arial" w:cs="Arial" w:eastAsia="Arial" w:hAnsi="Arial"/>
                  <w:sz w:val="13"/>
                  <w:szCs w:val="13"/>
                  <w:u w:val="single" w:color="auto"/>
                  <w:color w:val="auto"/>
                </w:rPr>
                <w:t>9</w:t>
              </w:r>
            </w:hyperlink>
          </w:p>
        </w:tc>
        <w:tc>
          <w:tcPr>
            <w:tcW w:w="780" w:type="dxa"/>
            <w:vAlign w:val="bottom"/>
          </w:tcPr>
          <w:p>
            <w:pPr>
              <w:spacing w:after="0"/>
              <w:rPr>
                <w:sz w:val="12"/>
                <w:szCs w:val="12"/>
                <w:color w:val="auto"/>
              </w:rPr>
            </w:pPr>
          </w:p>
        </w:tc>
        <w:tc>
          <w:tcPr>
            <w:tcW w:w="9800" w:type="dxa"/>
            <w:vAlign w:val="bottom"/>
            <w:gridSpan w:val="29"/>
          </w:tcPr>
          <w:p>
            <w:pPr>
              <w:spacing w:after="0" w:line="142" w:lineRule="exact"/>
              <w:rPr>
                <w:rFonts w:ascii="Arial" w:cs="Arial" w:eastAsia="Arial" w:hAnsi="Arial"/>
                <w:sz w:val="13"/>
                <w:szCs w:val="13"/>
                <w:color w:val="auto"/>
              </w:rPr>
            </w:pPr>
            <w:hyperlink r:id="rId166">
              <w:r>
                <w:rPr>
                  <w:rFonts w:ascii="Arial" w:cs="Arial" w:eastAsia="Arial" w:hAnsi="Arial"/>
                  <w:sz w:val="13"/>
                  <w:szCs w:val="13"/>
                  <w:color w:val="auto"/>
                </w:rPr>
                <w:t>Amended and Restated Employment Agreement, dated as of September 7, 2021, by and between WillScot Corporation and Timothy Boswell (incorporated by reference</w:t>
              </w:r>
            </w:hyperlink>
          </w:p>
        </w:tc>
      </w:tr>
      <w:tr>
        <w:trPr>
          <w:trHeight w:val="117"/>
        </w:trPr>
        <w:tc>
          <w:tcPr>
            <w:tcW w:w="4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5100" w:type="dxa"/>
            <w:vAlign w:val="bottom"/>
            <w:tcBorders>
              <w:top w:val="single" w:sz="8" w:color="auto"/>
              <w:bottom w:val="single" w:sz="8" w:color="auto"/>
            </w:tcBorders>
            <w:gridSpan w:val="11"/>
          </w:tcPr>
          <w:p>
            <w:pPr>
              <w:spacing w:after="0" w:line="111" w:lineRule="exact"/>
              <w:rPr>
                <w:rFonts w:ascii="Arial" w:cs="Arial" w:eastAsia="Arial" w:hAnsi="Arial"/>
                <w:sz w:val="12"/>
                <w:szCs w:val="12"/>
                <w:color w:val="auto"/>
              </w:rPr>
            </w:pPr>
            <w:hyperlink r:id="rId166">
              <w:r>
                <w:rPr>
                  <w:rFonts w:ascii="Arial" w:cs="Arial" w:eastAsia="Arial" w:hAnsi="Arial"/>
                  <w:sz w:val="12"/>
                  <w:szCs w:val="12"/>
                  <w:color w:val="auto"/>
                </w:rPr>
                <w:t>to Exhibit 10.2 of the Company’s Current Report on Form 8-K, filed September 8, 2021).</w:t>
              </w:r>
            </w:hyperlink>
          </w:p>
        </w:tc>
        <w:tc>
          <w:tcPr>
            <w:tcW w:w="4640" w:type="dxa"/>
            <w:vAlign w:val="bottom"/>
            <w:tcBorders>
              <w:top w:val="single" w:sz="8" w:color="auto"/>
            </w:tcBorders>
            <w:gridSpan w:val="1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8"/>
        </w:trPr>
        <w:tc>
          <w:tcPr>
            <w:tcW w:w="1460" w:type="dxa"/>
            <w:vAlign w:val="bottom"/>
            <w:gridSpan w:val="3"/>
            <w:shd w:val="clear" w:color="auto" w:fill="DBDBDB"/>
          </w:tcPr>
          <w:p>
            <w:pPr>
              <w:jc w:val="center"/>
              <w:ind w:right="380"/>
              <w:spacing w:after="0" w:line="149" w:lineRule="exact"/>
              <w:rPr>
                <w:rFonts w:ascii="Arial" w:cs="Arial" w:eastAsia="Arial" w:hAnsi="Arial"/>
                <w:sz w:val="13"/>
                <w:szCs w:val="13"/>
                <w:color w:val="auto"/>
                <w:w w:val="98"/>
              </w:rPr>
            </w:pPr>
            <w:hyperlink r:id="rId167">
              <w:r>
                <w:rPr>
                  <w:rFonts w:ascii="Arial" w:cs="Arial" w:eastAsia="Arial" w:hAnsi="Arial"/>
                  <w:sz w:val="13"/>
                  <w:szCs w:val="13"/>
                  <w:color w:val="auto"/>
                  <w:w w:val="98"/>
                </w:rPr>
                <w:t>10.</w:t>
              </w:r>
              <w:r>
                <w:rPr>
                  <w:rFonts w:ascii="Arial" w:cs="Arial" w:eastAsia="Arial" w:hAnsi="Arial"/>
                  <w:sz w:val="13"/>
                  <w:szCs w:val="13"/>
                  <w:u w:val="single" w:color="auto"/>
                  <w:color w:val="auto"/>
                  <w:w w:val="98"/>
                </w:rPr>
                <w:t>10</w:t>
              </w:r>
            </w:hyperlink>
          </w:p>
        </w:tc>
        <w:tc>
          <w:tcPr>
            <w:tcW w:w="9800" w:type="dxa"/>
            <w:vAlign w:val="bottom"/>
            <w:gridSpan w:val="29"/>
            <w:shd w:val="clear" w:color="auto" w:fill="DBDBDB"/>
          </w:tcPr>
          <w:p>
            <w:pPr>
              <w:spacing w:after="0" w:line="149" w:lineRule="exact"/>
              <w:rPr>
                <w:rFonts w:ascii="Arial" w:cs="Arial" w:eastAsia="Arial" w:hAnsi="Arial"/>
                <w:sz w:val="13"/>
                <w:szCs w:val="13"/>
                <w:color w:val="auto"/>
              </w:rPr>
            </w:pPr>
            <w:hyperlink r:id="rId167">
              <w:r>
                <w:rPr>
                  <w:rFonts w:ascii="Arial" w:cs="Arial" w:eastAsia="Arial" w:hAnsi="Arial"/>
                  <w:sz w:val="13"/>
                  <w:szCs w:val="13"/>
                  <w:color w:val="auto"/>
                </w:rPr>
                <w:t>Employment Agreement, dated as of March 1, 2020, by and between WillScot Corporation and Christopher Miner (incorporated by reference to Exhibit 10.4 of WillScot</w:t>
              </w:r>
            </w:hyperlink>
          </w:p>
        </w:tc>
      </w:tr>
      <w:tr>
        <w:trPr>
          <w:trHeight w:val="111"/>
        </w:trPr>
        <w:tc>
          <w:tcPr>
            <w:tcW w:w="420" w:type="dxa"/>
            <w:vAlign w:val="bottom"/>
            <w:tcBorders>
              <w:top w:val="single" w:sz="8" w:color="DBDBDB"/>
              <w:right w:val="single" w:sz="8" w:color="DBDBDB"/>
            </w:tcBorders>
            <w:shd w:val="clear" w:color="auto" w:fill="DBDBDB"/>
          </w:tcPr>
          <w:p>
            <w:pPr>
              <w:spacing w:after="0"/>
              <w:rPr>
                <w:sz w:val="9"/>
                <w:szCs w:val="9"/>
                <w:color w:val="auto"/>
              </w:rPr>
            </w:pPr>
          </w:p>
        </w:tc>
        <w:tc>
          <w:tcPr>
            <w:tcW w:w="260" w:type="dxa"/>
            <w:vAlign w:val="bottom"/>
            <w:tcBorders>
              <w:top w:val="single" w:sz="8" w:color="auto"/>
            </w:tcBorders>
            <w:shd w:val="clear" w:color="auto" w:fill="DBDBDB"/>
          </w:tcPr>
          <w:p>
            <w:pPr>
              <w:spacing w:after="0"/>
              <w:rPr>
                <w:sz w:val="9"/>
                <w:szCs w:val="9"/>
                <w:color w:val="auto"/>
              </w:rPr>
            </w:pPr>
          </w:p>
        </w:tc>
        <w:tc>
          <w:tcPr>
            <w:tcW w:w="780" w:type="dxa"/>
            <w:vAlign w:val="bottom"/>
            <w:tcBorders>
              <w:top w:val="single" w:sz="8" w:color="DBDBDB"/>
              <w:left w:val="single" w:sz="8" w:color="DBDBDB"/>
            </w:tcBorders>
            <w:shd w:val="clear" w:color="auto" w:fill="DBDBDB"/>
          </w:tcPr>
          <w:p>
            <w:pPr>
              <w:spacing w:after="0"/>
              <w:rPr>
                <w:sz w:val="9"/>
                <w:szCs w:val="9"/>
                <w:color w:val="auto"/>
              </w:rPr>
            </w:pPr>
          </w:p>
        </w:tc>
        <w:tc>
          <w:tcPr>
            <w:tcW w:w="9660" w:type="dxa"/>
            <w:vAlign w:val="bottom"/>
            <w:tcBorders>
              <w:top w:val="single" w:sz="8" w:color="auto"/>
            </w:tcBorders>
            <w:gridSpan w:val="23"/>
            <w:shd w:val="clear" w:color="auto" w:fill="DBDBDB"/>
          </w:tcPr>
          <w:p>
            <w:pPr>
              <w:spacing w:after="0" w:line="111" w:lineRule="exact"/>
              <w:rPr>
                <w:rFonts w:ascii="Arial" w:cs="Arial" w:eastAsia="Arial" w:hAnsi="Arial"/>
                <w:sz w:val="12"/>
                <w:szCs w:val="12"/>
                <w:color w:val="auto"/>
              </w:rPr>
            </w:pPr>
            <w:hyperlink r:id="rId167">
              <w:r>
                <w:rPr>
                  <w:rFonts w:ascii="Arial" w:cs="Arial" w:eastAsia="Arial" w:hAnsi="Arial"/>
                  <w:sz w:val="12"/>
                  <w:szCs w:val="12"/>
                  <w:color w:val="auto"/>
                </w:rPr>
                <w:t>Corporation’s Current Report on Form 8-K, filed March 5, 2020).</w:t>
              </w:r>
            </w:hyperlink>
          </w:p>
        </w:tc>
        <w:tc>
          <w:tcPr>
            <w:tcW w:w="20" w:type="dxa"/>
            <w:vAlign w:val="bottom"/>
            <w:tcBorders>
              <w:top w:val="single" w:sz="8" w:color="DBDBDB"/>
            </w:tcBorders>
            <w:shd w:val="clear" w:color="auto" w:fill="DBDBDB"/>
          </w:tcPr>
          <w:p>
            <w:pPr>
              <w:spacing w:after="0"/>
              <w:rPr>
                <w:sz w:val="9"/>
                <w:szCs w:val="9"/>
                <w:color w:val="auto"/>
              </w:rPr>
            </w:pPr>
          </w:p>
        </w:tc>
        <w:tc>
          <w:tcPr>
            <w:tcW w:w="40" w:type="dxa"/>
            <w:vAlign w:val="bottom"/>
            <w:tcBorders>
              <w:top w:val="single" w:sz="8" w:color="DBDBDB"/>
            </w:tcBorders>
            <w:shd w:val="clear" w:color="auto" w:fill="DBDBDB"/>
          </w:tcPr>
          <w:p>
            <w:pPr>
              <w:spacing w:after="0"/>
              <w:rPr>
                <w:sz w:val="9"/>
                <w:szCs w:val="9"/>
                <w:color w:val="auto"/>
              </w:rPr>
            </w:pPr>
          </w:p>
        </w:tc>
        <w:tc>
          <w:tcPr>
            <w:tcW w:w="40" w:type="dxa"/>
            <w:vAlign w:val="bottom"/>
            <w:tcBorders>
              <w:top w:val="single" w:sz="8" w:color="DBDBDB"/>
            </w:tcBorders>
            <w:gridSpan w:val="2"/>
            <w:shd w:val="clear" w:color="auto" w:fill="DBDBDB"/>
          </w:tcPr>
          <w:p>
            <w:pPr>
              <w:spacing w:after="0"/>
              <w:rPr>
                <w:sz w:val="9"/>
                <w:szCs w:val="9"/>
                <w:color w:val="auto"/>
              </w:rPr>
            </w:pPr>
          </w:p>
        </w:tc>
        <w:tc>
          <w:tcPr>
            <w:tcW w:w="20" w:type="dxa"/>
            <w:vAlign w:val="bottom"/>
            <w:tcBorders>
              <w:top w:val="single" w:sz="8" w:color="DBDBDB"/>
            </w:tcBorders>
            <w:shd w:val="clear" w:color="auto" w:fill="DBDBDB"/>
          </w:tcPr>
          <w:p>
            <w:pPr>
              <w:spacing w:after="0"/>
              <w:rPr>
                <w:sz w:val="9"/>
                <w:szCs w:val="9"/>
                <w:color w:val="auto"/>
              </w:rPr>
            </w:pPr>
          </w:p>
        </w:tc>
        <w:tc>
          <w:tcPr>
            <w:tcW w:w="20" w:type="dxa"/>
            <w:vAlign w:val="bottom"/>
            <w:tcBorders>
              <w:top w:val="single" w:sz="8" w:color="DBDBDB"/>
            </w:tcBorders>
            <w:shd w:val="clear" w:color="auto" w:fill="DBDBDB"/>
          </w:tcPr>
          <w:p>
            <w:pPr>
              <w:spacing w:after="0"/>
              <w:rPr>
                <w:sz w:val="9"/>
                <w:szCs w:val="9"/>
                <w:color w:val="auto"/>
              </w:rPr>
            </w:pPr>
          </w:p>
        </w:tc>
      </w:tr>
      <w:tr>
        <w:trPr>
          <w:trHeight w:val="33"/>
        </w:trPr>
        <w:tc>
          <w:tcPr>
            <w:tcW w:w="420" w:type="dxa"/>
            <w:vAlign w:val="bottom"/>
            <w:tcBorders>
              <w:right w:val="single" w:sz="8" w:color="DBDBDB"/>
            </w:tcBorders>
            <w:shd w:val="clear" w:color="auto" w:fill="DBDBDB"/>
          </w:tcPr>
          <w:p>
            <w:pPr>
              <w:spacing w:after="0"/>
              <w:rPr>
                <w:sz w:val="2"/>
                <w:szCs w:val="2"/>
                <w:color w:val="auto"/>
              </w:rPr>
            </w:pPr>
          </w:p>
        </w:tc>
        <w:tc>
          <w:tcPr>
            <w:tcW w:w="260" w:type="dxa"/>
            <w:vAlign w:val="bottom"/>
            <w:shd w:val="clear" w:color="auto" w:fill="DBDBDB"/>
          </w:tcPr>
          <w:p>
            <w:pPr>
              <w:spacing w:after="0"/>
              <w:rPr>
                <w:sz w:val="2"/>
                <w:szCs w:val="2"/>
                <w:color w:val="auto"/>
              </w:rPr>
            </w:pPr>
          </w:p>
        </w:tc>
        <w:tc>
          <w:tcPr>
            <w:tcW w:w="780" w:type="dxa"/>
            <w:vAlign w:val="bottom"/>
            <w:tcBorders>
              <w:left w:val="single" w:sz="8" w:color="DBDBDB"/>
            </w:tcBorders>
            <w:shd w:val="clear" w:color="auto" w:fill="DBDBDB"/>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shd w:val="clear" w:color="auto" w:fill="DBDBDB"/>
          </w:tcPr>
          <w:p>
            <w:pPr>
              <w:spacing w:after="0"/>
              <w:rPr>
                <w:sz w:val="2"/>
                <w:szCs w:val="2"/>
                <w:color w:val="auto"/>
              </w:rPr>
            </w:pPr>
          </w:p>
        </w:tc>
        <w:tc>
          <w:tcPr>
            <w:tcW w:w="1080" w:type="dxa"/>
            <w:vAlign w:val="bottom"/>
            <w:shd w:val="clear" w:color="auto" w:fill="DBDBDB"/>
          </w:tcPr>
          <w:p>
            <w:pPr>
              <w:spacing w:after="0"/>
              <w:rPr>
                <w:sz w:val="2"/>
                <w:szCs w:val="2"/>
                <w:color w:val="auto"/>
              </w:rPr>
            </w:pPr>
          </w:p>
        </w:tc>
        <w:tc>
          <w:tcPr>
            <w:tcW w:w="800" w:type="dxa"/>
            <w:vAlign w:val="bottom"/>
            <w:shd w:val="clear" w:color="auto" w:fill="DBDBDB"/>
          </w:tcPr>
          <w:p>
            <w:pPr>
              <w:spacing w:after="0"/>
              <w:rPr>
                <w:sz w:val="2"/>
                <w:szCs w:val="2"/>
                <w:color w:val="auto"/>
              </w:rPr>
            </w:pPr>
          </w:p>
        </w:tc>
        <w:tc>
          <w:tcPr>
            <w:tcW w:w="1960" w:type="dxa"/>
            <w:vAlign w:val="bottom"/>
            <w:shd w:val="clear" w:color="auto" w:fill="DBDBDB"/>
          </w:tcPr>
          <w:p>
            <w:pPr>
              <w:spacing w:after="0"/>
              <w:rPr>
                <w:sz w:val="2"/>
                <w:szCs w:val="2"/>
                <w:color w:val="auto"/>
              </w:rPr>
            </w:pPr>
          </w:p>
        </w:tc>
        <w:tc>
          <w:tcPr>
            <w:tcW w:w="300" w:type="dxa"/>
            <w:vAlign w:val="bottom"/>
            <w:tcBorders>
              <w:left w:val="single" w:sz="8" w:color="DBDBDB"/>
            </w:tcBorders>
            <w:shd w:val="clear" w:color="auto" w:fill="DBDBDB"/>
          </w:tcPr>
          <w:p>
            <w:pPr>
              <w:spacing w:after="0"/>
              <w:rPr>
                <w:sz w:val="2"/>
                <w:szCs w:val="2"/>
                <w:color w:val="auto"/>
              </w:rPr>
            </w:pPr>
          </w:p>
        </w:tc>
        <w:tc>
          <w:tcPr>
            <w:tcW w:w="1020" w:type="dxa"/>
            <w:vAlign w:val="bottom"/>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6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r>
      <w:tr>
        <w:trPr>
          <w:trHeight w:val="162"/>
        </w:trPr>
        <w:tc>
          <w:tcPr>
            <w:tcW w:w="1460" w:type="dxa"/>
            <w:vAlign w:val="bottom"/>
            <w:gridSpan w:val="3"/>
          </w:tcPr>
          <w:p>
            <w:pPr>
              <w:jc w:val="center"/>
              <w:ind w:right="380"/>
              <w:spacing w:after="0" w:line="142" w:lineRule="exact"/>
              <w:rPr>
                <w:rFonts w:ascii="Arial" w:cs="Arial" w:eastAsia="Arial" w:hAnsi="Arial"/>
                <w:sz w:val="13"/>
                <w:szCs w:val="13"/>
                <w:color w:val="auto"/>
                <w:w w:val="98"/>
              </w:rPr>
            </w:pPr>
            <w:hyperlink r:id="rId168">
              <w:r>
                <w:rPr>
                  <w:rFonts w:ascii="Arial" w:cs="Arial" w:eastAsia="Arial" w:hAnsi="Arial"/>
                  <w:sz w:val="13"/>
                  <w:szCs w:val="13"/>
                  <w:color w:val="auto"/>
                  <w:w w:val="98"/>
                </w:rPr>
                <w:t>10.</w:t>
              </w:r>
              <w:r>
                <w:rPr>
                  <w:rFonts w:ascii="Arial" w:cs="Arial" w:eastAsia="Arial" w:hAnsi="Arial"/>
                  <w:sz w:val="13"/>
                  <w:szCs w:val="13"/>
                  <w:u w:val="single" w:color="auto"/>
                  <w:color w:val="auto"/>
                  <w:w w:val="98"/>
                </w:rPr>
                <w:t>11</w:t>
              </w:r>
            </w:hyperlink>
          </w:p>
        </w:tc>
        <w:tc>
          <w:tcPr>
            <w:tcW w:w="9800" w:type="dxa"/>
            <w:vAlign w:val="bottom"/>
            <w:gridSpan w:val="29"/>
          </w:tcPr>
          <w:p>
            <w:pPr>
              <w:spacing w:after="0" w:line="142" w:lineRule="exact"/>
              <w:rPr>
                <w:rFonts w:ascii="Arial" w:cs="Arial" w:eastAsia="Arial" w:hAnsi="Arial"/>
                <w:sz w:val="13"/>
                <w:szCs w:val="13"/>
                <w:color w:val="auto"/>
              </w:rPr>
            </w:pPr>
            <w:hyperlink r:id="rId168">
              <w:r>
                <w:rPr>
                  <w:rFonts w:ascii="Arial" w:cs="Arial" w:eastAsia="Arial" w:hAnsi="Arial"/>
                  <w:sz w:val="13"/>
                  <w:szCs w:val="13"/>
                  <w:color w:val="auto"/>
                </w:rPr>
                <w:t>Employment Agreement, dated as of March 1, 2020, by and between WillScot Corporation and Hezron Lopez (incorporated by reference to Exhibit 10.5 of WillScot</w:t>
              </w:r>
            </w:hyperlink>
          </w:p>
        </w:tc>
      </w:tr>
      <w:tr>
        <w:trPr>
          <w:trHeight w:val="91"/>
        </w:trPr>
        <w:tc>
          <w:tcPr>
            <w:tcW w:w="42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9440" w:type="dxa"/>
            <w:vAlign w:val="bottom"/>
            <w:tcBorders>
              <w:top w:val="single" w:sz="8" w:color="auto"/>
            </w:tcBorders>
            <w:gridSpan w:val="17"/>
          </w:tcPr>
          <w:p>
            <w:pPr>
              <w:spacing w:after="0" w:line="92" w:lineRule="exact"/>
              <w:rPr>
                <w:rFonts w:ascii="Arial" w:cs="Arial" w:eastAsia="Arial" w:hAnsi="Arial"/>
                <w:sz w:val="10"/>
                <w:szCs w:val="10"/>
                <w:color w:val="auto"/>
              </w:rPr>
            </w:pPr>
            <w:hyperlink r:id="rId168">
              <w:r>
                <w:rPr>
                  <w:rFonts w:ascii="Arial" w:cs="Arial" w:eastAsia="Arial" w:hAnsi="Arial"/>
                  <w:sz w:val="10"/>
                  <w:szCs w:val="10"/>
                  <w:color w:val="auto"/>
                </w:rPr>
                <w:t>Corporation’s Current Report on Form 8-K, filed March 5, 2020).</w:t>
              </w:r>
            </w:hyperlink>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gridSpan w:val="2"/>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6"/>
        </w:trPr>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48"/>
        </w:trPr>
        <w:tc>
          <w:tcPr>
            <w:tcW w:w="1460" w:type="dxa"/>
            <w:vAlign w:val="bottom"/>
            <w:gridSpan w:val="3"/>
            <w:shd w:val="clear" w:color="auto" w:fill="DBDBDB"/>
          </w:tcPr>
          <w:p>
            <w:pPr>
              <w:jc w:val="center"/>
              <w:ind w:right="380"/>
              <w:spacing w:after="0" w:line="149" w:lineRule="exact"/>
              <w:rPr>
                <w:rFonts w:ascii="Arial" w:cs="Arial" w:eastAsia="Arial" w:hAnsi="Arial"/>
                <w:sz w:val="13"/>
                <w:szCs w:val="13"/>
                <w:color w:val="auto"/>
                <w:w w:val="98"/>
              </w:rPr>
            </w:pPr>
            <w:hyperlink r:id="rId169">
              <w:r>
                <w:rPr>
                  <w:rFonts w:ascii="Arial" w:cs="Arial" w:eastAsia="Arial" w:hAnsi="Arial"/>
                  <w:sz w:val="13"/>
                  <w:szCs w:val="13"/>
                  <w:color w:val="auto"/>
                  <w:w w:val="98"/>
                </w:rPr>
                <w:t>10.</w:t>
              </w:r>
              <w:r>
                <w:rPr>
                  <w:rFonts w:ascii="Arial" w:cs="Arial" w:eastAsia="Arial" w:hAnsi="Arial"/>
                  <w:sz w:val="13"/>
                  <w:szCs w:val="13"/>
                  <w:u w:val="single" w:color="auto"/>
                  <w:color w:val="auto"/>
                  <w:w w:val="98"/>
                </w:rPr>
                <w:t>12</w:t>
              </w:r>
            </w:hyperlink>
          </w:p>
        </w:tc>
        <w:tc>
          <w:tcPr>
            <w:tcW w:w="9800" w:type="dxa"/>
            <w:vAlign w:val="bottom"/>
            <w:gridSpan w:val="29"/>
            <w:shd w:val="clear" w:color="auto" w:fill="DBDBDB"/>
          </w:tcPr>
          <w:p>
            <w:pPr>
              <w:spacing w:after="0" w:line="149" w:lineRule="exact"/>
              <w:rPr>
                <w:rFonts w:ascii="Arial" w:cs="Arial" w:eastAsia="Arial" w:hAnsi="Arial"/>
                <w:sz w:val="13"/>
                <w:szCs w:val="13"/>
                <w:color w:val="auto"/>
              </w:rPr>
            </w:pPr>
            <w:hyperlink r:id="rId169">
              <w:r>
                <w:rPr>
                  <w:rFonts w:ascii="Arial" w:cs="Arial" w:eastAsia="Arial" w:hAnsi="Arial"/>
                  <w:sz w:val="13"/>
                  <w:szCs w:val="13"/>
                  <w:color w:val="auto"/>
                </w:rPr>
                <w:t>Employment Letter with Sally Shanks dated August 23, 2017 (incorporated by reference to Exhibit 10.17 of WillScot Corporation’s Annual Report on Form 10-K, filed</w:t>
              </w:r>
            </w:hyperlink>
          </w:p>
        </w:tc>
      </w:tr>
      <w:tr>
        <w:trPr>
          <w:trHeight w:val="111"/>
        </w:trPr>
        <w:tc>
          <w:tcPr>
            <w:tcW w:w="420" w:type="dxa"/>
            <w:vAlign w:val="bottom"/>
            <w:tcBorders>
              <w:top w:val="single" w:sz="8" w:color="DBDBDB"/>
              <w:right w:val="single" w:sz="8" w:color="DBDBDB"/>
            </w:tcBorders>
            <w:shd w:val="clear" w:color="auto" w:fill="DBDBDB"/>
          </w:tcPr>
          <w:p>
            <w:pPr>
              <w:spacing w:after="0"/>
              <w:rPr>
                <w:sz w:val="9"/>
                <w:szCs w:val="9"/>
                <w:color w:val="auto"/>
              </w:rPr>
            </w:pPr>
          </w:p>
        </w:tc>
        <w:tc>
          <w:tcPr>
            <w:tcW w:w="260" w:type="dxa"/>
            <w:vAlign w:val="bottom"/>
            <w:tcBorders>
              <w:top w:val="single" w:sz="8" w:color="auto"/>
            </w:tcBorders>
            <w:shd w:val="clear" w:color="auto" w:fill="DBDBDB"/>
          </w:tcPr>
          <w:p>
            <w:pPr>
              <w:spacing w:after="0"/>
              <w:rPr>
                <w:sz w:val="9"/>
                <w:szCs w:val="9"/>
                <w:color w:val="auto"/>
              </w:rPr>
            </w:pPr>
          </w:p>
        </w:tc>
        <w:tc>
          <w:tcPr>
            <w:tcW w:w="780" w:type="dxa"/>
            <w:vAlign w:val="bottom"/>
            <w:tcBorders>
              <w:top w:val="single" w:sz="8" w:color="DBDBDB"/>
              <w:left w:val="single" w:sz="8" w:color="DBDBDB"/>
            </w:tcBorders>
            <w:shd w:val="clear" w:color="auto" w:fill="DBDBDB"/>
          </w:tcPr>
          <w:p>
            <w:pPr>
              <w:spacing w:after="0"/>
              <w:rPr>
                <w:sz w:val="9"/>
                <w:szCs w:val="9"/>
                <w:color w:val="auto"/>
              </w:rPr>
            </w:pPr>
          </w:p>
        </w:tc>
        <w:tc>
          <w:tcPr>
            <w:tcW w:w="9520" w:type="dxa"/>
            <w:vAlign w:val="bottom"/>
            <w:tcBorders>
              <w:top w:val="single" w:sz="8" w:color="auto"/>
            </w:tcBorders>
            <w:gridSpan w:val="19"/>
            <w:shd w:val="clear" w:color="auto" w:fill="DBDBDB"/>
          </w:tcPr>
          <w:p>
            <w:pPr>
              <w:spacing w:after="0" w:line="111" w:lineRule="exact"/>
              <w:rPr>
                <w:rFonts w:ascii="Arial" w:cs="Arial" w:eastAsia="Arial" w:hAnsi="Arial"/>
                <w:sz w:val="12"/>
                <w:szCs w:val="12"/>
                <w:color w:val="auto"/>
              </w:rPr>
            </w:pPr>
            <w:hyperlink r:id="rId169">
              <w:r>
                <w:rPr>
                  <w:rFonts w:ascii="Arial" w:cs="Arial" w:eastAsia="Arial" w:hAnsi="Arial"/>
                  <w:sz w:val="12"/>
                  <w:szCs w:val="12"/>
                  <w:color w:val="auto"/>
                </w:rPr>
                <w:t>March 16, 2018).</w:t>
              </w:r>
            </w:hyperlink>
          </w:p>
        </w:tc>
        <w:tc>
          <w:tcPr>
            <w:tcW w:w="20" w:type="dxa"/>
            <w:vAlign w:val="bottom"/>
            <w:tcBorders>
              <w:top w:val="single" w:sz="8" w:color="DBDBDB"/>
            </w:tcBorders>
            <w:shd w:val="clear" w:color="auto" w:fill="DBDBDB"/>
          </w:tcPr>
          <w:p>
            <w:pPr>
              <w:spacing w:after="0"/>
              <w:rPr>
                <w:sz w:val="9"/>
                <w:szCs w:val="9"/>
                <w:color w:val="auto"/>
              </w:rPr>
            </w:pPr>
          </w:p>
        </w:tc>
        <w:tc>
          <w:tcPr>
            <w:tcW w:w="40" w:type="dxa"/>
            <w:vAlign w:val="bottom"/>
            <w:tcBorders>
              <w:top w:val="single" w:sz="8" w:color="DBDBDB"/>
            </w:tcBorders>
            <w:shd w:val="clear" w:color="auto" w:fill="DBDBDB"/>
          </w:tcPr>
          <w:p>
            <w:pPr>
              <w:spacing w:after="0"/>
              <w:rPr>
                <w:sz w:val="9"/>
                <w:szCs w:val="9"/>
                <w:color w:val="auto"/>
              </w:rPr>
            </w:pPr>
          </w:p>
        </w:tc>
        <w:tc>
          <w:tcPr>
            <w:tcW w:w="40" w:type="dxa"/>
            <w:vAlign w:val="bottom"/>
            <w:tcBorders>
              <w:top w:val="single" w:sz="8" w:color="DBDBDB"/>
            </w:tcBorders>
            <w:shd w:val="clear" w:color="auto" w:fill="DBDBDB"/>
          </w:tcPr>
          <w:p>
            <w:pPr>
              <w:spacing w:after="0"/>
              <w:rPr>
                <w:sz w:val="9"/>
                <w:szCs w:val="9"/>
                <w:color w:val="auto"/>
              </w:rPr>
            </w:pPr>
          </w:p>
        </w:tc>
        <w:tc>
          <w:tcPr>
            <w:tcW w:w="60" w:type="dxa"/>
            <w:vAlign w:val="bottom"/>
            <w:tcBorders>
              <w:top w:val="single" w:sz="8" w:color="DBDBDB"/>
            </w:tcBorders>
            <w:gridSpan w:val="2"/>
            <w:shd w:val="clear" w:color="auto" w:fill="DBDBDB"/>
          </w:tcPr>
          <w:p>
            <w:pPr>
              <w:spacing w:after="0"/>
              <w:rPr>
                <w:sz w:val="9"/>
                <w:szCs w:val="9"/>
                <w:color w:val="auto"/>
              </w:rPr>
            </w:pPr>
          </w:p>
        </w:tc>
        <w:tc>
          <w:tcPr>
            <w:tcW w:w="40" w:type="dxa"/>
            <w:vAlign w:val="bottom"/>
            <w:tcBorders>
              <w:top w:val="single" w:sz="8" w:color="DBDBDB"/>
            </w:tcBorders>
            <w:shd w:val="clear" w:color="auto" w:fill="DBDBDB"/>
          </w:tcPr>
          <w:p>
            <w:pPr>
              <w:spacing w:after="0"/>
              <w:rPr>
                <w:sz w:val="9"/>
                <w:szCs w:val="9"/>
                <w:color w:val="auto"/>
              </w:rPr>
            </w:pPr>
          </w:p>
        </w:tc>
        <w:tc>
          <w:tcPr>
            <w:tcW w:w="40" w:type="dxa"/>
            <w:vAlign w:val="bottom"/>
            <w:tcBorders>
              <w:top w:val="single" w:sz="8" w:color="DBDBDB"/>
            </w:tcBorders>
            <w:gridSpan w:val="2"/>
            <w:shd w:val="clear" w:color="auto" w:fill="DBDBDB"/>
          </w:tcPr>
          <w:p>
            <w:pPr>
              <w:spacing w:after="0"/>
              <w:rPr>
                <w:sz w:val="9"/>
                <w:szCs w:val="9"/>
                <w:color w:val="auto"/>
              </w:rPr>
            </w:pPr>
          </w:p>
        </w:tc>
        <w:tc>
          <w:tcPr>
            <w:tcW w:w="20" w:type="dxa"/>
            <w:vAlign w:val="bottom"/>
            <w:tcBorders>
              <w:top w:val="single" w:sz="8" w:color="DBDBDB"/>
            </w:tcBorders>
            <w:shd w:val="clear" w:color="auto" w:fill="DBDBDB"/>
          </w:tcPr>
          <w:p>
            <w:pPr>
              <w:spacing w:after="0"/>
              <w:rPr>
                <w:sz w:val="9"/>
                <w:szCs w:val="9"/>
                <w:color w:val="auto"/>
              </w:rPr>
            </w:pPr>
          </w:p>
        </w:tc>
        <w:tc>
          <w:tcPr>
            <w:tcW w:w="20" w:type="dxa"/>
            <w:vAlign w:val="bottom"/>
            <w:tcBorders>
              <w:top w:val="single" w:sz="8" w:color="DBDBDB"/>
            </w:tcBorders>
            <w:shd w:val="clear" w:color="auto" w:fill="DBDBDB"/>
          </w:tcPr>
          <w:p>
            <w:pPr>
              <w:spacing w:after="0"/>
              <w:rPr>
                <w:sz w:val="9"/>
                <w:szCs w:val="9"/>
                <w:color w:val="auto"/>
              </w:rPr>
            </w:pPr>
          </w:p>
        </w:tc>
      </w:tr>
      <w:tr>
        <w:trPr>
          <w:trHeight w:val="33"/>
        </w:trPr>
        <w:tc>
          <w:tcPr>
            <w:tcW w:w="420" w:type="dxa"/>
            <w:vAlign w:val="bottom"/>
            <w:tcBorders>
              <w:right w:val="single" w:sz="8" w:color="DBDBDB"/>
            </w:tcBorders>
            <w:shd w:val="clear" w:color="auto" w:fill="DBDBDB"/>
          </w:tcPr>
          <w:p>
            <w:pPr>
              <w:spacing w:after="0"/>
              <w:rPr>
                <w:sz w:val="2"/>
                <w:szCs w:val="2"/>
                <w:color w:val="auto"/>
              </w:rPr>
            </w:pPr>
          </w:p>
        </w:tc>
        <w:tc>
          <w:tcPr>
            <w:tcW w:w="260" w:type="dxa"/>
            <w:vAlign w:val="bottom"/>
            <w:shd w:val="clear" w:color="auto" w:fill="DBDBDB"/>
          </w:tcPr>
          <w:p>
            <w:pPr>
              <w:spacing w:after="0"/>
              <w:rPr>
                <w:sz w:val="2"/>
                <w:szCs w:val="2"/>
                <w:color w:val="auto"/>
              </w:rPr>
            </w:pPr>
          </w:p>
        </w:tc>
        <w:tc>
          <w:tcPr>
            <w:tcW w:w="780" w:type="dxa"/>
            <w:vAlign w:val="bottom"/>
            <w:tcBorders>
              <w:left w:val="single" w:sz="8" w:color="DBDBDB"/>
            </w:tcBorders>
            <w:shd w:val="clear" w:color="auto" w:fill="DBDBDB"/>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shd w:val="clear" w:color="auto" w:fill="DBDBDB"/>
          </w:tcPr>
          <w:p>
            <w:pPr>
              <w:spacing w:after="0"/>
              <w:rPr>
                <w:sz w:val="2"/>
                <w:szCs w:val="2"/>
                <w:color w:val="auto"/>
              </w:rPr>
            </w:pPr>
          </w:p>
        </w:tc>
        <w:tc>
          <w:tcPr>
            <w:tcW w:w="100" w:type="dxa"/>
            <w:vAlign w:val="bottom"/>
            <w:tcBorders>
              <w:left w:val="single" w:sz="8" w:color="DBDBDB"/>
            </w:tcBorders>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28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440" w:type="dxa"/>
            <w:vAlign w:val="bottom"/>
            <w:shd w:val="clear" w:color="auto" w:fill="DBDBDB"/>
          </w:tcPr>
          <w:p>
            <w:pPr>
              <w:spacing w:after="0"/>
              <w:rPr>
                <w:sz w:val="2"/>
                <w:szCs w:val="2"/>
                <w:color w:val="auto"/>
              </w:rPr>
            </w:pPr>
          </w:p>
        </w:tc>
        <w:tc>
          <w:tcPr>
            <w:tcW w:w="500" w:type="dxa"/>
            <w:vAlign w:val="bottom"/>
            <w:shd w:val="clear" w:color="auto" w:fill="DBDBDB"/>
          </w:tcPr>
          <w:p>
            <w:pPr>
              <w:spacing w:after="0"/>
              <w:rPr>
                <w:sz w:val="2"/>
                <w:szCs w:val="2"/>
                <w:color w:val="auto"/>
              </w:rPr>
            </w:pPr>
          </w:p>
        </w:tc>
        <w:tc>
          <w:tcPr>
            <w:tcW w:w="320" w:type="dxa"/>
            <w:vAlign w:val="bottom"/>
            <w:shd w:val="clear" w:color="auto" w:fill="DBDBDB"/>
          </w:tcPr>
          <w:p>
            <w:pPr>
              <w:spacing w:after="0"/>
              <w:rPr>
                <w:sz w:val="2"/>
                <w:szCs w:val="2"/>
                <w:color w:val="auto"/>
              </w:rPr>
            </w:pPr>
          </w:p>
        </w:tc>
        <w:tc>
          <w:tcPr>
            <w:tcW w:w="1080" w:type="dxa"/>
            <w:vAlign w:val="bottom"/>
            <w:shd w:val="clear" w:color="auto" w:fill="DBDBDB"/>
          </w:tcPr>
          <w:p>
            <w:pPr>
              <w:spacing w:after="0"/>
              <w:rPr>
                <w:sz w:val="2"/>
                <w:szCs w:val="2"/>
                <w:color w:val="auto"/>
              </w:rPr>
            </w:pPr>
          </w:p>
        </w:tc>
        <w:tc>
          <w:tcPr>
            <w:tcW w:w="800" w:type="dxa"/>
            <w:vAlign w:val="bottom"/>
            <w:shd w:val="clear" w:color="auto" w:fill="DBDBDB"/>
          </w:tcPr>
          <w:p>
            <w:pPr>
              <w:spacing w:after="0"/>
              <w:rPr>
                <w:sz w:val="2"/>
                <w:szCs w:val="2"/>
                <w:color w:val="auto"/>
              </w:rPr>
            </w:pPr>
          </w:p>
        </w:tc>
        <w:tc>
          <w:tcPr>
            <w:tcW w:w="1960" w:type="dxa"/>
            <w:vAlign w:val="bottom"/>
            <w:shd w:val="clear" w:color="auto" w:fill="DBDBDB"/>
          </w:tcPr>
          <w:p>
            <w:pPr>
              <w:spacing w:after="0"/>
              <w:rPr>
                <w:sz w:val="2"/>
                <w:szCs w:val="2"/>
                <w:color w:val="auto"/>
              </w:rPr>
            </w:pPr>
          </w:p>
        </w:tc>
        <w:tc>
          <w:tcPr>
            <w:tcW w:w="300" w:type="dxa"/>
            <w:vAlign w:val="bottom"/>
            <w:tcBorders>
              <w:left w:val="single" w:sz="8" w:color="DBDBDB"/>
            </w:tcBorders>
            <w:shd w:val="clear" w:color="auto" w:fill="DBDBDB"/>
          </w:tcPr>
          <w:p>
            <w:pPr>
              <w:spacing w:after="0"/>
              <w:rPr>
                <w:sz w:val="2"/>
                <w:szCs w:val="2"/>
                <w:color w:val="auto"/>
              </w:rPr>
            </w:pPr>
          </w:p>
        </w:tc>
        <w:tc>
          <w:tcPr>
            <w:tcW w:w="1020" w:type="dxa"/>
            <w:vAlign w:val="bottom"/>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6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r>
      <w:tr>
        <w:trPr>
          <w:trHeight w:val="142"/>
        </w:trPr>
        <w:tc>
          <w:tcPr>
            <w:tcW w:w="1460" w:type="dxa"/>
            <w:vAlign w:val="bottom"/>
            <w:gridSpan w:val="3"/>
          </w:tcPr>
          <w:p>
            <w:pPr>
              <w:jc w:val="center"/>
              <w:ind w:right="380"/>
              <w:spacing w:after="0" w:line="142" w:lineRule="exact"/>
              <w:rPr>
                <w:rFonts w:ascii="Arial" w:cs="Arial" w:eastAsia="Arial" w:hAnsi="Arial"/>
                <w:sz w:val="13"/>
                <w:szCs w:val="13"/>
                <w:color w:val="auto"/>
                <w:w w:val="98"/>
              </w:rPr>
            </w:pPr>
            <w:hyperlink r:id="rId170">
              <w:r>
                <w:rPr>
                  <w:rFonts w:ascii="Arial" w:cs="Arial" w:eastAsia="Arial" w:hAnsi="Arial"/>
                  <w:sz w:val="13"/>
                  <w:szCs w:val="13"/>
                  <w:color w:val="auto"/>
                  <w:w w:val="98"/>
                </w:rPr>
                <w:t>10.</w:t>
              </w:r>
              <w:r>
                <w:rPr>
                  <w:rFonts w:ascii="Arial" w:cs="Arial" w:eastAsia="Arial" w:hAnsi="Arial"/>
                  <w:sz w:val="13"/>
                  <w:szCs w:val="13"/>
                  <w:u w:val="single" w:color="auto"/>
                  <w:color w:val="auto"/>
                  <w:w w:val="98"/>
                </w:rPr>
                <w:t>13</w:t>
              </w:r>
            </w:hyperlink>
          </w:p>
        </w:tc>
        <w:tc>
          <w:tcPr>
            <w:tcW w:w="9800" w:type="dxa"/>
            <w:vAlign w:val="bottom"/>
            <w:gridSpan w:val="29"/>
          </w:tcPr>
          <w:p>
            <w:pPr>
              <w:spacing w:after="0" w:line="142" w:lineRule="exact"/>
              <w:rPr>
                <w:rFonts w:ascii="Arial" w:cs="Arial" w:eastAsia="Arial" w:hAnsi="Arial"/>
                <w:sz w:val="13"/>
                <w:szCs w:val="13"/>
                <w:color w:val="auto"/>
              </w:rPr>
            </w:pPr>
            <w:hyperlink r:id="rId170">
              <w:r>
                <w:rPr>
                  <w:rFonts w:ascii="Arial" w:cs="Arial" w:eastAsia="Arial" w:hAnsi="Arial"/>
                  <w:sz w:val="13"/>
                  <w:szCs w:val="13"/>
                  <w:color w:val="auto"/>
                </w:rPr>
                <w:t>Amended Employment Letter with Sally Shanks dated March 18, 2019 (incorporated by reference to Exhibit 10.1 to WillScot Corporation’s Current Report on Form 8-K,</w:t>
              </w:r>
            </w:hyperlink>
          </w:p>
        </w:tc>
      </w:tr>
      <w:tr>
        <w:trPr>
          <w:trHeight w:val="111"/>
        </w:trPr>
        <w:tc>
          <w:tcPr>
            <w:tcW w:w="42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9680" w:type="dxa"/>
            <w:vAlign w:val="bottom"/>
            <w:tcBorders>
              <w:top w:val="single" w:sz="8" w:color="auto"/>
            </w:tcBorders>
            <w:gridSpan w:val="24"/>
          </w:tcPr>
          <w:p>
            <w:pPr>
              <w:spacing w:after="0" w:line="111" w:lineRule="exact"/>
              <w:rPr>
                <w:rFonts w:ascii="Arial" w:cs="Arial" w:eastAsia="Arial" w:hAnsi="Arial"/>
                <w:sz w:val="12"/>
                <w:szCs w:val="12"/>
                <w:color w:val="auto"/>
              </w:rPr>
            </w:pPr>
            <w:hyperlink r:id="rId170">
              <w:r>
                <w:rPr>
                  <w:rFonts w:ascii="Arial" w:cs="Arial" w:eastAsia="Arial" w:hAnsi="Arial"/>
                  <w:sz w:val="12"/>
                  <w:szCs w:val="12"/>
                  <w:color w:val="auto"/>
                </w:rPr>
                <w:t>filed March 21, 2019).</w:t>
              </w:r>
            </w:hyperlink>
          </w:p>
        </w:tc>
        <w:tc>
          <w:tcPr>
            <w:tcW w:w="4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6"/>
        </w:trPr>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48"/>
        </w:trPr>
        <w:tc>
          <w:tcPr>
            <w:tcW w:w="420" w:type="dxa"/>
            <w:vAlign w:val="bottom"/>
            <w:tcBorders>
              <w:right w:val="single" w:sz="8" w:color="DBDBDB"/>
            </w:tcBorders>
            <w:shd w:val="clear" w:color="auto" w:fill="DBDBDB"/>
          </w:tcPr>
          <w:p>
            <w:pPr>
              <w:spacing w:after="0"/>
              <w:rPr>
                <w:sz w:val="12"/>
                <w:szCs w:val="12"/>
                <w:color w:val="auto"/>
              </w:rPr>
            </w:pPr>
          </w:p>
        </w:tc>
        <w:tc>
          <w:tcPr>
            <w:tcW w:w="1040" w:type="dxa"/>
            <w:vAlign w:val="bottom"/>
            <w:gridSpan w:val="2"/>
            <w:shd w:val="clear" w:color="auto" w:fill="DBDBDB"/>
          </w:tcPr>
          <w:p>
            <w:pPr>
              <w:jc w:val="center"/>
              <w:ind w:right="760"/>
              <w:spacing w:after="0" w:line="149" w:lineRule="exact"/>
              <w:rPr>
                <w:rFonts w:ascii="Arial" w:cs="Arial" w:eastAsia="Arial" w:hAnsi="Arial"/>
                <w:sz w:val="13"/>
                <w:szCs w:val="13"/>
                <w:color w:val="auto"/>
                <w:w w:val="85"/>
              </w:rPr>
            </w:pPr>
            <w:hyperlink w:anchor="page129">
              <w:r>
                <w:rPr>
                  <w:rFonts w:ascii="Arial" w:cs="Arial" w:eastAsia="Arial" w:hAnsi="Arial"/>
                  <w:sz w:val="13"/>
                  <w:szCs w:val="13"/>
                  <w:color w:val="auto"/>
                  <w:w w:val="85"/>
                </w:rPr>
                <w:t>10.</w:t>
              </w:r>
              <w:r>
                <w:rPr>
                  <w:rFonts w:ascii="Arial" w:cs="Arial" w:eastAsia="Arial" w:hAnsi="Arial"/>
                  <w:sz w:val="13"/>
                  <w:szCs w:val="13"/>
                  <w:u w:val="single" w:color="auto"/>
                  <w:color w:val="auto"/>
                  <w:w w:val="85"/>
                </w:rPr>
                <w:t>14</w:t>
              </w:r>
            </w:hyperlink>
          </w:p>
        </w:tc>
        <w:tc>
          <w:tcPr>
            <w:tcW w:w="9800" w:type="dxa"/>
            <w:vAlign w:val="bottom"/>
            <w:gridSpan w:val="29"/>
            <w:shd w:val="clear" w:color="auto" w:fill="DBDBDB"/>
          </w:tcPr>
          <w:p>
            <w:pPr>
              <w:spacing w:after="0" w:line="149" w:lineRule="exact"/>
              <w:rPr>
                <w:rFonts w:ascii="Arial" w:cs="Arial" w:eastAsia="Arial" w:hAnsi="Arial"/>
                <w:sz w:val="13"/>
                <w:szCs w:val="13"/>
                <w:color w:val="auto"/>
              </w:rPr>
            </w:pPr>
            <w:hyperlink w:anchor="page129">
              <w:r>
                <w:rPr>
                  <w:rFonts w:ascii="Arial" w:cs="Arial" w:eastAsia="Arial" w:hAnsi="Arial"/>
                  <w:sz w:val="13"/>
                  <w:szCs w:val="13"/>
                  <w:color w:val="auto"/>
                </w:rPr>
                <w:t>Separation and Release Agreement, dated as of February 25, 2021, by and between WillScot Mobile Mini Holdings Corp. and Kelly Williams.</w:t>
              </w:r>
            </w:hyperlink>
          </w:p>
        </w:tc>
      </w:tr>
      <w:tr>
        <w:trPr>
          <w:trHeight w:val="33"/>
        </w:trPr>
        <w:tc>
          <w:tcPr>
            <w:tcW w:w="420" w:type="dxa"/>
            <w:vAlign w:val="bottom"/>
            <w:tcBorders>
              <w:right w:val="single" w:sz="8" w:color="auto"/>
            </w:tcBorders>
            <w:shd w:val="clear" w:color="auto" w:fill="DBDBDB"/>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tcBorders>
              <w:left w:val="single" w:sz="8" w:color="auto"/>
            </w:tcBorders>
            <w:shd w:val="clear" w:color="auto" w:fill="DBDBDB"/>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960" w:type="dxa"/>
            <w:vAlign w:val="bottom"/>
            <w:shd w:val="clear" w:color="auto" w:fill="000000"/>
          </w:tcPr>
          <w:p>
            <w:pPr>
              <w:spacing w:after="0"/>
              <w:rPr>
                <w:sz w:val="2"/>
                <w:szCs w:val="2"/>
                <w:color w:val="auto"/>
              </w:rPr>
            </w:pPr>
          </w:p>
        </w:tc>
        <w:tc>
          <w:tcPr>
            <w:tcW w:w="300" w:type="dxa"/>
            <w:vAlign w:val="bottom"/>
            <w:tcBorders>
              <w:left w:val="single" w:sz="8" w:color="auto"/>
            </w:tcBorders>
            <w:shd w:val="clear" w:color="auto" w:fill="000000"/>
          </w:tcPr>
          <w:p>
            <w:pPr>
              <w:spacing w:after="0"/>
              <w:rPr>
                <w:sz w:val="2"/>
                <w:szCs w:val="2"/>
                <w:color w:val="auto"/>
              </w:rPr>
            </w:pPr>
          </w:p>
        </w:tc>
        <w:tc>
          <w:tcPr>
            <w:tcW w:w="1020" w:type="dxa"/>
            <w:vAlign w:val="bottom"/>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6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r>
      <w:tr>
        <w:trPr>
          <w:trHeight w:val="142"/>
        </w:trPr>
        <w:tc>
          <w:tcPr>
            <w:tcW w:w="420" w:type="dxa"/>
            <w:vAlign w:val="bottom"/>
          </w:tcPr>
          <w:p>
            <w:pPr>
              <w:spacing w:after="0"/>
              <w:rPr>
                <w:sz w:val="12"/>
                <w:szCs w:val="12"/>
                <w:color w:val="auto"/>
              </w:rPr>
            </w:pPr>
          </w:p>
        </w:tc>
        <w:tc>
          <w:tcPr>
            <w:tcW w:w="1040" w:type="dxa"/>
            <w:vAlign w:val="bottom"/>
            <w:gridSpan w:val="2"/>
          </w:tcPr>
          <w:p>
            <w:pPr>
              <w:jc w:val="center"/>
              <w:ind w:right="760"/>
              <w:spacing w:after="0" w:line="142" w:lineRule="exact"/>
              <w:rPr>
                <w:rFonts w:ascii="Arial" w:cs="Arial" w:eastAsia="Arial" w:hAnsi="Arial"/>
                <w:sz w:val="13"/>
                <w:szCs w:val="13"/>
                <w:color w:val="auto"/>
                <w:w w:val="85"/>
              </w:rPr>
            </w:pPr>
            <w:hyperlink r:id="rId171">
              <w:r>
                <w:rPr>
                  <w:rFonts w:ascii="Arial" w:cs="Arial" w:eastAsia="Arial" w:hAnsi="Arial"/>
                  <w:sz w:val="13"/>
                  <w:szCs w:val="13"/>
                  <w:color w:val="auto"/>
                  <w:w w:val="85"/>
                </w:rPr>
                <w:t>10.</w:t>
              </w:r>
              <w:r>
                <w:rPr>
                  <w:rFonts w:ascii="Arial" w:cs="Arial" w:eastAsia="Arial" w:hAnsi="Arial"/>
                  <w:sz w:val="13"/>
                  <w:szCs w:val="13"/>
                  <w:u w:val="single" w:color="auto"/>
                  <w:color w:val="auto"/>
                  <w:w w:val="85"/>
                </w:rPr>
                <w:t>15</w:t>
              </w:r>
            </w:hyperlink>
          </w:p>
        </w:tc>
        <w:tc>
          <w:tcPr>
            <w:tcW w:w="9800" w:type="dxa"/>
            <w:vAlign w:val="bottom"/>
            <w:gridSpan w:val="29"/>
          </w:tcPr>
          <w:p>
            <w:pPr>
              <w:spacing w:after="0" w:line="142" w:lineRule="exact"/>
              <w:rPr>
                <w:rFonts w:ascii="Arial" w:cs="Arial" w:eastAsia="Arial" w:hAnsi="Arial"/>
                <w:sz w:val="13"/>
                <w:szCs w:val="13"/>
                <w:color w:val="auto"/>
              </w:rPr>
            </w:pPr>
            <w:hyperlink r:id="rId171">
              <w:r>
                <w:rPr>
                  <w:rFonts w:ascii="Arial" w:cs="Arial" w:eastAsia="Arial" w:hAnsi="Arial"/>
                  <w:sz w:val="13"/>
                  <w:szCs w:val="13"/>
                  <w:color w:val="auto"/>
                </w:rPr>
                <w:t>Form of Performance-Based Restricted Stock Unit Award Agreement (incorporated by reference to Exhibit 10.3 of the Company’s Current Report on Form 8-K, filed</w:t>
              </w:r>
            </w:hyperlink>
          </w:p>
        </w:tc>
      </w:tr>
      <w:tr>
        <w:trPr>
          <w:trHeight w:val="111"/>
        </w:trPr>
        <w:tc>
          <w:tcPr>
            <w:tcW w:w="42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9460" w:type="dxa"/>
            <w:vAlign w:val="bottom"/>
            <w:tcBorders>
              <w:top w:val="single" w:sz="8" w:color="auto"/>
            </w:tcBorders>
            <w:gridSpan w:val="18"/>
          </w:tcPr>
          <w:p>
            <w:pPr>
              <w:spacing w:after="0" w:line="111" w:lineRule="exact"/>
              <w:rPr>
                <w:rFonts w:ascii="Arial" w:cs="Arial" w:eastAsia="Arial" w:hAnsi="Arial"/>
                <w:sz w:val="12"/>
                <w:szCs w:val="12"/>
                <w:color w:val="auto"/>
              </w:rPr>
            </w:pPr>
            <w:hyperlink r:id="rId171">
              <w:r>
                <w:rPr>
                  <w:rFonts w:ascii="Arial" w:cs="Arial" w:eastAsia="Arial" w:hAnsi="Arial"/>
                  <w:sz w:val="12"/>
                  <w:szCs w:val="12"/>
                  <w:color w:val="auto"/>
                </w:rPr>
                <w:t>September 8, 2021).</w:t>
              </w:r>
            </w:hyperlink>
          </w:p>
        </w:tc>
        <w:tc>
          <w:tcPr>
            <w:tcW w:w="8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gridSpan w:val="3"/>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6"/>
        </w:trPr>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48"/>
        </w:trPr>
        <w:tc>
          <w:tcPr>
            <w:tcW w:w="1460" w:type="dxa"/>
            <w:vAlign w:val="bottom"/>
            <w:gridSpan w:val="3"/>
            <w:shd w:val="clear" w:color="auto" w:fill="DBDBDB"/>
          </w:tcPr>
          <w:p>
            <w:pPr>
              <w:jc w:val="center"/>
              <w:ind w:right="380"/>
              <w:spacing w:after="0" w:line="149" w:lineRule="exact"/>
              <w:rPr>
                <w:rFonts w:ascii="Arial" w:cs="Arial" w:eastAsia="Arial" w:hAnsi="Arial"/>
                <w:sz w:val="13"/>
                <w:szCs w:val="13"/>
                <w:color w:val="auto"/>
                <w:w w:val="98"/>
              </w:rPr>
            </w:pPr>
            <w:hyperlink w:anchor="page133">
              <w:r>
                <w:rPr>
                  <w:rFonts w:ascii="Arial" w:cs="Arial" w:eastAsia="Arial" w:hAnsi="Arial"/>
                  <w:sz w:val="13"/>
                  <w:szCs w:val="13"/>
                  <w:color w:val="auto"/>
                  <w:w w:val="98"/>
                </w:rPr>
                <w:t>10.</w:t>
              </w:r>
              <w:r>
                <w:rPr>
                  <w:rFonts w:ascii="Arial" w:cs="Arial" w:eastAsia="Arial" w:hAnsi="Arial"/>
                  <w:sz w:val="13"/>
                  <w:szCs w:val="13"/>
                  <w:u w:val="single" w:color="auto"/>
                  <w:color w:val="auto"/>
                  <w:w w:val="98"/>
                </w:rPr>
                <w:t>16</w:t>
              </w:r>
            </w:hyperlink>
          </w:p>
        </w:tc>
        <w:tc>
          <w:tcPr>
            <w:tcW w:w="9800" w:type="dxa"/>
            <w:vAlign w:val="bottom"/>
            <w:gridSpan w:val="29"/>
            <w:shd w:val="clear" w:color="auto" w:fill="DBDBDB"/>
          </w:tcPr>
          <w:p>
            <w:pPr>
              <w:spacing w:after="0" w:line="149" w:lineRule="exact"/>
              <w:rPr>
                <w:rFonts w:ascii="Arial" w:cs="Arial" w:eastAsia="Arial" w:hAnsi="Arial"/>
                <w:sz w:val="13"/>
                <w:szCs w:val="13"/>
                <w:color w:val="auto"/>
              </w:rPr>
            </w:pPr>
            <w:hyperlink w:anchor="page133">
              <w:r>
                <w:rPr>
                  <w:rFonts w:ascii="Arial" w:cs="Arial" w:eastAsia="Arial" w:hAnsi="Arial"/>
                  <w:sz w:val="13"/>
                  <w:szCs w:val="13"/>
                  <w:color w:val="auto"/>
                </w:rPr>
                <w:t>First Amendment to the ABL Credit Agreement, dated December 2, 2020, among Williams Scotsman International, Inc. and Bank of America, N.A., as Administrative</w:t>
              </w:r>
            </w:hyperlink>
          </w:p>
        </w:tc>
      </w:tr>
      <w:tr>
        <w:trPr>
          <w:trHeight w:val="124"/>
        </w:trPr>
        <w:tc>
          <w:tcPr>
            <w:tcW w:w="420" w:type="dxa"/>
            <w:vAlign w:val="bottom"/>
            <w:tcBorders>
              <w:top w:val="single" w:sz="8" w:color="DBDBDB"/>
              <w:bottom w:val="single" w:sz="8" w:color="DBDBDB"/>
              <w:right w:val="single" w:sz="8" w:color="DBDBDB"/>
            </w:tcBorders>
            <w:shd w:val="clear" w:color="auto" w:fill="DBDBDB"/>
          </w:tcPr>
          <w:p>
            <w:pPr>
              <w:spacing w:after="0"/>
              <w:rPr>
                <w:sz w:val="10"/>
                <w:szCs w:val="10"/>
                <w:color w:val="auto"/>
              </w:rPr>
            </w:pPr>
          </w:p>
        </w:tc>
        <w:tc>
          <w:tcPr>
            <w:tcW w:w="260" w:type="dxa"/>
            <w:vAlign w:val="bottom"/>
            <w:tcBorders>
              <w:top w:val="single" w:sz="8" w:color="auto"/>
              <w:bottom w:val="single" w:sz="8" w:color="DBDBDB"/>
            </w:tcBorders>
            <w:shd w:val="clear" w:color="auto" w:fill="DBDBDB"/>
          </w:tcPr>
          <w:p>
            <w:pPr>
              <w:spacing w:after="0"/>
              <w:rPr>
                <w:sz w:val="10"/>
                <w:szCs w:val="10"/>
                <w:color w:val="auto"/>
              </w:rPr>
            </w:pPr>
          </w:p>
        </w:tc>
        <w:tc>
          <w:tcPr>
            <w:tcW w:w="780" w:type="dxa"/>
            <w:vAlign w:val="bottom"/>
            <w:tcBorders>
              <w:top w:val="single" w:sz="8" w:color="DBDBDB"/>
              <w:left w:val="single" w:sz="8" w:color="DBDBDB"/>
              <w:bottom w:val="single" w:sz="8" w:color="DBDBDB"/>
            </w:tcBorders>
            <w:shd w:val="clear" w:color="auto" w:fill="DBDBDB"/>
          </w:tcPr>
          <w:p>
            <w:pPr>
              <w:spacing w:after="0"/>
              <w:rPr>
                <w:sz w:val="10"/>
                <w:szCs w:val="10"/>
                <w:color w:val="auto"/>
              </w:rPr>
            </w:pPr>
          </w:p>
        </w:tc>
        <w:tc>
          <w:tcPr>
            <w:tcW w:w="340" w:type="dxa"/>
            <w:vAlign w:val="bottom"/>
            <w:tcBorders>
              <w:top w:val="single" w:sz="8" w:color="auto"/>
              <w:bottom w:val="single" w:sz="8" w:color="auto"/>
            </w:tcBorders>
            <w:shd w:val="clear" w:color="auto" w:fill="DBDBDB"/>
          </w:tcPr>
          <w:p>
            <w:pPr>
              <w:spacing w:after="0" w:line="111" w:lineRule="exact"/>
              <w:rPr>
                <w:rFonts w:ascii="Arial" w:cs="Arial" w:eastAsia="Arial" w:hAnsi="Arial"/>
                <w:sz w:val="12"/>
                <w:szCs w:val="12"/>
                <w:color w:val="auto"/>
              </w:rPr>
            </w:pPr>
            <w:hyperlink w:anchor="page133">
              <w:r>
                <w:rPr>
                  <w:rFonts w:ascii="Arial" w:cs="Arial" w:eastAsia="Arial" w:hAnsi="Arial"/>
                  <w:sz w:val="12"/>
                  <w:szCs w:val="12"/>
                  <w:color w:val="auto"/>
                </w:rPr>
                <w:t>Agent</w:t>
              </w:r>
            </w:hyperlink>
          </w:p>
        </w:tc>
        <w:tc>
          <w:tcPr>
            <w:tcW w:w="9200" w:type="dxa"/>
            <w:vAlign w:val="bottom"/>
            <w:tcBorders>
              <w:top w:val="single" w:sz="8" w:color="auto"/>
              <w:bottom w:val="single" w:sz="8" w:color="DBDBDB"/>
            </w:tcBorders>
            <w:gridSpan w:val="19"/>
            <w:shd w:val="clear" w:color="auto" w:fill="DBDBDB"/>
          </w:tcPr>
          <w:p>
            <w:pPr>
              <w:spacing w:after="0"/>
              <w:rPr>
                <w:sz w:val="10"/>
                <w:szCs w:val="10"/>
                <w:color w:val="auto"/>
              </w:rPr>
            </w:pPr>
          </w:p>
        </w:tc>
        <w:tc>
          <w:tcPr>
            <w:tcW w:w="40" w:type="dxa"/>
            <w:vAlign w:val="bottom"/>
            <w:tcBorders>
              <w:top w:val="single" w:sz="8" w:color="DBDBDB"/>
              <w:bottom w:val="single" w:sz="8" w:color="DBDBDB"/>
            </w:tcBorders>
            <w:shd w:val="clear" w:color="auto" w:fill="DBDBDB"/>
          </w:tcPr>
          <w:p>
            <w:pPr>
              <w:spacing w:after="0"/>
              <w:rPr>
                <w:sz w:val="10"/>
                <w:szCs w:val="10"/>
                <w:color w:val="auto"/>
              </w:rPr>
            </w:pPr>
          </w:p>
        </w:tc>
        <w:tc>
          <w:tcPr>
            <w:tcW w:w="40" w:type="dxa"/>
            <w:vAlign w:val="bottom"/>
            <w:tcBorders>
              <w:top w:val="single" w:sz="8" w:color="DBDBDB"/>
              <w:bottom w:val="single" w:sz="8" w:color="DBDBDB"/>
            </w:tcBorders>
            <w:shd w:val="clear" w:color="auto" w:fill="DBDBDB"/>
          </w:tcPr>
          <w:p>
            <w:pPr>
              <w:spacing w:after="0"/>
              <w:rPr>
                <w:sz w:val="10"/>
                <w:szCs w:val="10"/>
                <w:color w:val="auto"/>
              </w:rPr>
            </w:pPr>
          </w:p>
        </w:tc>
        <w:tc>
          <w:tcPr>
            <w:tcW w:w="100" w:type="dxa"/>
            <w:vAlign w:val="bottom"/>
            <w:tcBorders>
              <w:top w:val="single" w:sz="8" w:color="DBDBDB"/>
              <w:bottom w:val="single" w:sz="8" w:color="DBDBDB"/>
            </w:tcBorders>
            <w:gridSpan w:val="3"/>
            <w:shd w:val="clear" w:color="auto" w:fill="DBDBDB"/>
          </w:tcPr>
          <w:p>
            <w:pPr>
              <w:spacing w:after="0"/>
              <w:rPr>
                <w:sz w:val="10"/>
                <w:szCs w:val="10"/>
                <w:color w:val="auto"/>
              </w:rPr>
            </w:pPr>
          </w:p>
        </w:tc>
        <w:tc>
          <w:tcPr>
            <w:tcW w:w="40" w:type="dxa"/>
            <w:vAlign w:val="bottom"/>
            <w:tcBorders>
              <w:top w:val="single" w:sz="8" w:color="DBDBDB"/>
              <w:bottom w:val="single" w:sz="8" w:color="DBDBDB"/>
            </w:tcBorders>
            <w:gridSpan w:val="2"/>
            <w:shd w:val="clear" w:color="auto" w:fill="DBDBDB"/>
          </w:tcPr>
          <w:p>
            <w:pPr>
              <w:spacing w:after="0"/>
              <w:rPr>
                <w:sz w:val="10"/>
                <w:szCs w:val="10"/>
                <w:color w:val="auto"/>
              </w:rPr>
            </w:pPr>
          </w:p>
        </w:tc>
        <w:tc>
          <w:tcPr>
            <w:tcW w:w="20" w:type="dxa"/>
            <w:vAlign w:val="bottom"/>
            <w:tcBorders>
              <w:top w:val="single" w:sz="8" w:color="DBDBDB"/>
              <w:bottom w:val="single" w:sz="8" w:color="DBDBDB"/>
            </w:tcBorders>
            <w:shd w:val="clear" w:color="auto" w:fill="DBDBDB"/>
          </w:tcPr>
          <w:p>
            <w:pPr>
              <w:spacing w:after="0"/>
              <w:rPr>
                <w:sz w:val="10"/>
                <w:szCs w:val="10"/>
                <w:color w:val="auto"/>
              </w:rPr>
            </w:pPr>
          </w:p>
        </w:tc>
        <w:tc>
          <w:tcPr>
            <w:tcW w:w="20" w:type="dxa"/>
            <w:vAlign w:val="bottom"/>
            <w:tcBorders>
              <w:top w:val="single" w:sz="8" w:color="DBDBDB"/>
              <w:bottom w:val="single" w:sz="8" w:color="DBDBDB"/>
            </w:tcBorders>
            <w:shd w:val="clear" w:color="auto" w:fill="DBDBDB"/>
          </w:tcPr>
          <w:p>
            <w:pPr>
              <w:spacing w:after="0"/>
              <w:rPr>
                <w:sz w:val="10"/>
                <w:szCs w:val="10"/>
                <w:color w:val="auto"/>
              </w:rPr>
            </w:pPr>
          </w:p>
        </w:tc>
      </w:tr>
      <w:tr>
        <w:trPr>
          <w:trHeight w:val="162"/>
        </w:trPr>
        <w:tc>
          <w:tcPr>
            <w:tcW w:w="1460" w:type="dxa"/>
            <w:vAlign w:val="bottom"/>
            <w:gridSpan w:val="3"/>
          </w:tcPr>
          <w:p>
            <w:pPr>
              <w:jc w:val="center"/>
              <w:ind w:right="380"/>
              <w:spacing w:after="0" w:line="142" w:lineRule="exact"/>
              <w:rPr>
                <w:rFonts w:ascii="Arial" w:cs="Arial" w:eastAsia="Arial" w:hAnsi="Arial"/>
                <w:sz w:val="13"/>
                <w:szCs w:val="13"/>
                <w:color w:val="auto"/>
                <w:w w:val="98"/>
              </w:rPr>
            </w:pPr>
            <w:hyperlink r:id="rId172">
              <w:r>
                <w:rPr>
                  <w:rFonts w:ascii="Arial" w:cs="Arial" w:eastAsia="Arial" w:hAnsi="Arial"/>
                  <w:sz w:val="13"/>
                  <w:szCs w:val="13"/>
                  <w:color w:val="auto"/>
                  <w:w w:val="98"/>
                </w:rPr>
                <w:t>10.</w:t>
              </w:r>
              <w:r>
                <w:rPr>
                  <w:rFonts w:ascii="Arial" w:cs="Arial" w:eastAsia="Arial" w:hAnsi="Arial"/>
                  <w:sz w:val="13"/>
                  <w:szCs w:val="13"/>
                  <w:u w:val="single" w:color="auto"/>
                  <w:color w:val="auto"/>
                  <w:w w:val="98"/>
                </w:rPr>
                <w:t>17</w:t>
              </w:r>
            </w:hyperlink>
          </w:p>
        </w:tc>
        <w:tc>
          <w:tcPr>
            <w:tcW w:w="9800" w:type="dxa"/>
            <w:vAlign w:val="bottom"/>
            <w:gridSpan w:val="29"/>
          </w:tcPr>
          <w:p>
            <w:pPr>
              <w:spacing w:after="0" w:line="142" w:lineRule="exact"/>
              <w:rPr>
                <w:rFonts w:ascii="Arial" w:cs="Arial" w:eastAsia="Arial" w:hAnsi="Arial"/>
                <w:sz w:val="13"/>
                <w:szCs w:val="13"/>
                <w:color w:val="auto"/>
              </w:rPr>
            </w:pPr>
            <w:hyperlink r:id="rId172">
              <w:r>
                <w:rPr>
                  <w:rFonts w:ascii="Arial" w:cs="Arial" w:eastAsia="Arial" w:hAnsi="Arial"/>
                  <w:sz w:val="13"/>
                  <w:szCs w:val="13"/>
                  <w:color w:val="auto"/>
                </w:rPr>
                <w:t>LIBOR Transition Amendment, dated December 6, 2021, among Williams Scotsman International, Inc. and Bank of America, N.A., as Administrative Agent (incorporated</w:t>
              </w:r>
            </w:hyperlink>
          </w:p>
        </w:tc>
      </w:tr>
      <w:tr>
        <w:trPr>
          <w:trHeight w:val="97"/>
        </w:trPr>
        <w:tc>
          <w:tcPr>
            <w:tcW w:w="42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5900" w:type="dxa"/>
            <w:vAlign w:val="bottom"/>
            <w:tcBorders>
              <w:top w:val="single" w:sz="8" w:color="auto"/>
              <w:bottom w:val="single" w:sz="8" w:color="auto"/>
            </w:tcBorders>
            <w:gridSpan w:val="12"/>
          </w:tcPr>
          <w:p>
            <w:pPr>
              <w:spacing w:after="0" w:line="92" w:lineRule="exact"/>
              <w:rPr>
                <w:rFonts w:ascii="Arial" w:cs="Arial" w:eastAsia="Arial" w:hAnsi="Arial"/>
                <w:sz w:val="10"/>
                <w:szCs w:val="10"/>
                <w:color w:val="auto"/>
              </w:rPr>
            </w:pPr>
            <w:hyperlink r:id="rId172">
              <w:r>
                <w:rPr>
                  <w:rFonts w:ascii="Arial" w:cs="Arial" w:eastAsia="Arial" w:hAnsi="Arial"/>
                  <w:sz w:val="10"/>
                  <w:szCs w:val="10"/>
                  <w:color w:val="auto"/>
                </w:rPr>
                <w:t>by reference to Exhibit 10.1 to the Company’s Current Report on Form 8-K, filed December 13, 2021).</w:t>
              </w:r>
            </w:hyperlink>
          </w:p>
        </w:tc>
        <w:tc>
          <w:tcPr>
            <w:tcW w:w="3860" w:type="dxa"/>
            <w:vAlign w:val="bottom"/>
            <w:tcBorders>
              <w:top w:val="single" w:sz="8" w:color="auto"/>
            </w:tcBorders>
            <w:gridSpan w:val="15"/>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48"/>
        </w:trPr>
        <w:tc>
          <w:tcPr>
            <w:tcW w:w="1460" w:type="dxa"/>
            <w:vAlign w:val="bottom"/>
            <w:gridSpan w:val="3"/>
            <w:shd w:val="clear" w:color="auto" w:fill="DBDBDB"/>
          </w:tcPr>
          <w:p>
            <w:pPr>
              <w:jc w:val="center"/>
              <w:ind w:right="380"/>
              <w:spacing w:after="0" w:line="149" w:lineRule="exact"/>
              <w:rPr>
                <w:rFonts w:ascii="Arial" w:cs="Arial" w:eastAsia="Arial" w:hAnsi="Arial"/>
                <w:sz w:val="13"/>
                <w:szCs w:val="13"/>
                <w:color w:val="auto"/>
                <w:w w:val="98"/>
              </w:rPr>
            </w:pPr>
            <w:hyperlink r:id="rId173">
              <w:r>
                <w:rPr>
                  <w:rFonts w:ascii="Arial" w:cs="Arial" w:eastAsia="Arial" w:hAnsi="Arial"/>
                  <w:sz w:val="13"/>
                  <w:szCs w:val="13"/>
                  <w:color w:val="auto"/>
                  <w:w w:val="98"/>
                </w:rPr>
                <w:t>10.</w:t>
              </w:r>
              <w:r>
                <w:rPr>
                  <w:rFonts w:ascii="Arial" w:cs="Arial" w:eastAsia="Arial" w:hAnsi="Arial"/>
                  <w:sz w:val="13"/>
                  <w:szCs w:val="13"/>
                  <w:u w:val="single" w:color="auto"/>
                  <w:color w:val="auto"/>
                  <w:w w:val="98"/>
                </w:rPr>
                <w:t>18</w:t>
              </w:r>
            </w:hyperlink>
          </w:p>
        </w:tc>
        <w:tc>
          <w:tcPr>
            <w:tcW w:w="9800" w:type="dxa"/>
            <w:vAlign w:val="bottom"/>
            <w:gridSpan w:val="29"/>
            <w:shd w:val="clear" w:color="auto" w:fill="DBDBDB"/>
          </w:tcPr>
          <w:p>
            <w:pPr>
              <w:spacing w:after="0" w:line="149" w:lineRule="exact"/>
              <w:rPr>
                <w:rFonts w:ascii="Arial" w:cs="Arial" w:eastAsia="Arial" w:hAnsi="Arial"/>
                <w:sz w:val="13"/>
                <w:szCs w:val="13"/>
                <w:color w:val="auto"/>
              </w:rPr>
            </w:pPr>
            <w:hyperlink r:id="rId173">
              <w:r>
                <w:rPr>
                  <w:rFonts w:ascii="Arial" w:cs="Arial" w:eastAsia="Arial" w:hAnsi="Arial"/>
                  <w:sz w:val="13"/>
                  <w:szCs w:val="13"/>
                  <w:color w:val="auto"/>
                </w:rPr>
                <w:t>Third Amendment to the ABL Credit Agreement, dated December 16, 2021, by and among Williams Scotsman International, Inc., the other loan parties party thereto and</w:t>
              </w:r>
            </w:hyperlink>
          </w:p>
        </w:tc>
      </w:tr>
      <w:tr>
        <w:trPr>
          <w:trHeight w:val="111"/>
        </w:trPr>
        <w:tc>
          <w:tcPr>
            <w:tcW w:w="420" w:type="dxa"/>
            <w:vAlign w:val="bottom"/>
            <w:tcBorders>
              <w:top w:val="single" w:sz="8" w:color="DBDBDB"/>
              <w:right w:val="single" w:sz="8" w:color="DBDBDB"/>
            </w:tcBorders>
            <w:shd w:val="clear" w:color="auto" w:fill="DBDBDB"/>
          </w:tcPr>
          <w:p>
            <w:pPr>
              <w:spacing w:after="0"/>
              <w:rPr>
                <w:sz w:val="9"/>
                <w:szCs w:val="9"/>
                <w:color w:val="auto"/>
              </w:rPr>
            </w:pPr>
          </w:p>
        </w:tc>
        <w:tc>
          <w:tcPr>
            <w:tcW w:w="260" w:type="dxa"/>
            <w:vAlign w:val="bottom"/>
            <w:tcBorders>
              <w:top w:val="single" w:sz="8" w:color="auto"/>
            </w:tcBorders>
            <w:shd w:val="clear" w:color="auto" w:fill="DBDBDB"/>
          </w:tcPr>
          <w:p>
            <w:pPr>
              <w:spacing w:after="0"/>
              <w:rPr>
                <w:sz w:val="9"/>
                <w:szCs w:val="9"/>
                <w:color w:val="auto"/>
              </w:rPr>
            </w:pPr>
          </w:p>
        </w:tc>
        <w:tc>
          <w:tcPr>
            <w:tcW w:w="780" w:type="dxa"/>
            <w:vAlign w:val="bottom"/>
            <w:tcBorders>
              <w:top w:val="single" w:sz="8" w:color="DBDBDB"/>
              <w:left w:val="single" w:sz="8" w:color="DBDBDB"/>
            </w:tcBorders>
            <w:shd w:val="clear" w:color="auto" w:fill="DBDBDB"/>
          </w:tcPr>
          <w:p>
            <w:pPr>
              <w:spacing w:after="0"/>
              <w:rPr>
                <w:sz w:val="9"/>
                <w:szCs w:val="9"/>
                <w:color w:val="auto"/>
              </w:rPr>
            </w:pPr>
          </w:p>
        </w:tc>
        <w:tc>
          <w:tcPr>
            <w:tcW w:w="9780" w:type="dxa"/>
            <w:vAlign w:val="bottom"/>
            <w:tcBorders>
              <w:top w:val="single" w:sz="8" w:color="auto"/>
            </w:tcBorders>
            <w:gridSpan w:val="28"/>
            <w:shd w:val="clear" w:color="auto" w:fill="DBDBDB"/>
          </w:tcPr>
          <w:p>
            <w:pPr>
              <w:spacing w:after="0" w:line="111" w:lineRule="exact"/>
              <w:rPr>
                <w:rFonts w:ascii="Arial" w:cs="Arial" w:eastAsia="Arial" w:hAnsi="Arial"/>
                <w:sz w:val="12"/>
                <w:szCs w:val="12"/>
                <w:color w:val="auto"/>
              </w:rPr>
            </w:pPr>
            <w:hyperlink r:id="rId173">
              <w:r>
                <w:rPr>
                  <w:rFonts w:ascii="Arial" w:cs="Arial" w:eastAsia="Arial" w:hAnsi="Arial"/>
                  <w:sz w:val="12"/>
                  <w:szCs w:val="12"/>
                  <w:color w:val="auto"/>
                </w:rPr>
                <w:t>Bank of America, N.A., as administrative agent and collateral agent for itself and the other secured parties (incorporated by reference to Exhibit 10.1 to the Company’s</w:t>
              </w:r>
            </w:hyperlink>
          </w:p>
        </w:tc>
        <w:tc>
          <w:tcPr>
            <w:tcW w:w="20" w:type="dxa"/>
            <w:vAlign w:val="bottom"/>
            <w:tcBorders>
              <w:top w:val="single" w:sz="8" w:color="DBDBDB"/>
            </w:tcBorders>
            <w:shd w:val="clear" w:color="auto" w:fill="DBDBDB"/>
          </w:tcPr>
          <w:p>
            <w:pPr>
              <w:spacing w:after="0"/>
              <w:rPr>
                <w:sz w:val="9"/>
                <w:szCs w:val="9"/>
                <w:color w:val="auto"/>
              </w:rPr>
            </w:pPr>
          </w:p>
        </w:tc>
      </w:tr>
      <w:tr>
        <w:trPr>
          <w:trHeight w:val="111"/>
        </w:trPr>
        <w:tc>
          <w:tcPr>
            <w:tcW w:w="420" w:type="dxa"/>
            <w:vAlign w:val="bottom"/>
            <w:tcBorders>
              <w:top w:val="single" w:sz="8" w:color="DBDBDB"/>
              <w:right w:val="single" w:sz="8" w:color="DBDBDB"/>
            </w:tcBorders>
            <w:shd w:val="clear" w:color="auto" w:fill="DBDBDB"/>
          </w:tcPr>
          <w:p>
            <w:pPr>
              <w:spacing w:after="0"/>
              <w:rPr>
                <w:sz w:val="9"/>
                <w:szCs w:val="9"/>
                <w:color w:val="auto"/>
              </w:rPr>
            </w:pPr>
          </w:p>
        </w:tc>
        <w:tc>
          <w:tcPr>
            <w:tcW w:w="260" w:type="dxa"/>
            <w:vAlign w:val="bottom"/>
            <w:tcBorders>
              <w:top w:val="single" w:sz="8" w:color="DBDBDB"/>
            </w:tcBorders>
            <w:shd w:val="clear" w:color="auto" w:fill="DBDBDB"/>
          </w:tcPr>
          <w:p>
            <w:pPr>
              <w:spacing w:after="0"/>
              <w:rPr>
                <w:sz w:val="9"/>
                <w:szCs w:val="9"/>
                <w:color w:val="auto"/>
              </w:rPr>
            </w:pPr>
          </w:p>
        </w:tc>
        <w:tc>
          <w:tcPr>
            <w:tcW w:w="780" w:type="dxa"/>
            <w:vAlign w:val="bottom"/>
            <w:tcBorders>
              <w:top w:val="single" w:sz="8" w:color="DBDBDB"/>
              <w:left w:val="single" w:sz="8" w:color="DBDBDB"/>
            </w:tcBorders>
            <w:shd w:val="clear" w:color="auto" w:fill="DBDBDB"/>
          </w:tcPr>
          <w:p>
            <w:pPr>
              <w:spacing w:after="0"/>
              <w:rPr>
                <w:sz w:val="9"/>
                <w:szCs w:val="9"/>
                <w:color w:val="auto"/>
              </w:rPr>
            </w:pPr>
          </w:p>
        </w:tc>
        <w:tc>
          <w:tcPr>
            <w:tcW w:w="9620" w:type="dxa"/>
            <w:vAlign w:val="bottom"/>
            <w:tcBorders>
              <w:top w:val="single" w:sz="8" w:color="auto"/>
            </w:tcBorders>
            <w:gridSpan w:val="22"/>
            <w:shd w:val="clear" w:color="auto" w:fill="DBDBDB"/>
          </w:tcPr>
          <w:p>
            <w:pPr>
              <w:spacing w:after="0" w:line="111" w:lineRule="exact"/>
              <w:rPr>
                <w:rFonts w:ascii="Arial" w:cs="Arial" w:eastAsia="Arial" w:hAnsi="Arial"/>
                <w:sz w:val="12"/>
                <w:szCs w:val="12"/>
                <w:color w:val="auto"/>
              </w:rPr>
            </w:pPr>
            <w:hyperlink r:id="rId173">
              <w:r>
                <w:rPr>
                  <w:rFonts w:ascii="Arial" w:cs="Arial" w:eastAsia="Arial" w:hAnsi="Arial"/>
                  <w:sz w:val="12"/>
                  <w:szCs w:val="12"/>
                  <w:color w:val="auto"/>
                </w:rPr>
                <w:t>Current Report on Form 8-K, filed December 16, 2021).</w:t>
              </w:r>
            </w:hyperlink>
          </w:p>
        </w:tc>
        <w:tc>
          <w:tcPr>
            <w:tcW w:w="100" w:type="dxa"/>
            <w:vAlign w:val="bottom"/>
            <w:tcBorders>
              <w:top w:val="single" w:sz="8" w:color="DBDBDB"/>
            </w:tcBorders>
            <w:gridSpan w:val="3"/>
            <w:shd w:val="clear" w:color="auto" w:fill="DBDBDB"/>
          </w:tcPr>
          <w:p>
            <w:pPr>
              <w:spacing w:after="0"/>
              <w:rPr>
                <w:sz w:val="9"/>
                <w:szCs w:val="9"/>
                <w:color w:val="auto"/>
              </w:rPr>
            </w:pPr>
          </w:p>
        </w:tc>
        <w:tc>
          <w:tcPr>
            <w:tcW w:w="80" w:type="dxa"/>
            <w:vAlign w:val="bottom"/>
            <w:tcBorders>
              <w:top w:val="single" w:sz="8" w:color="DBDBDB"/>
            </w:tcBorders>
            <w:gridSpan w:val="4"/>
            <w:shd w:val="clear" w:color="auto" w:fill="DBDBDB"/>
          </w:tcPr>
          <w:p>
            <w:pPr>
              <w:spacing w:after="0"/>
              <w:rPr>
                <w:sz w:val="9"/>
                <w:szCs w:val="9"/>
                <w:color w:val="auto"/>
              </w:rPr>
            </w:pPr>
          </w:p>
        </w:tc>
      </w:tr>
      <w:tr>
        <w:trPr>
          <w:trHeight w:val="33"/>
        </w:trPr>
        <w:tc>
          <w:tcPr>
            <w:tcW w:w="420" w:type="dxa"/>
            <w:vAlign w:val="bottom"/>
            <w:tcBorders>
              <w:right w:val="single" w:sz="8" w:color="DBDBDB"/>
            </w:tcBorders>
            <w:shd w:val="clear" w:color="auto" w:fill="DBDBDB"/>
          </w:tcPr>
          <w:p>
            <w:pPr>
              <w:spacing w:after="0"/>
              <w:rPr>
                <w:sz w:val="2"/>
                <w:szCs w:val="2"/>
                <w:color w:val="auto"/>
              </w:rPr>
            </w:pPr>
          </w:p>
        </w:tc>
        <w:tc>
          <w:tcPr>
            <w:tcW w:w="260" w:type="dxa"/>
            <w:vAlign w:val="bottom"/>
            <w:shd w:val="clear" w:color="auto" w:fill="DBDBDB"/>
          </w:tcPr>
          <w:p>
            <w:pPr>
              <w:spacing w:after="0"/>
              <w:rPr>
                <w:sz w:val="2"/>
                <w:szCs w:val="2"/>
                <w:color w:val="auto"/>
              </w:rPr>
            </w:pPr>
          </w:p>
        </w:tc>
        <w:tc>
          <w:tcPr>
            <w:tcW w:w="780" w:type="dxa"/>
            <w:vAlign w:val="bottom"/>
            <w:tcBorders>
              <w:left w:val="single" w:sz="8" w:color="DBDBDB"/>
            </w:tcBorders>
            <w:shd w:val="clear" w:color="auto" w:fill="DBDBDB"/>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500" w:type="dxa"/>
            <w:vAlign w:val="bottom"/>
            <w:shd w:val="clear" w:color="auto" w:fill="DBDBDB"/>
          </w:tcPr>
          <w:p>
            <w:pPr>
              <w:spacing w:after="0"/>
              <w:rPr>
                <w:sz w:val="2"/>
                <w:szCs w:val="2"/>
                <w:color w:val="auto"/>
              </w:rPr>
            </w:pPr>
          </w:p>
        </w:tc>
        <w:tc>
          <w:tcPr>
            <w:tcW w:w="320" w:type="dxa"/>
            <w:vAlign w:val="bottom"/>
            <w:shd w:val="clear" w:color="auto" w:fill="DBDBDB"/>
          </w:tcPr>
          <w:p>
            <w:pPr>
              <w:spacing w:after="0"/>
              <w:rPr>
                <w:sz w:val="2"/>
                <w:szCs w:val="2"/>
                <w:color w:val="auto"/>
              </w:rPr>
            </w:pPr>
          </w:p>
        </w:tc>
        <w:tc>
          <w:tcPr>
            <w:tcW w:w="1080" w:type="dxa"/>
            <w:vAlign w:val="bottom"/>
            <w:shd w:val="clear" w:color="auto" w:fill="DBDBDB"/>
          </w:tcPr>
          <w:p>
            <w:pPr>
              <w:spacing w:after="0"/>
              <w:rPr>
                <w:sz w:val="2"/>
                <w:szCs w:val="2"/>
                <w:color w:val="auto"/>
              </w:rPr>
            </w:pPr>
          </w:p>
        </w:tc>
        <w:tc>
          <w:tcPr>
            <w:tcW w:w="800" w:type="dxa"/>
            <w:vAlign w:val="bottom"/>
            <w:shd w:val="clear" w:color="auto" w:fill="DBDBDB"/>
          </w:tcPr>
          <w:p>
            <w:pPr>
              <w:spacing w:after="0"/>
              <w:rPr>
                <w:sz w:val="2"/>
                <w:szCs w:val="2"/>
                <w:color w:val="auto"/>
              </w:rPr>
            </w:pPr>
          </w:p>
        </w:tc>
        <w:tc>
          <w:tcPr>
            <w:tcW w:w="1960" w:type="dxa"/>
            <w:vAlign w:val="bottom"/>
            <w:shd w:val="clear" w:color="auto" w:fill="DBDBDB"/>
          </w:tcPr>
          <w:p>
            <w:pPr>
              <w:spacing w:after="0"/>
              <w:rPr>
                <w:sz w:val="2"/>
                <w:szCs w:val="2"/>
                <w:color w:val="auto"/>
              </w:rPr>
            </w:pPr>
          </w:p>
        </w:tc>
        <w:tc>
          <w:tcPr>
            <w:tcW w:w="300" w:type="dxa"/>
            <w:vAlign w:val="bottom"/>
            <w:tcBorders>
              <w:left w:val="single" w:sz="8" w:color="DBDBDB"/>
            </w:tcBorders>
            <w:shd w:val="clear" w:color="auto" w:fill="DBDBDB"/>
          </w:tcPr>
          <w:p>
            <w:pPr>
              <w:spacing w:after="0"/>
              <w:rPr>
                <w:sz w:val="2"/>
                <w:szCs w:val="2"/>
                <w:color w:val="auto"/>
              </w:rPr>
            </w:pPr>
          </w:p>
        </w:tc>
        <w:tc>
          <w:tcPr>
            <w:tcW w:w="1020" w:type="dxa"/>
            <w:vAlign w:val="bottom"/>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6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r>
      <w:tr>
        <w:trPr>
          <w:trHeight w:val="142"/>
        </w:trPr>
        <w:tc>
          <w:tcPr>
            <w:tcW w:w="680" w:type="dxa"/>
            <w:vAlign w:val="bottom"/>
            <w:gridSpan w:val="2"/>
          </w:tcPr>
          <w:p>
            <w:pPr>
              <w:jc w:val="center"/>
              <w:ind w:left="354"/>
              <w:spacing w:after="0" w:line="142" w:lineRule="exact"/>
              <w:rPr>
                <w:rFonts w:ascii="Arial" w:cs="Arial" w:eastAsia="Arial" w:hAnsi="Arial"/>
                <w:sz w:val="13"/>
                <w:szCs w:val="13"/>
                <w:color w:val="auto"/>
              </w:rPr>
            </w:pPr>
            <w:hyperlink r:id="rId174">
              <w:r>
                <w:rPr>
                  <w:rFonts w:ascii="Arial" w:cs="Arial" w:eastAsia="Arial" w:hAnsi="Arial"/>
                  <w:sz w:val="13"/>
                  <w:szCs w:val="13"/>
                  <w:color w:val="auto"/>
                </w:rPr>
                <w:t>14.</w:t>
              </w:r>
              <w:r>
                <w:rPr>
                  <w:rFonts w:ascii="Arial" w:cs="Arial" w:eastAsia="Arial" w:hAnsi="Arial"/>
                  <w:sz w:val="13"/>
                  <w:szCs w:val="13"/>
                  <w:u w:val="single" w:color="auto"/>
                  <w:color w:val="auto"/>
                </w:rPr>
                <w:t>1</w:t>
              </w:r>
            </w:hyperlink>
          </w:p>
        </w:tc>
        <w:tc>
          <w:tcPr>
            <w:tcW w:w="780" w:type="dxa"/>
            <w:vAlign w:val="bottom"/>
          </w:tcPr>
          <w:p>
            <w:pPr>
              <w:spacing w:after="0"/>
              <w:rPr>
                <w:sz w:val="12"/>
                <w:szCs w:val="12"/>
                <w:color w:val="auto"/>
              </w:rPr>
            </w:pPr>
          </w:p>
        </w:tc>
        <w:tc>
          <w:tcPr>
            <w:tcW w:w="9800" w:type="dxa"/>
            <w:vAlign w:val="bottom"/>
            <w:gridSpan w:val="29"/>
          </w:tcPr>
          <w:p>
            <w:pPr>
              <w:spacing w:after="0" w:line="142" w:lineRule="exact"/>
              <w:rPr>
                <w:rFonts w:ascii="Arial" w:cs="Arial" w:eastAsia="Arial" w:hAnsi="Arial"/>
                <w:sz w:val="13"/>
                <w:szCs w:val="13"/>
                <w:color w:val="auto"/>
              </w:rPr>
            </w:pPr>
            <w:hyperlink r:id="rId174">
              <w:r>
                <w:rPr>
                  <w:rFonts w:ascii="Arial" w:cs="Arial" w:eastAsia="Arial" w:hAnsi="Arial"/>
                  <w:sz w:val="13"/>
                  <w:szCs w:val="13"/>
                  <w:color w:val="auto"/>
                </w:rPr>
                <w:t>Code of Ethics for the Chief Executive Officer and Senior Financial Officers, effective November 14, 2019 (incorporated by reference to Exhibit 14.1 of WillScot</w:t>
              </w:r>
            </w:hyperlink>
          </w:p>
        </w:tc>
      </w:tr>
      <w:tr>
        <w:trPr>
          <w:trHeight w:val="117"/>
        </w:trPr>
        <w:tc>
          <w:tcPr>
            <w:tcW w:w="4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9180" w:type="dxa"/>
            <w:vAlign w:val="bottom"/>
            <w:tcBorders>
              <w:top w:val="single" w:sz="8" w:color="auto"/>
            </w:tcBorders>
            <w:gridSpan w:val="15"/>
          </w:tcPr>
          <w:p>
            <w:pPr>
              <w:spacing w:after="0" w:line="111" w:lineRule="exact"/>
              <w:rPr>
                <w:rFonts w:ascii="Arial" w:cs="Arial" w:eastAsia="Arial" w:hAnsi="Arial"/>
                <w:sz w:val="12"/>
                <w:szCs w:val="12"/>
                <w:color w:val="auto"/>
              </w:rPr>
            </w:pPr>
            <w:hyperlink r:id="rId174">
              <w:r>
                <w:rPr>
                  <w:rFonts w:ascii="Arial" w:cs="Arial" w:eastAsia="Arial" w:hAnsi="Arial"/>
                  <w:sz w:val="12"/>
                  <w:szCs w:val="12"/>
                  <w:color w:val="auto"/>
                </w:rPr>
                <w:t>Corporation’s Current Report on Form 8-K, filed November 15, 2019).</w:t>
              </w:r>
            </w:hyperlink>
          </w:p>
        </w:tc>
        <w:tc>
          <w:tcPr>
            <w:tcW w:w="400" w:type="dxa"/>
            <w:vAlign w:val="bottom"/>
            <w:gridSpan w:val="6"/>
          </w:tcPr>
          <w:p>
            <w:pPr>
              <w:spacing w:after="0"/>
              <w:rPr>
                <w:sz w:val="10"/>
                <w:szCs w:val="10"/>
                <w:color w:val="auto"/>
              </w:rPr>
            </w:pPr>
          </w:p>
        </w:tc>
        <w:tc>
          <w:tcPr>
            <w:tcW w:w="140" w:type="dxa"/>
            <w:vAlign w:val="bottom"/>
            <w:gridSpan w:val="4"/>
          </w:tcPr>
          <w:p>
            <w:pPr>
              <w:spacing w:after="0"/>
              <w:rPr>
                <w:sz w:val="10"/>
                <w:szCs w:val="10"/>
                <w:color w:val="auto"/>
              </w:rPr>
            </w:pPr>
          </w:p>
        </w:tc>
        <w:tc>
          <w:tcPr>
            <w:tcW w:w="80" w:type="dxa"/>
            <w:vAlign w:val="bottom"/>
            <w:gridSpan w:val="4"/>
          </w:tcPr>
          <w:p>
            <w:pPr>
              <w:spacing w:after="0"/>
              <w:rPr>
                <w:sz w:val="10"/>
                <w:szCs w:val="10"/>
                <w:color w:val="auto"/>
              </w:rPr>
            </w:pPr>
          </w:p>
        </w:tc>
      </w:tr>
      <w:tr>
        <w:trPr>
          <w:trHeight w:val="148"/>
        </w:trPr>
        <w:tc>
          <w:tcPr>
            <w:tcW w:w="680" w:type="dxa"/>
            <w:vAlign w:val="bottom"/>
            <w:gridSpan w:val="2"/>
            <w:shd w:val="clear" w:color="auto" w:fill="DBDBDB"/>
          </w:tcPr>
          <w:p>
            <w:pPr>
              <w:jc w:val="center"/>
              <w:ind w:left="354"/>
              <w:spacing w:after="0" w:line="149" w:lineRule="exact"/>
              <w:rPr>
                <w:rFonts w:ascii="Arial" w:cs="Arial" w:eastAsia="Arial" w:hAnsi="Arial"/>
                <w:sz w:val="13"/>
                <w:szCs w:val="13"/>
                <w:color w:val="auto"/>
              </w:rPr>
            </w:pPr>
            <w:hyperlink w:anchor="page137">
              <w:r>
                <w:rPr>
                  <w:rFonts w:ascii="Arial" w:cs="Arial" w:eastAsia="Arial" w:hAnsi="Arial"/>
                  <w:sz w:val="13"/>
                  <w:szCs w:val="13"/>
                  <w:color w:val="auto"/>
                </w:rPr>
                <w:t>21.</w:t>
              </w:r>
              <w:r>
                <w:rPr>
                  <w:rFonts w:ascii="Arial" w:cs="Arial" w:eastAsia="Arial" w:hAnsi="Arial"/>
                  <w:sz w:val="13"/>
                  <w:szCs w:val="13"/>
                  <w:u w:val="single" w:color="auto"/>
                  <w:color w:val="auto"/>
                </w:rPr>
                <w:t>1</w:t>
              </w:r>
            </w:hyperlink>
          </w:p>
        </w:tc>
        <w:tc>
          <w:tcPr>
            <w:tcW w:w="780" w:type="dxa"/>
            <w:vAlign w:val="bottom"/>
            <w:tcBorders>
              <w:left w:val="single" w:sz="8" w:color="DBDBDB"/>
            </w:tcBorders>
            <w:shd w:val="clear" w:color="auto" w:fill="DBDBDB"/>
          </w:tcPr>
          <w:p>
            <w:pPr>
              <w:spacing w:after="0"/>
              <w:rPr>
                <w:sz w:val="12"/>
                <w:szCs w:val="12"/>
                <w:color w:val="auto"/>
              </w:rPr>
            </w:pPr>
          </w:p>
        </w:tc>
        <w:tc>
          <w:tcPr>
            <w:tcW w:w="4020" w:type="dxa"/>
            <w:vAlign w:val="bottom"/>
            <w:tcBorders>
              <w:top w:val="single" w:sz="8" w:color="auto"/>
            </w:tcBorders>
            <w:gridSpan w:val="10"/>
            <w:shd w:val="clear" w:color="auto" w:fill="DBDBDB"/>
          </w:tcPr>
          <w:p>
            <w:pPr>
              <w:spacing w:after="0" w:line="149" w:lineRule="exact"/>
              <w:rPr>
                <w:rFonts w:ascii="Arial" w:cs="Arial" w:eastAsia="Arial" w:hAnsi="Arial"/>
                <w:sz w:val="13"/>
                <w:szCs w:val="13"/>
                <w:color w:val="auto"/>
              </w:rPr>
            </w:pPr>
            <w:hyperlink w:anchor="page137">
              <w:r>
                <w:rPr>
                  <w:rFonts w:ascii="Arial" w:cs="Arial" w:eastAsia="Arial" w:hAnsi="Arial"/>
                  <w:sz w:val="13"/>
                  <w:szCs w:val="13"/>
                  <w:color w:val="auto"/>
                </w:rPr>
                <w:t>Subsidiaries of the registrant</w:t>
              </w:r>
            </w:hyperlink>
          </w:p>
        </w:tc>
        <w:tc>
          <w:tcPr>
            <w:tcW w:w="5780" w:type="dxa"/>
            <w:vAlign w:val="bottom"/>
            <w:gridSpan w:val="19"/>
            <w:shd w:val="clear" w:color="auto" w:fill="DBDBDB"/>
          </w:tcPr>
          <w:p>
            <w:pPr>
              <w:spacing w:after="0"/>
              <w:rPr>
                <w:sz w:val="12"/>
                <w:szCs w:val="12"/>
                <w:color w:val="auto"/>
              </w:rPr>
            </w:pPr>
          </w:p>
        </w:tc>
      </w:tr>
      <w:tr>
        <w:trPr>
          <w:trHeight w:val="33"/>
        </w:trPr>
        <w:tc>
          <w:tcPr>
            <w:tcW w:w="420" w:type="dxa"/>
            <w:vAlign w:val="bottom"/>
            <w:tcBorders>
              <w:right w:val="single" w:sz="8" w:color="DBDBDB"/>
            </w:tcBorders>
            <w:shd w:val="clear" w:color="auto" w:fill="DBDBDB"/>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tcBorders>
              <w:left w:val="single" w:sz="8" w:color="DBDBDB"/>
            </w:tcBorders>
            <w:shd w:val="clear" w:color="auto" w:fill="DBDBDB"/>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440" w:type="dxa"/>
            <w:vAlign w:val="bottom"/>
            <w:shd w:val="clear" w:color="auto" w:fill="DBDBDB"/>
          </w:tcPr>
          <w:p>
            <w:pPr>
              <w:spacing w:after="0"/>
              <w:rPr>
                <w:sz w:val="2"/>
                <w:szCs w:val="2"/>
                <w:color w:val="auto"/>
              </w:rPr>
            </w:pPr>
          </w:p>
        </w:tc>
        <w:tc>
          <w:tcPr>
            <w:tcW w:w="500" w:type="dxa"/>
            <w:vAlign w:val="bottom"/>
            <w:shd w:val="clear" w:color="auto" w:fill="DBDBDB"/>
          </w:tcPr>
          <w:p>
            <w:pPr>
              <w:spacing w:after="0"/>
              <w:rPr>
                <w:sz w:val="2"/>
                <w:szCs w:val="2"/>
                <w:color w:val="auto"/>
              </w:rPr>
            </w:pPr>
          </w:p>
        </w:tc>
        <w:tc>
          <w:tcPr>
            <w:tcW w:w="320" w:type="dxa"/>
            <w:vAlign w:val="bottom"/>
            <w:shd w:val="clear" w:color="auto" w:fill="DBDBDB"/>
          </w:tcPr>
          <w:p>
            <w:pPr>
              <w:spacing w:after="0"/>
              <w:rPr>
                <w:sz w:val="2"/>
                <w:szCs w:val="2"/>
                <w:color w:val="auto"/>
              </w:rPr>
            </w:pPr>
          </w:p>
        </w:tc>
        <w:tc>
          <w:tcPr>
            <w:tcW w:w="1080" w:type="dxa"/>
            <w:vAlign w:val="bottom"/>
            <w:shd w:val="clear" w:color="auto" w:fill="DBDBDB"/>
          </w:tcPr>
          <w:p>
            <w:pPr>
              <w:spacing w:after="0"/>
              <w:rPr>
                <w:sz w:val="2"/>
                <w:szCs w:val="2"/>
                <w:color w:val="auto"/>
              </w:rPr>
            </w:pPr>
          </w:p>
        </w:tc>
        <w:tc>
          <w:tcPr>
            <w:tcW w:w="800" w:type="dxa"/>
            <w:vAlign w:val="bottom"/>
            <w:shd w:val="clear" w:color="auto" w:fill="DBDBDB"/>
          </w:tcPr>
          <w:p>
            <w:pPr>
              <w:spacing w:after="0"/>
              <w:rPr>
                <w:sz w:val="2"/>
                <w:szCs w:val="2"/>
                <w:color w:val="auto"/>
              </w:rPr>
            </w:pPr>
          </w:p>
        </w:tc>
        <w:tc>
          <w:tcPr>
            <w:tcW w:w="1960" w:type="dxa"/>
            <w:vAlign w:val="bottom"/>
            <w:shd w:val="clear" w:color="auto" w:fill="DBDBDB"/>
          </w:tcPr>
          <w:p>
            <w:pPr>
              <w:spacing w:after="0"/>
              <w:rPr>
                <w:sz w:val="2"/>
                <w:szCs w:val="2"/>
                <w:color w:val="auto"/>
              </w:rPr>
            </w:pPr>
          </w:p>
        </w:tc>
        <w:tc>
          <w:tcPr>
            <w:tcW w:w="300" w:type="dxa"/>
            <w:vAlign w:val="bottom"/>
            <w:tcBorders>
              <w:left w:val="single" w:sz="8" w:color="DBDBDB"/>
            </w:tcBorders>
            <w:shd w:val="clear" w:color="auto" w:fill="DBDBDB"/>
          </w:tcPr>
          <w:p>
            <w:pPr>
              <w:spacing w:after="0"/>
              <w:rPr>
                <w:sz w:val="2"/>
                <w:szCs w:val="2"/>
                <w:color w:val="auto"/>
              </w:rPr>
            </w:pPr>
          </w:p>
        </w:tc>
        <w:tc>
          <w:tcPr>
            <w:tcW w:w="1020" w:type="dxa"/>
            <w:vAlign w:val="bottom"/>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6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r>
      <w:tr>
        <w:trPr>
          <w:trHeight w:val="142"/>
        </w:trPr>
        <w:tc>
          <w:tcPr>
            <w:tcW w:w="680" w:type="dxa"/>
            <w:vAlign w:val="bottom"/>
            <w:gridSpan w:val="2"/>
          </w:tcPr>
          <w:p>
            <w:pPr>
              <w:jc w:val="center"/>
              <w:ind w:left="354"/>
              <w:spacing w:after="0" w:line="142" w:lineRule="exact"/>
              <w:rPr>
                <w:rFonts w:ascii="Arial" w:cs="Arial" w:eastAsia="Arial" w:hAnsi="Arial"/>
                <w:sz w:val="13"/>
                <w:szCs w:val="13"/>
                <w:color w:val="auto"/>
              </w:rPr>
            </w:pPr>
            <w:hyperlink w:anchor="page138">
              <w:r>
                <w:rPr>
                  <w:rFonts w:ascii="Arial" w:cs="Arial" w:eastAsia="Arial" w:hAnsi="Arial"/>
                  <w:sz w:val="13"/>
                  <w:szCs w:val="13"/>
                  <w:color w:val="auto"/>
                </w:rPr>
                <w:t>23.</w:t>
              </w:r>
              <w:r>
                <w:rPr>
                  <w:rFonts w:ascii="Arial" w:cs="Arial" w:eastAsia="Arial" w:hAnsi="Arial"/>
                  <w:sz w:val="13"/>
                  <w:szCs w:val="13"/>
                  <w:u w:val="single" w:color="auto"/>
                  <w:color w:val="auto"/>
                </w:rPr>
                <w:t>1</w:t>
              </w:r>
            </w:hyperlink>
          </w:p>
        </w:tc>
        <w:tc>
          <w:tcPr>
            <w:tcW w:w="780" w:type="dxa"/>
            <w:vAlign w:val="bottom"/>
          </w:tcPr>
          <w:p>
            <w:pPr>
              <w:spacing w:after="0"/>
              <w:rPr>
                <w:sz w:val="12"/>
                <w:szCs w:val="12"/>
                <w:color w:val="auto"/>
              </w:rPr>
            </w:pPr>
          </w:p>
        </w:tc>
        <w:tc>
          <w:tcPr>
            <w:tcW w:w="9800" w:type="dxa"/>
            <w:vAlign w:val="bottom"/>
            <w:gridSpan w:val="29"/>
          </w:tcPr>
          <w:p>
            <w:pPr>
              <w:spacing w:after="0" w:line="142" w:lineRule="exact"/>
              <w:rPr>
                <w:rFonts w:ascii="Arial" w:cs="Arial" w:eastAsia="Arial" w:hAnsi="Arial"/>
                <w:sz w:val="13"/>
                <w:szCs w:val="13"/>
                <w:color w:val="auto"/>
              </w:rPr>
            </w:pPr>
            <w:hyperlink w:anchor="page138">
              <w:r>
                <w:rPr>
                  <w:rFonts w:ascii="Arial" w:cs="Arial" w:eastAsia="Arial" w:hAnsi="Arial"/>
                  <w:sz w:val="13"/>
                  <w:szCs w:val="13"/>
                  <w:color w:val="auto"/>
                </w:rPr>
                <w:t>Consent of Ernst &amp; Young LLP</w:t>
              </w:r>
            </w:hyperlink>
          </w:p>
        </w:tc>
      </w:tr>
      <w:tr>
        <w:trPr>
          <w:trHeight w:val="26"/>
        </w:trPr>
        <w:tc>
          <w:tcPr>
            <w:tcW w:w="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48"/>
        </w:trPr>
        <w:tc>
          <w:tcPr>
            <w:tcW w:w="680" w:type="dxa"/>
            <w:vAlign w:val="bottom"/>
            <w:gridSpan w:val="2"/>
            <w:shd w:val="clear" w:color="auto" w:fill="DBDBDB"/>
          </w:tcPr>
          <w:p>
            <w:pPr>
              <w:jc w:val="center"/>
              <w:ind w:left="354"/>
              <w:spacing w:after="0" w:line="149" w:lineRule="exact"/>
              <w:rPr>
                <w:rFonts w:ascii="Arial" w:cs="Arial" w:eastAsia="Arial" w:hAnsi="Arial"/>
                <w:sz w:val="13"/>
                <w:szCs w:val="13"/>
                <w:color w:val="auto"/>
              </w:rPr>
            </w:pPr>
            <w:hyperlink w:anchor="page139">
              <w:r>
                <w:rPr>
                  <w:rFonts w:ascii="Arial" w:cs="Arial" w:eastAsia="Arial" w:hAnsi="Arial"/>
                  <w:sz w:val="13"/>
                  <w:szCs w:val="13"/>
                  <w:color w:val="auto"/>
                </w:rPr>
                <w:t>31.</w:t>
              </w:r>
              <w:r>
                <w:rPr>
                  <w:rFonts w:ascii="Arial" w:cs="Arial" w:eastAsia="Arial" w:hAnsi="Arial"/>
                  <w:sz w:val="13"/>
                  <w:szCs w:val="13"/>
                  <w:u w:val="single" w:color="auto"/>
                  <w:color w:val="auto"/>
                </w:rPr>
                <w:t>1</w:t>
              </w:r>
            </w:hyperlink>
          </w:p>
        </w:tc>
        <w:tc>
          <w:tcPr>
            <w:tcW w:w="780" w:type="dxa"/>
            <w:vAlign w:val="bottom"/>
            <w:tcBorders>
              <w:left w:val="single" w:sz="8" w:color="DBDBDB"/>
            </w:tcBorders>
            <w:shd w:val="clear" w:color="auto" w:fill="DBDBDB"/>
          </w:tcPr>
          <w:p>
            <w:pPr>
              <w:spacing w:after="0"/>
              <w:rPr>
                <w:sz w:val="12"/>
                <w:szCs w:val="12"/>
                <w:color w:val="auto"/>
              </w:rPr>
            </w:pPr>
          </w:p>
        </w:tc>
        <w:tc>
          <w:tcPr>
            <w:tcW w:w="9800" w:type="dxa"/>
            <w:vAlign w:val="bottom"/>
            <w:gridSpan w:val="29"/>
            <w:shd w:val="clear" w:color="auto" w:fill="DBDBDB"/>
          </w:tcPr>
          <w:p>
            <w:pPr>
              <w:spacing w:after="0" w:line="149" w:lineRule="exact"/>
              <w:rPr>
                <w:rFonts w:ascii="Arial" w:cs="Arial" w:eastAsia="Arial" w:hAnsi="Arial"/>
                <w:sz w:val="13"/>
                <w:szCs w:val="13"/>
                <w:color w:val="auto"/>
              </w:rPr>
            </w:pPr>
            <w:hyperlink w:anchor="page139">
              <w:r>
                <w:rPr>
                  <w:rFonts w:ascii="Arial" w:cs="Arial" w:eastAsia="Arial" w:hAnsi="Arial"/>
                  <w:sz w:val="13"/>
                  <w:szCs w:val="13"/>
                  <w:color w:val="auto"/>
                </w:rPr>
                <w:t>Certification of Chief Executive Officer Pursuant to Rules 13a-14(a) and 15d-14(a) under the Securities Exchange Act of 1934, as Adopted Pursuant to Section 302 of</w:t>
              </w:r>
            </w:hyperlink>
          </w:p>
        </w:tc>
      </w:tr>
      <w:tr>
        <w:trPr>
          <w:trHeight w:val="124"/>
        </w:trPr>
        <w:tc>
          <w:tcPr>
            <w:tcW w:w="420" w:type="dxa"/>
            <w:vAlign w:val="bottom"/>
            <w:tcBorders>
              <w:top w:val="single" w:sz="8" w:color="DBDBDB"/>
              <w:bottom w:val="single" w:sz="8" w:color="DBDBDB"/>
              <w:right w:val="single" w:sz="8" w:color="DBDBDB"/>
            </w:tcBorders>
            <w:shd w:val="clear" w:color="auto" w:fill="DBDBDB"/>
          </w:tcPr>
          <w:p>
            <w:pPr>
              <w:spacing w:after="0"/>
              <w:rPr>
                <w:sz w:val="10"/>
                <w:szCs w:val="10"/>
                <w:color w:val="auto"/>
              </w:rPr>
            </w:pPr>
          </w:p>
        </w:tc>
        <w:tc>
          <w:tcPr>
            <w:tcW w:w="260" w:type="dxa"/>
            <w:vAlign w:val="bottom"/>
            <w:tcBorders>
              <w:top w:val="single" w:sz="8" w:color="auto"/>
              <w:bottom w:val="single" w:sz="8" w:color="DBDBDB"/>
            </w:tcBorders>
            <w:shd w:val="clear" w:color="auto" w:fill="DBDBDB"/>
          </w:tcPr>
          <w:p>
            <w:pPr>
              <w:spacing w:after="0"/>
              <w:rPr>
                <w:sz w:val="10"/>
                <w:szCs w:val="10"/>
                <w:color w:val="auto"/>
              </w:rPr>
            </w:pPr>
          </w:p>
        </w:tc>
        <w:tc>
          <w:tcPr>
            <w:tcW w:w="780" w:type="dxa"/>
            <w:vAlign w:val="bottom"/>
            <w:tcBorders>
              <w:top w:val="single" w:sz="8" w:color="DBDBDB"/>
              <w:left w:val="single" w:sz="8" w:color="DBDBDB"/>
              <w:bottom w:val="single" w:sz="8" w:color="DBDBDB"/>
            </w:tcBorders>
            <w:shd w:val="clear" w:color="auto" w:fill="DBDBDB"/>
          </w:tcPr>
          <w:p>
            <w:pPr>
              <w:spacing w:after="0"/>
              <w:rPr>
                <w:sz w:val="10"/>
                <w:szCs w:val="10"/>
                <w:color w:val="auto"/>
              </w:rPr>
            </w:pPr>
          </w:p>
        </w:tc>
        <w:tc>
          <w:tcPr>
            <w:tcW w:w="1380" w:type="dxa"/>
            <w:vAlign w:val="bottom"/>
            <w:tcBorders>
              <w:top w:val="single" w:sz="8" w:color="auto"/>
              <w:bottom w:val="single" w:sz="8" w:color="auto"/>
            </w:tcBorders>
            <w:gridSpan w:val="5"/>
            <w:shd w:val="clear" w:color="auto" w:fill="DBDBDB"/>
          </w:tcPr>
          <w:p>
            <w:pPr>
              <w:spacing w:after="0" w:line="111" w:lineRule="exact"/>
              <w:rPr>
                <w:rFonts w:ascii="Arial" w:cs="Arial" w:eastAsia="Arial" w:hAnsi="Arial"/>
                <w:sz w:val="12"/>
                <w:szCs w:val="12"/>
                <w:color w:val="auto"/>
              </w:rPr>
            </w:pPr>
            <w:hyperlink w:anchor="page139">
              <w:r>
                <w:rPr>
                  <w:rFonts w:ascii="Arial" w:cs="Arial" w:eastAsia="Arial" w:hAnsi="Arial"/>
                  <w:sz w:val="12"/>
                  <w:szCs w:val="12"/>
                  <w:color w:val="auto"/>
                </w:rPr>
                <w:t>the Sarbanes-Oxley Act</w:t>
              </w:r>
            </w:hyperlink>
          </w:p>
        </w:tc>
        <w:tc>
          <w:tcPr>
            <w:tcW w:w="8200" w:type="dxa"/>
            <w:vAlign w:val="bottom"/>
            <w:tcBorders>
              <w:top w:val="single" w:sz="8" w:color="auto"/>
              <w:bottom w:val="single" w:sz="8" w:color="DBDBDB"/>
            </w:tcBorders>
            <w:gridSpan w:val="16"/>
            <w:shd w:val="clear" w:color="auto" w:fill="DBDBDB"/>
          </w:tcPr>
          <w:p>
            <w:pPr>
              <w:spacing w:after="0"/>
              <w:rPr>
                <w:sz w:val="10"/>
                <w:szCs w:val="10"/>
                <w:color w:val="auto"/>
              </w:rPr>
            </w:pPr>
          </w:p>
        </w:tc>
        <w:tc>
          <w:tcPr>
            <w:tcW w:w="140" w:type="dxa"/>
            <w:vAlign w:val="bottom"/>
            <w:tcBorders>
              <w:top w:val="single" w:sz="8" w:color="DBDBDB"/>
              <w:bottom w:val="single" w:sz="8" w:color="DBDBDB"/>
            </w:tcBorders>
            <w:gridSpan w:val="4"/>
            <w:shd w:val="clear" w:color="auto" w:fill="DBDBDB"/>
          </w:tcPr>
          <w:p>
            <w:pPr>
              <w:spacing w:after="0"/>
              <w:rPr>
                <w:sz w:val="10"/>
                <w:szCs w:val="10"/>
                <w:color w:val="auto"/>
              </w:rPr>
            </w:pPr>
          </w:p>
        </w:tc>
        <w:tc>
          <w:tcPr>
            <w:tcW w:w="80" w:type="dxa"/>
            <w:vAlign w:val="bottom"/>
            <w:tcBorders>
              <w:top w:val="single" w:sz="8" w:color="DBDBDB"/>
              <w:bottom w:val="single" w:sz="8" w:color="DBDBDB"/>
            </w:tcBorders>
            <w:gridSpan w:val="4"/>
            <w:shd w:val="clear" w:color="auto" w:fill="DBDBDB"/>
          </w:tcPr>
          <w:p>
            <w:pPr>
              <w:spacing w:after="0"/>
              <w:rPr>
                <w:sz w:val="10"/>
                <w:szCs w:val="10"/>
                <w:color w:val="auto"/>
              </w:rPr>
            </w:pPr>
          </w:p>
        </w:tc>
      </w:tr>
      <w:tr>
        <w:trPr>
          <w:trHeight w:val="142"/>
        </w:trPr>
        <w:tc>
          <w:tcPr>
            <w:tcW w:w="680" w:type="dxa"/>
            <w:vAlign w:val="bottom"/>
            <w:gridSpan w:val="2"/>
          </w:tcPr>
          <w:p>
            <w:pPr>
              <w:jc w:val="center"/>
              <w:ind w:left="354"/>
              <w:spacing w:after="0" w:line="142" w:lineRule="exact"/>
              <w:rPr>
                <w:rFonts w:ascii="Arial" w:cs="Arial" w:eastAsia="Arial" w:hAnsi="Arial"/>
                <w:sz w:val="13"/>
                <w:szCs w:val="13"/>
                <w:color w:val="auto"/>
              </w:rPr>
            </w:pPr>
            <w:hyperlink w:anchor="page140">
              <w:r>
                <w:rPr>
                  <w:rFonts w:ascii="Arial" w:cs="Arial" w:eastAsia="Arial" w:hAnsi="Arial"/>
                  <w:sz w:val="13"/>
                  <w:szCs w:val="13"/>
                  <w:color w:val="auto"/>
                </w:rPr>
                <w:t>31.</w:t>
              </w:r>
              <w:r>
                <w:rPr>
                  <w:rFonts w:ascii="Arial" w:cs="Arial" w:eastAsia="Arial" w:hAnsi="Arial"/>
                  <w:sz w:val="13"/>
                  <w:szCs w:val="13"/>
                  <w:u w:val="single" w:color="auto"/>
                  <w:color w:val="auto"/>
                </w:rPr>
                <w:t>2</w:t>
              </w:r>
            </w:hyperlink>
          </w:p>
        </w:tc>
        <w:tc>
          <w:tcPr>
            <w:tcW w:w="780" w:type="dxa"/>
            <w:vAlign w:val="bottom"/>
          </w:tcPr>
          <w:p>
            <w:pPr>
              <w:spacing w:after="0"/>
              <w:rPr>
                <w:sz w:val="12"/>
                <w:szCs w:val="12"/>
                <w:color w:val="auto"/>
              </w:rPr>
            </w:pPr>
          </w:p>
        </w:tc>
        <w:tc>
          <w:tcPr>
            <w:tcW w:w="9800" w:type="dxa"/>
            <w:vAlign w:val="bottom"/>
            <w:gridSpan w:val="29"/>
          </w:tcPr>
          <w:p>
            <w:pPr>
              <w:spacing w:after="0" w:line="142" w:lineRule="exact"/>
              <w:rPr>
                <w:rFonts w:ascii="Arial" w:cs="Arial" w:eastAsia="Arial" w:hAnsi="Arial"/>
                <w:sz w:val="13"/>
                <w:szCs w:val="13"/>
                <w:color w:val="auto"/>
              </w:rPr>
            </w:pPr>
            <w:hyperlink w:anchor="page140">
              <w:r>
                <w:rPr>
                  <w:rFonts w:ascii="Arial" w:cs="Arial" w:eastAsia="Arial" w:hAnsi="Arial"/>
                  <w:sz w:val="13"/>
                  <w:szCs w:val="13"/>
                  <w:color w:val="auto"/>
                </w:rPr>
                <w:t>Certification of Chief Financial Officer Pursuant to Rules 13a-14(a) and 15d-14(a) under the Securities Exchange Act of 1934, as adopted pursuant to Section 302 of the</w:t>
              </w:r>
            </w:hyperlink>
          </w:p>
        </w:tc>
      </w:tr>
      <w:tr>
        <w:trPr>
          <w:trHeight w:val="111"/>
        </w:trPr>
        <w:tc>
          <w:tcPr>
            <w:tcW w:w="42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9720" w:type="dxa"/>
            <w:vAlign w:val="bottom"/>
            <w:tcBorders>
              <w:top w:val="single" w:sz="8" w:color="auto"/>
            </w:tcBorders>
            <w:gridSpan w:val="25"/>
          </w:tcPr>
          <w:p>
            <w:pPr>
              <w:spacing w:after="0" w:line="111" w:lineRule="exact"/>
              <w:rPr>
                <w:rFonts w:ascii="Arial" w:cs="Arial" w:eastAsia="Arial" w:hAnsi="Arial"/>
                <w:sz w:val="12"/>
                <w:szCs w:val="12"/>
                <w:color w:val="auto"/>
              </w:rPr>
            </w:pPr>
            <w:hyperlink w:anchor="page140">
              <w:r>
                <w:rPr>
                  <w:rFonts w:ascii="Arial" w:cs="Arial" w:eastAsia="Arial" w:hAnsi="Arial"/>
                  <w:sz w:val="12"/>
                  <w:szCs w:val="12"/>
                  <w:color w:val="auto"/>
                </w:rPr>
                <w:t>Sarbanes-Oxley Act</w:t>
              </w:r>
            </w:hyperlink>
          </w:p>
        </w:tc>
        <w:tc>
          <w:tcPr>
            <w:tcW w:w="80" w:type="dxa"/>
            <w:vAlign w:val="bottom"/>
            <w:gridSpan w:val="4"/>
          </w:tcPr>
          <w:p>
            <w:pPr>
              <w:spacing w:after="0"/>
              <w:rPr>
                <w:sz w:val="9"/>
                <w:szCs w:val="9"/>
                <w:color w:val="auto"/>
              </w:rPr>
            </w:pPr>
          </w:p>
        </w:tc>
      </w:tr>
      <w:tr>
        <w:trPr>
          <w:trHeight w:val="26"/>
        </w:trPr>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48"/>
        </w:trPr>
        <w:tc>
          <w:tcPr>
            <w:tcW w:w="680" w:type="dxa"/>
            <w:vAlign w:val="bottom"/>
            <w:gridSpan w:val="2"/>
            <w:shd w:val="clear" w:color="auto" w:fill="DBDBDB"/>
          </w:tcPr>
          <w:p>
            <w:pPr>
              <w:jc w:val="center"/>
              <w:ind w:left="354"/>
              <w:spacing w:after="0" w:line="149" w:lineRule="exact"/>
              <w:rPr>
                <w:rFonts w:ascii="Arial" w:cs="Arial" w:eastAsia="Arial" w:hAnsi="Arial"/>
                <w:sz w:val="13"/>
                <w:szCs w:val="13"/>
                <w:color w:val="auto"/>
              </w:rPr>
            </w:pPr>
            <w:hyperlink w:anchor="page141">
              <w:r>
                <w:rPr>
                  <w:rFonts w:ascii="Arial" w:cs="Arial" w:eastAsia="Arial" w:hAnsi="Arial"/>
                  <w:sz w:val="13"/>
                  <w:szCs w:val="13"/>
                  <w:color w:val="auto"/>
                </w:rPr>
                <w:t>32.</w:t>
              </w:r>
              <w:r>
                <w:rPr>
                  <w:rFonts w:ascii="Arial" w:cs="Arial" w:eastAsia="Arial" w:hAnsi="Arial"/>
                  <w:sz w:val="13"/>
                  <w:szCs w:val="13"/>
                  <w:u w:val="single" w:color="auto"/>
                  <w:color w:val="auto"/>
                </w:rPr>
                <w:t>1</w:t>
              </w:r>
            </w:hyperlink>
          </w:p>
        </w:tc>
        <w:tc>
          <w:tcPr>
            <w:tcW w:w="780" w:type="dxa"/>
            <w:vAlign w:val="bottom"/>
            <w:tcBorders>
              <w:left w:val="single" w:sz="8" w:color="DBDBDB"/>
            </w:tcBorders>
            <w:shd w:val="clear" w:color="auto" w:fill="DBDBDB"/>
          </w:tcPr>
          <w:p>
            <w:pPr>
              <w:spacing w:after="0"/>
              <w:rPr>
                <w:sz w:val="12"/>
                <w:szCs w:val="12"/>
                <w:color w:val="auto"/>
              </w:rPr>
            </w:pPr>
          </w:p>
        </w:tc>
        <w:tc>
          <w:tcPr>
            <w:tcW w:w="9800" w:type="dxa"/>
            <w:vAlign w:val="bottom"/>
            <w:gridSpan w:val="29"/>
            <w:shd w:val="clear" w:color="auto" w:fill="DBDBDB"/>
          </w:tcPr>
          <w:p>
            <w:pPr>
              <w:spacing w:after="0" w:line="149" w:lineRule="exact"/>
              <w:rPr>
                <w:rFonts w:ascii="Arial" w:cs="Arial" w:eastAsia="Arial" w:hAnsi="Arial"/>
                <w:sz w:val="13"/>
                <w:szCs w:val="13"/>
                <w:color w:val="auto"/>
              </w:rPr>
            </w:pPr>
            <w:hyperlink w:anchor="page141">
              <w:r>
                <w:rPr>
                  <w:rFonts w:ascii="Arial" w:cs="Arial" w:eastAsia="Arial" w:hAnsi="Arial"/>
                  <w:sz w:val="13"/>
                  <w:szCs w:val="13"/>
                  <w:color w:val="auto"/>
                </w:rPr>
                <w:t>Certification of Chief Executive Officer Pursuant to 18 USC Section 1350, as adopted pursuant to Section 906 of the Sarbanes-Oxley Act</w:t>
              </w:r>
            </w:hyperlink>
          </w:p>
        </w:tc>
      </w:tr>
      <w:tr>
        <w:trPr>
          <w:trHeight w:val="33"/>
        </w:trPr>
        <w:tc>
          <w:tcPr>
            <w:tcW w:w="420" w:type="dxa"/>
            <w:vAlign w:val="bottom"/>
            <w:tcBorders>
              <w:right w:val="single" w:sz="8" w:color="DBDBDB"/>
            </w:tcBorders>
            <w:shd w:val="clear" w:color="auto" w:fill="DBDBDB"/>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tcBorders>
              <w:left w:val="single" w:sz="8" w:color="DBDBDB"/>
            </w:tcBorders>
            <w:shd w:val="clear" w:color="auto" w:fill="DBDBDB"/>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960" w:type="dxa"/>
            <w:vAlign w:val="bottom"/>
            <w:shd w:val="clear" w:color="auto" w:fill="000000"/>
          </w:tcPr>
          <w:p>
            <w:pPr>
              <w:spacing w:after="0"/>
              <w:rPr>
                <w:sz w:val="2"/>
                <w:szCs w:val="2"/>
                <w:color w:val="auto"/>
              </w:rPr>
            </w:pPr>
          </w:p>
        </w:tc>
        <w:tc>
          <w:tcPr>
            <w:tcW w:w="300" w:type="dxa"/>
            <w:vAlign w:val="bottom"/>
            <w:tcBorders>
              <w:left w:val="single" w:sz="8" w:color="auto"/>
            </w:tcBorders>
            <w:shd w:val="clear" w:color="auto" w:fill="DBDBDB"/>
          </w:tcPr>
          <w:p>
            <w:pPr>
              <w:spacing w:after="0"/>
              <w:rPr>
                <w:sz w:val="2"/>
                <w:szCs w:val="2"/>
                <w:color w:val="auto"/>
              </w:rPr>
            </w:pPr>
          </w:p>
        </w:tc>
        <w:tc>
          <w:tcPr>
            <w:tcW w:w="1020" w:type="dxa"/>
            <w:vAlign w:val="bottom"/>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6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r>
      <w:tr>
        <w:trPr>
          <w:trHeight w:val="142"/>
        </w:trPr>
        <w:tc>
          <w:tcPr>
            <w:tcW w:w="680" w:type="dxa"/>
            <w:vAlign w:val="bottom"/>
            <w:gridSpan w:val="2"/>
          </w:tcPr>
          <w:p>
            <w:pPr>
              <w:jc w:val="center"/>
              <w:ind w:left="354"/>
              <w:spacing w:after="0" w:line="142" w:lineRule="exact"/>
              <w:rPr>
                <w:rFonts w:ascii="Arial" w:cs="Arial" w:eastAsia="Arial" w:hAnsi="Arial"/>
                <w:sz w:val="13"/>
                <w:szCs w:val="13"/>
                <w:color w:val="auto"/>
              </w:rPr>
            </w:pPr>
            <w:hyperlink w:anchor="page142">
              <w:r>
                <w:rPr>
                  <w:rFonts w:ascii="Arial" w:cs="Arial" w:eastAsia="Arial" w:hAnsi="Arial"/>
                  <w:sz w:val="13"/>
                  <w:szCs w:val="13"/>
                  <w:color w:val="auto"/>
                </w:rPr>
                <w:t>32.</w:t>
              </w:r>
              <w:r>
                <w:rPr>
                  <w:rFonts w:ascii="Arial" w:cs="Arial" w:eastAsia="Arial" w:hAnsi="Arial"/>
                  <w:sz w:val="13"/>
                  <w:szCs w:val="13"/>
                  <w:u w:val="single" w:color="auto"/>
                  <w:color w:val="auto"/>
                </w:rPr>
                <w:t>2</w:t>
              </w:r>
            </w:hyperlink>
          </w:p>
        </w:tc>
        <w:tc>
          <w:tcPr>
            <w:tcW w:w="780" w:type="dxa"/>
            <w:vAlign w:val="bottom"/>
          </w:tcPr>
          <w:p>
            <w:pPr>
              <w:spacing w:after="0"/>
              <w:rPr>
                <w:sz w:val="12"/>
                <w:szCs w:val="12"/>
                <w:color w:val="auto"/>
              </w:rPr>
            </w:pPr>
          </w:p>
        </w:tc>
        <w:tc>
          <w:tcPr>
            <w:tcW w:w="9800" w:type="dxa"/>
            <w:vAlign w:val="bottom"/>
            <w:gridSpan w:val="29"/>
          </w:tcPr>
          <w:p>
            <w:pPr>
              <w:spacing w:after="0" w:line="142" w:lineRule="exact"/>
              <w:rPr>
                <w:rFonts w:ascii="Arial" w:cs="Arial" w:eastAsia="Arial" w:hAnsi="Arial"/>
                <w:sz w:val="13"/>
                <w:szCs w:val="13"/>
                <w:color w:val="auto"/>
              </w:rPr>
            </w:pPr>
            <w:hyperlink w:anchor="page142">
              <w:r>
                <w:rPr>
                  <w:rFonts w:ascii="Arial" w:cs="Arial" w:eastAsia="Arial" w:hAnsi="Arial"/>
                  <w:sz w:val="13"/>
                  <w:szCs w:val="13"/>
                  <w:color w:val="auto"/>
                </w:rPr>
                <w:t>Certification of Chief Financial Officer Pursuant to 18 USC Section 1350, as adopted pursuant to Section 906 of the Sarbanes-Oxley Act</w:t>
              </w:r>
            </w:hyperlink>
          </w:p>
        </w:tc>
      </w:tr>
      <w:tr>
        <w:trPr>
          <w:trHeight w:val="26"/>
        </w:trPr>
        <w:tc>
          <w:tcPr>
            <w:tcW w:w="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0"/>
        </w:trPr>
        <w:tc>
          <w:tcPr>
            <w:tcW w:w="680" w:type="dxa"/>
            <w:vAlign w:val="bottom"/>
            <w:gridSpan w:val="2"/>
            <w:shd w:val="clear" w:color="auto" w:fill="DBDBDB"/>
          </w:tcPr>
          <w:p>
            <w:pPr>
              <w:jc w:val="center"/>
              <w:ind w:left="294"/>
              <w:spacing w:after="0"/>
              <w:rPr>
                <w:sz w:val="20"/>
                <w:szCs w:val="20"/>
                <w:color w:val="auto"/>
              </w:rPr>
            </w:pPr>
            <w:r>
              <w:rPr>
                <w:rFonts w:ascii="Arial" w:cs="Arial" w:eastAsia="Arial" w:hAnsi="Arial"/>
                <w:sz w:val="13"/>
                <w:szCs w:val="13"/>
                <w:color w:val="auto"/>
              </w:rPr>
              <w:t>101**</w:t>
            </w:r>
          </w:p>
        </w:tc>
        <w:tc>
          <w:tcPr>
            <w:tcW w:w="780" w:type="dxa"/>
            <w:vAlign w:val="bottom"/>
            <w:tcBorders>
              <w:left w:val="single" w:sz="8" w:color="DBDBDB"/>
            </w:tcBorders>
            <w:shd w:val="clear" w:color="auto" w:fill="DBDBDB"/>
          </w:tcPr>
          <w:p>
            <w:pPr>
              <w:spacing w:after="0"/>
              <w:rPr>
                <w:sz w:val="13"/>
                <w:szCs w:val="13"/>
                <w:color w:val="auto"/>
              </w:rPr>
            </w:pPr>
          </w:p>
        </w:tc>
        <w:tc>
          <w:tcPr>
            <w:tcW w:w="9800" w:type="dxa"/>
            <w:vAlign w:val="bottom"/>
            <w:gridSpan w:val="29"/>
            <w:shd w:val="clear" w:color="auto" w:fill="DBDBDB"/>
          </w:tcPr>
          <w:p>
            <w:pPr>
              <w:spacing w:after="0"/>
              <w:rPr>
                <w:sz w:val="20"/>
                <w:szCs w:val="20"/>
                <w:color w:val="auto"/>
              </w:rPr>
            </w:pPr>
            <w:r>
              <w:rPr>
                <w:rFonts w:ascii="Arial" w:cs="Arial" w:eastAsia="Arial" w:hAnsi="Arial"/>
                <w:sz w:val="13"/>
                <w:szCs w:val="13"/>
                <w:color w:val="auto"/>
              </w:rPr>
              <w:t>Inline XBRL Document Set for the consolidated financial statements and accompanying notes in Part II, Item 8, "Financial Statements and Supplementary Data" of this</w:t>
            </w:r>
          </w:p>
        </w:tc>
      </w:tr>
      <w:tr>
        <w:trPr>
          <w:trHeight w:val="162"/>
        </w:trPr>
        <w:tc>
          <w:tcPr>
            <w:tcW w:w="420" w:type="dxa"/>
            <w:vAlign w:val="bottom"/>
            <w:tcBorders>
              <w:right w:val="single" w:sz="8" w:color="DBDBDB"/>
            </w:tcBorders>
            <w:shd w:val="clear" w:color="auto" w:fill="DBDBDB"/>
          </w:tcPr>
          <w:p>
            <w:pPr>
              <w:spacing w:after="0"/>
              <w:rPr>
                <w:sz w:val="14"/>
                <w:szCs w:val="14"/>
                <w:color w:val="auto"/>
              </w:rPr>
            </w:pPr>
          </w:p>
        </w:tc>
        <w:tc>
          <w:tcPr>
            <w:tcW w:w="260" w:type="dxa"/>
            <w:vAlign w:val="bottom"/>
            <w:shd w:val="clear" w:color="auto" w:fill="DBDBDB"/>
          </w:tcPr>
          <w:p>
            <w:pPr>
              <w:spacing w:after="0"/>
              <w:rPr>
                <w:sz w:val="14"/>
                <w:szCs w:val="14"/>
                <w:color w:val="auto"/>
              </w:rPr>
            </w:pPr>
          </w:p>
        </w:tc>
        <w:tc>
          <w:tcPr>
            <w:tcW w:w="780" w:type="dxa"/>
            <w:vAlign w:val="bottom"/>
            <w:tcBorders>
              <w:left w:val="single" w:sz="8" w:color="DBDBDB"/>
            </w:tcBorders>
            <w:shd w:val="clear" w:color="auto" w:fill="DBDBDB"/>
          </w:tcPr>
          <w:p>
            <w:pPr>
              <w:spacing w:after="0"/>
              <w:rPr>
                <w:sz w:val="14"/>
                <w:szCs w:val="14"/>
                <w:color w:val="auto"/>
              </w:rPr>
            </w:pPr>
          </w:p>
        </w:tc>
        <w:tc>
          <w:tcPr>
            <w:tcW w:w="9800" w:type="dxa"/>
            <w:vAlign w:val="bottom"/>
            <w:gridSpan w:val="29"/>
            <w:shd w:val="clear" w:color="auto" w:fill="DBDBDB"/>
          </w:tcPr>
          <w:p>
            <w:pPr>
              <w:spacing w:after="0"/>
              <w:rPr>
                <w:sz w:val="20"/>
                <w:szCs w:val="20"/>
                <w:color w:val="auto"/>
              </w:rPr>
            </w:pPr>
            <w:r>
              <w:rPr>
                <w:rFonts w:ascii="Arial" w:cs="Arial" w:eastAsia="Arial" w:hAnsi="Arial"/>
                <w:sz w:val="13"/>
                <w:szCs w:val="13"/>
                <w:color w:val="auto"/>
              </w:rPr>
              <w:t>Annual Report on Form 10-K.</w:t>
            </w:r>
          </w:p>
        </w:tc>
      </w:tr>
      <w:tr>
        <w:trPr>
          <w:trHeight w:val="169"/>
        </w:trPr>
        <w:tc>
          <w:tcPr>
            <w:tcW w:w="680" w:type="dxa"/>
            <w:vAlign w:val="bottom"/>
            <w:gridSpan w:val="2"/>
          </w:tcPr>
          <w:p>
            <w:pPr>
              <w:jc w:val="center"/>
              <w:ind w:left="294"/>
              <w:spacing w:after="0"/>
              <w:rPr>
                <w:sz w:val="20"/>
                <w:szCs w:val="20"/>
                <w:color w:val="auto"/>
              </w:rPr>
            </w:pPr>
            <w:r>
              <w:rPr>
                <w:rFonts w:ascii="Arial" w:cs="Arial" w:eastAsia="Arial" w:hAnsi="Arial"/>
                <w:sz w:val="13"/>
                <w:szCs w:val="13"/>
                <w:color w:val="auto"/>
              </w:rPr>
              <w:t>104**</w:t>
            </w:r>
          </w:p>
        </w:tc>
        <w:tc>
          <w:tcPr>
            <w:tcW w:w="780" w:type="dxa"/>
            <w:vAlign w:val="bottom"/>
          </w:tcPr>
          <w:p>
            <w:pPr>
              <w:spacing w:after="0"/>
              <w:rPr>
                <w:sz w:val="14"/>
                <w:szCs w:val="14"/>
                <w:color w:val="auto"/>
              </w:rPr>
            </w:pPr>
          </w:p>
        </w:tc>
        <w:tc>
          <w:tcPr>
            <w:tcW w:w="9800" w:type="dxa"/>
            <w:vAlign w:val="bottom"/>
            <w:gridSpan w:val="29"/>
          </w:tcPr>
          <w:p>
            <w:pPr>
              <w:spacing w:after="0"/>
              <w:rPr>
                <w:sz w:val="20"/>
                <w:szCs w:val="20"/>
                <w:color w:val="auto"/>
              </w:rPr>
            </w:pPr>
            <w:r>
              <w:rPr>
                <w:rFonts w:ascii="Arial" w:cs="Arial" w:eastAsia="Arial" w:hAnsi="Arial"/>
                <w:sz w:val="13"/>
                <w:szCs w:val="13"/>
                <w:color w:val="auto"/>
              </w:rPr>
              <w:t>Inline XBRL for the cover page of this Annual Report on Form 10-K, included in the Exhibit 101 Inline XBRL Document Set.</w:t>
            </w:r>
          </w:p>
        </w:tc>
      </w:tr>
    </w:tbl>
    <w:p>
      <w:pPr>
        <w:spacing w:after="0" w:line="160" w:lineRule="exact"/>
        <w:rPr>
          <w:sz w:val="20"/>
          <w:szCs w:val="20"/>
          <w:color w:val="auto"/>
        </w:rPr>
      </w:pPr>
    </w:p>
    <w:p>
      <w:pPr>
        <w:ind w:firstLine="7"/>
        <w:spacing w:after="0" w:line="239" w:lineRule="auto"/>
        <w:tabs>
          <w:tab w:leader="none" w:pos="93" w:val="left"/>
        </w:tabs>
        <w:numPr>
          <w:ilvl w:val="0"/>
          <w:numId w:val="37"/>
        </w:numPr>
        <w:rPr>
          <w:rFonts w:ascii="Arial" w:cs="Arial" w:eastAsia="Arial" w:hAnsi="Arial"/>
          <w:sz w:val="13"/>
          <w:szCs w:val="13"/>
          <w:color w:val="auto"/>
        </w:rPr>
      </w:pPr>
      <w:r>
        <w:rPr>
          <w:rFonts w:ascii="Arial" w:cs="Arial" w:eastAsia="Arial" w:hAnsi="Arial"/>
          <w:sz w:val="13"/>
          <w:szCs w:val="13"/>
          <w:color w:val="auto"/>
        </w:rPr>
        <w:t>Schedules have been omitted pursuant to Item 601(a)(5) of Regulation S-K. The Company hereby undertakes to furnish copies of any of the omitted schedules upon request by the Securities and Exchange Commission.</w:t>
      </w:r>
    </w:p>
    <w:p>
      <w:pPr>
        <w:spacing w:after="0" w:line="74" w:lineRule="exact"/>
        <w:rPr>
          <w:sz w:val="20"/>
          <w:szCs w:val="20"/>
          <w:color w:val="auto"/>
        </w:rPr>
      </w:pPr>
    </w:p>
    <w:p>
      <w:pPr>
        <w:spacing w:after="0"/>
        <w:rPr>
          <w:sz w:val="20"/>
          <w:szCs w:val="20"/>
          <w:color w:val="auto"/>
        </w:rPr>
      </w:pPr>
      <w:r>
        <w:rPr>
          <w:rFonts w:ascii="Arial" w:cs="Arial" w:eastAsia="Arial" w:hAnsi="Arial"/>
          <w:sz w:val="13"/>
          <w:szCs w:val="13"/>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7183755" cy="393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5">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940" w:right="319" w:bottom="1440" w:gutter="0" w:footer="0" w:header="0"/>
        </w:sectPr>
      </w:pPr>
    </w:p>
    <w:bookmarkStart w:id="121" w:name="page122"/>
    <w:bookmarkEnd w:id="121"/>
    <w:p>
      <w:pPr>
        <w:jc w:val="center"/>
        <w:ind w:right="40"/>
        <w:spacing w:after="0"/>
        <w:rPr>
          <w:sz w:val="20"/>
          <w:szCs w:val="20"/>
          <w:color w:val="auto"/>
        </w:rPr>
      </w:pPr>
      <w:r>
        <w:rPr>
          <w:rFonts w:ascii="Arial" w:cs="Arial" w:eastAsia="Arial" w:hAnsi="Arial"/>
          <w:sz w:val="19"/>
          <w:szCs w:val="19"/>
          <w:color w:val="1D2758"/>
        </w:rPr>
        <w:t>Signatures</w:t>
      </w:r>
    </w:p>
    <w:p>
      <w:pPr>
        <w:spacing w:after="0" w:line="195" w:lineRule="exact"/>
        <w:rPr>
          <w:sz w:val="20"/>
          <w:szCs w:val="20"/>
          <w:color w:val="auto"/>
        </w:rPr>
      </w:pPr>
    </w:p>
    <w:p>
      <w:pPr>
        <w:ind w:left="540"/>
        <w:spacing w:after="0"/>
        <w:rPr>
          <w:sz w:val="20"/>
          <w:szCs w:val="20"/>
          <w:color w:val="auto"/>
        </w:rPr>
      </w:pPr>
      <w:r>
        <w:rPr>
          <w:rFonts w:ascii="Arial" w:cs="Arial" w:eastAsia="Arial" w:hAnsi="Arial"/>
          <w:sz w:val="13"/>
          <w:szCs w:val="13"/>
          <w:color w:val="auto"/>
        </w:rPr>
        <w:t>Pursuant to the requirements of the Section 13 or Section 15(d) of the Securities Exchange Act of 1934, as amended, the registrant has duly caused this report to be signed on its behalf</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80" w:type="dxa"/>
            <w:vAlign w:val="bottom"/>
          </w:tcPr>
          <w:p>
            <w:pPr>
              <w:spacing w:after="0"/>
              <w:rPr>
                <w:sz w:val="20"/>
                <w:szCs w:val="20"/>
                <w:color w:val="auto"/>
              </w:rPr>
            </w:pPr>
            <w:r>
              <w:rPr>
                <w:rFonts w:ascii="Arial" w:cs="Arial" w:eastAsia="Arial" w:hAnsi="Arial"/>
                <w:sz w:val="13"/>
                <w:szCs w:val="13"/>
                <w:color w:val="auto"/>
              </w:rPr>
              <w:t>by</w:t>
            </w:r>
          </w:p>
        </w:tc>
        <w:tc>
          <w:tcPr>
            <w:tcW w:w="2280" w:type="dxa"/>
            <w:vAlign w:val="bottom"/>
          </w:tcPr>
          <w:p>
            <w:pPr>
              <w:ind w:left="1020"/>
              <w:spacing w:after="0"/>
              <w:rPr>
                <w:sz w:val="20"/>
                <w:szCs w:val="20"/>
                <w:color w:val="auto"/>
              </w:rPr>
            </w:pPr>
            <w:r>
              <w:rPr>
                <w:rFonts w:ascii="Arial" w:cs="Arial" w:eastAsia="Arial" w:hAnsi="Arial"/>
                <w:sz w:val="13"/>
                <w:szCs w:val="13"/>
                <w:color w:val="auto"/>
              </w:rPr>
              <w:t>the</w:t>
            </w:r>
          </w:p>
        </w:tc>
        <w:tc>
          <w:tcPr>
            <w:tcW w:w="2520" w:type="dxa"/>
            <w:vAlign w:val="bottom"/>
          </w:tcPr>
          <w:p>
            <w:pPr>
              <w:ind w:left="660"/>
              <w:spacing w:after="0"/>
              <w:rPr>
                <w:sz w:val="20"/>
                <w:szCs w:val="20"/>
                <w:color w:val="auto"/>
              </w:rPr>
            </w:pPr>
            <w:r>
              <w:rPr>
                <w:rFonts w:ascii="Arial" w:cs="Arial" w:eastAsia="Arial" w:hAnsi="Arial"/>
                <w:sz w:val="13"/>
                <w:szCs w:val="13"/>
                <w:color w:val="auto"/>
              </w:rPr>
              <w:t>undersigned,</w:t>
            </w:r>
          </w:p>
        </w:tc>
        <w:tc>
          <w:tcPr>
            <w:tcW w:w="1240" w:type="dxa"/>
            <w:vAlign w:val="bottom"/>
            <w:gridSpan w:val="2"/>
          </w:tcPr>
          <w:p>
            <w:pPr>
              <w:ind w:left="660"/>
              <w:spacing w:after="0"/>
              <w:rPr>
                <w:sz w:val="20"/>
                <w:szCs w:val="20"/>
                <w:color w:val="auto"/>
              </w:rPr>
            </w:pPr>
            <w:r>
              <w:rPr>
                <w:rFonts w:ascii="Arial" w:cs="Arial" w:eastAsia="Arial" w:hAnsi="Arial"/>
                <w:sz w:val="13"/>
                <w:szCs w:val="13"/>
                <w:color w:val="auto"/>
              </w:rPr>
              <w:t>thereunto</w:t>
            </w:r>
          </w:p>
        </w:tc>
        <w:tc>
          <w:tcPr>
            <w:tcW w:w="3220" w:type="dxa"/>
            <w:vAlign w:val="bottom"/>
          </w:tcPr>
          <w:p>
            <w:pPr>
              <w:ind w:left="1720"/>
              <w:spacing w:after="0"/>
              <w:rPr>
                <w:sz w:val="20"/>
                <w:szCs w:val="20"/>
                <w:color w:val="auto"/>
              </w:rPr>
            </w:pPr>
            <w:r>
              <w:rPr>
                <w:rFonts w:ascii="Arial" w:cs="Arial" w:eastAsia="Arial" w:hAnsi="Arial"/>
                <w:sz w:val="13"/>
                <w:szCs w:val="13"/>
                <w:color w:val="auto"/>
              </w:rPr>
              <w:t>duly</w:t>
            </w:r>
          </w:p>
        </w:tc>
        <w:tc>
          <w:tcPr>
            <w:tcW w:w="1140" w:type="dxa"/>
            <w:vAlign w:val="bottom"/>
            <w:gridSpan w:val="2"/>
          </w:tcPr>
          <w:p>
            <w:pPr>
              <w:ind w:left="480"/>
              <w:spacing w:after="0"/>
              <w:rPr>
                <w:sz w:val="20"/>
                <w:szCs w:val="20"/>
                <w:color w:val="auto"/>
              </w:rPr>
            </w:pPr>
            <w:r>
              <w:rPr>
                <w:rFonts w:ascii="Arial" w:cs="Arial" w:eastAsia="Arial" w:hAnsi="Arial"/>
                <w:sz w:val="13"/>
                <w:szCs w:val="13"/>
                <w:color w:val="auto"/>
                <w:w w:val="99"/>
              </w:rPr>
              <w:t>authorized.</w:t>
            </w:r>
          </w:p>
        </w:tc>
      </w:tr>
      <w:tr>
        <w:trPr>
          <w:trHeight w:val="186"/>
        </w:trPr>
        <w:tc>
          <w:tcPr>
            <w:tcW w:w="8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4460" w:type="dxa"/>
            <w:vAlign w:val="bottom"/>
            <w:gridSpan w:val="3"/>
          </w:tcPr>
          <w:p>
            <w:pPr>
              <w:ind w:left="540"/>
              <w:spacing w:after="0"/>
              <w:rPr>
                <w:sz w:val="20"/>
                <w:szCs w:val="20"/>
                <w:color w:val="auto"/>
              </w:rPr>
            </w:pPr>
            <w:r>
              <w:rPr>
                <w:rFonts w:ascii="Arial" w:cs="Arial" w:eastAsia="Arial" w:hAnsi="Arial"/>
                <w:sz w:val="13"/>
                <w:szCs w:val="13"/>
                <w:b w:val="1"/>
                <w:bCs w:val="1"/>
                <w:color w:val="auto"/>
              </w:rPr>
              <w:t>WillScot Mobile Mini Holdings Corp.</w:t>
            </w: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52"/>
        </w:trPr>
        <w:tc>
          <w:tcPr>
            <w:tcW w:w="8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40" w:type="dxa"/>
            <w:vAlign w:val="bottom"/>
            <w:gridSpan w:val="2"/>
          </w:tcPr>
          <w:p>
            <w:pPr>
              <w:ind w:left="540"/>
              <w:spacing w:after="0"/>
              <w:rPr>
                <w:sz w:val="20"/>
                <w:szCs w:val="20"/>
                <w:color w:val="auto"/>
              </w:rPr>
            </w:pPr>
            <w:r>
              <w:rPr>
                <w:rFonts w:ascii="Arial" w:cs="Arial" w:eastAsia="Arial" w:hAnsi="Arial"/>
                <w:sz w:val="13"/>
                <w:szCs w:val="13"/>
                <w:color w:val="auto"/>
              </w:rPr>
              <w:t>By:</w:t>
            </w:r>
          </w:p>
        </w:tc>
        <w:tc>
          <w:tcPr>
            <w:tcW w:w="3220" w:type="dxa"/>
            <w:vAlign w:val="bottom"/>
          </w:tcPr>
          <w:p>
            <w:pPr>
              <w:ind w:left="40"/>
              <w:spacing w:after="0"/>
              <w:rPr>
                <w:sz w:val="20"/>
                <w:szCs w:val="20"/>
                <w:color w:val="auto"/>
              </w:rPr>
            </w:pPr>
            <w:r>
              <w:rPr>
                <w:rFonts w:ascii="Arial" w:cs="Arial" w:eastAsia="Arial" w:hAnsi="Arial"/>
                <w:sz w:val="13"/>
                <w:szCs w:val="13"/>
                <w:color w:val="auto"/>
              </w:rPr>
              <w:t>/s/ CHRISTOPHER J. MINER</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3"/>
        </w:trPr>
        <w:tc>
          <w:tcPr>
            <w:tcW w:w="880" w:type="dxa"/>
            <w:vAlign w:val="bottom"/>
          </w:tcPr>
          <w:p>
            <w:pPr>
              <w:ind w:left="540"/>
              <w:spacing w:after="0"/>
              <w:rPr>
                <w:sz w:val="20"/>
                <w:szCs w:val="20"/>
                <w:color w:val="auto"/>
              </w:rPr>
            </w:pPr>
            <w:r>
              <w:rPr>
                <w:rFonts w:ascii="Arial" w:cs="Arial" w:eastAsia="Arial" w:hAnsi="Arial"/>
                <w:sz w:val="13"/>
                <w:szCs w:val="13"/>
                <w:color w:val="auto"/>
              </w:rPr>
              <w:t>Date:</w:t>
            </w:r>
          </w:p>
        </w:tc>
        <w:tc>
          <w:tcPr>
            <w:tcW w:w="2280" w:type="dxa"/>
            <w:vAlign w:val="bottom"/>
            <w:tcBorders>
              <w:bottom w:val="single" w:sz="8" w:color="auto"/>
            </w:tcBorders>
          </w:tcPr>
          <w:p>
            <w:pPr>
              <w:ind w:left="540"/>
              <w:spacing w:after="0"/>
              <w:rPr>
                <w:sz w:val="20"/>
                <w:szCs w:val="20"/>
                <w:color w:val="auto"/>
              </w:rPr>
            </w:pPr>
            <w:r>
              <w:rPr>
                <w:rFonts w:ascii="Arial" w:cs="Arial" w:eastAsia="Arial" w:hAnsi="Arial"/>
                <w:sz w:val="13"/>
                <w:szCs w:val="13"/>
                <w:color w:val="auto"/>
              </w:rPr>
              <w:t>February 25, 2022</w:t>
            </w:r>
          </w:p>
        </w:tc>
        <w:tc>
          <w:tcPr>
            <w:tcW w:w="252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3220" w:type="dxa"/>
            <w:vAlign w:val="bottom"/>
            <w:tcBorders>
              <w:top w:val="single" w:sz="8" w:color="auto"/>
            </w:tcBorders>
          </w:tcPr>
          <w:p>
            <w:pPr>
              <w:ind w:left="40"/>
              <w:spacing w:after="0"/>
              <w:rPr>
                <w:sz w:val="20"/>
                <w:szCs w:val="20"/>
                <w:color w:val="auto"/>
              </w:rPr>
            </w:pPr>
            <w:r>
              <w:rPr>
                <w:rFonts w:ascii="Arial" w:cs="Arial" w:eastAsia="Arial" w:hAnsi="Arial"/>
                <w:sz w:val="13"/>
                <w:szCs w:val="13"/>
                <w:color w:val="auto"/>
              </w:rPr>
              <w:t>Christopher J. Miner</w:t>
            </w:r>
          </w:p>
        </w:tc>
        <w:tc>
          <w:tcPr>
            <w:tcW w:w="11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8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20" w:type="dxa"/>
            <w:vAlign w:val="bottom"/>
          </w:tcPr>
          <w:p>
            <w:pPr>
              <w:ind w:left="40"/>
              <w:spacing w:after="0"/>
              <w:rPr>
                <w:sz w:val="20"/>
                <w:szCs w:val="20"/>
                <w:color w:val="auto"/>
              </w:rPr>
            </w:pPr>
            <w:r>
              <w:rPr>
                <w:rFonts w:ascii="Arial" w:cs="Arial" w:eastAsia="Arial" w:hAnsi="Arial"/>
                <w:sz w:val="13"/>
                <w:szCs w:val="13"/>
                <w:i w:val="1"/>
                <w:iCs w:val="1"/>
                <w:color w:val="auto"/>
              </w:rPr>
              <w:t>Executive Vice President &amp; Chief Legal Officer</w:t>
            </w: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r>
    </w:tbl>
    <w:p>
      <w:pPr>
        <w:spacing w:after="0" w:line="346" w:lineRule="exact"/>
        <w:rPr>
          <w:sz w:val="20"/>
          <w:szCs w:val="20"/>
          <w:color w:val="auto"/>
        </w:rPr>
      </w:pPr>
    </w:p>
    <w:p>
      <w:pPr>
        <w:jc w:val="both"/>
        <w:ind w:right="40" w:firstLine="262"/>
        <w:spacing w:after="0" w:line="256" w:lineRule="auto"/>
        <w:rPr>
          <w:sz w:val="20"/>
          <w:szCs w:val="20"/>
          <w:color w:val="auto"/>
        </w:rPr>
      </w:pPr>
      <w:r>
        <w:rPr>
          <w:rFonts w:ascii="Arial" w:cs="Arial" w:eastAsia="Arial" w:hAnsi="Arial"/>
          <w:sz w:val="13"/>
          <w:szCs w:val="13"/>
          <w:color w:val="auto"/>
        </w:rPr>
        <w:t>Pursuant to the requirements of the Securities Exchange Act of 1934, this report has been signed below by the following persons on behalf of the registrant and in the capacities and on the dates indicated.</w:t>
      </w:r>
    </w:p>
    <w:p>
      <w:pPr>
        <w:spacing w:after="0" w:line="80" w:lineRule="exact"/>
        <w:rPr>
          <w:sz w:val="20"/>
          <w:szCs w:val="20"/>
          <w:color w:val="auto"/>
        </w:rPr>
      </w:pPr>
    </w:p>
    <w:tbl>
      <w:tblPr>
        <w:tblLayout w:type="fixed"/>
        <w:tblInd w:w="260" w:type="dxa"/>
        <w:tblCellMar>
          <w:top w:w="0" w:type="dxa"/>
          <w:left w:w="0" w:type="dxa"/>
          <w:bottom w:w="0" w:type="dxa"/>
          <w:right w:w="0" w:type="dxa"/>
        </w:tblCellMar>
      </w:tblPr>
      <w:tr>
        <w:trPr>
          <w:trHeight w:val="175"/>
        </w:trPr>
        <w:tc>
          <w:tcPr>
            <w:tcW w:w="296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Signature</w:t>
            </w:r>
          </w:p>
        </w:tc>
        <w:tc>
          <w:tcPr>
            <w:tcW w:w="560" w:type="dxa"/>
            <w:vAlign w:val="bottom"/>
          </w:tcPr>
          <w:p>
            <w:pPr>
              <w:spacing w:after="0"/>
              <w:rPr>
                <w:sz w:val="15"/>
                <w:szCs w:val="15"/>
                <w:color w:val="auto"/>
              </w:rPr>
            </w:pPr>
          </w:p>
        </w:tc>
        <w:tc>
          <w:tcPr>
            <w:tcW w:w="402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Title</w:t>
            </w:r>
          </w:p>
        </w:tc>
        <w:tc>
          <w:tcPr>
            <w:tcW w:w="560" w:type="dxa"/>
            <w:vAlign w:val="bottom"/>
          </w:tcPr>
          <w:p>
            <w:pPr>
              <w:spacing w:after="0"/>
              <w:rPr>
                <w:sz w:val="15"/>
                <w:szCs w:val="15"/>
                <w:color w:val="auto"/>
              </w:rPr>
            </w:pPr>
          </w:p>
        </w:tc>
        <w:tc>
          <w:tcPr>
            <w:tcW w:w="296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Date</w:t>
            </w:r>
          </w:p>
        </w:tc>
      </w:tr>
      <w:tr>
        <w:trPr>
          <w:trHeight w:val="169"/>
        </w:trPr>
        <w:tc>
          <w:tcPr>
            <w:tcW w:w="2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80" w:type="dxa"/>
            <w:vAlign w:val="bottom"/>
            <w:gridSpan w:val="2"/>
          </w:tcPr>
          <w:p>
            <w:pPr>
              <w:ind w:left="280"/>
              <w:spacing w:after="0"/>
              <w:rPr>
                <w:sz w:val="20"/>
                <w:szCs w:val="20"/>
                <w:color w:val="auto"/>
              </w:rPr>
            </w:pPr>
            <w:r>
              <w:rPr>
                <w:rFonts w:ascii="Arial" w:cs="Arial" w:eastAsia="Arial" w:hAnsi="Arial"/>
                <w:sz w:val="13"/>
                <w:szCs w:val="13"/>
                <w:i w:val="1"/>
                <w:iCs w:val="1"/>
                <w:color w:val="auto"/>
              </w:rPr>
              <w:t>Chief Executive Officer and Director (Principal Executive</w:t>
            </w:r>
          </w:p>
        </w:tc>
        <w:tc>
          <w:tcPr>
            <w:tcW w:w="2960" w:type="dxa"/>
            <w:vAlign w:val="bottom"/>
          </w:tcPr>
          <w:p>
            <w:pPr>
              <w:spacing w:after="0"/>
              <w:rPr>
                <w:sz w:val="14"/>
                <w:szCs w:val="14"/>
                <w:color w:val="auto"/>
              </w:rPr>
            </w:pPr>
          </w:p>
        </w:tc>
      </w:tr>
      <w:tr>
        <w:trPr>
          <w:trHeight w:val="173"/>
        </w:trPr>
        <w:tc>
          <w:tcPr>
            <w:tcW w:w="296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/s/ BRADLEY L. SOULTZ</w:t>
            </w:r>
          </w:p>
        </w:tc>
        <w:tc>
          <w:tcPr>
            <w:tcW w:w="560" w:type="dxa"/>
            <w:vAlign w:val="bottom"/>
          </w:tcPr>
          <w:p>
            <w:pPr>
              <w:spacing w:after="0"/>
              <w:rPr>
                <w:sz w:val="15"/>
                <w:szCs w:val="15"/>
                <w:color w:val="auto"/>
              </w:rPr>
            </w:pP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Officer)</w:t>
            </w:r>
          </w:p>
        </w:tc>
        <w:tc>
          <w:tcPr>
            <w:tcW w:w="560" w:type="dxa"/>
            <w:vAlign w:val="bottom"/>
          </w:tcPr>
          <w:p>
            <w:pPr>
              <w:spacing w:after="0"/>
              <w:rPr>
                <w:sz w:val="15"/>
                <w:szCs w:val="15"/>
                <w:color w:val="auto"/>
              </w:rPr>
            </w:pPr>
          </w:p>
        </w:tc>
        <w:tc>
          <w:tcPr>
            <w:tcW w:w="296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February 25, 2022</w:t>
            </w:r>
          </w:p>
        </w:tc>
      </w:tr>
      <w:tr>
        <w:trPr>
          <w:trHeight w:val="162"/>
        </w:trPr>
        <w:tc>
          <w:tcPr>
            <w:tcW w:w="3520" w:type="dxa"/>
            <w:vAlign w:val="bottom"/>
            <w:gridSpan w:val="2"/>
          </w:tcPr>
          <w:p>
            <w:pPr>
              <w:ind w:left="540"/>
              <w:spacing w:after="0"/>
              <w:rPr>
                <w:sz w:val="20"/>
                <w:szCs w:val="20"/>
                <w:color w:val="auto"/>
              </w:rPr>
            </w:pPr>
            <w:r>
              <w:rPr>
                <w:rFonts w:ascii="Arial" w:cs="Arial" w:eastAsia="Arial" w:hAnsi="Arial"/>
                <w:sz w:val="13"/>
                <w:szCs w:val="13"/>
                <w:color w:val="auto"/>
              </w:rPr>
              <w:t>Bradley L. Soultz</w:t>
            </w:r>
          </w:p>
        </w:tc>
        <w:tc>
          <w:tcPr>
            <w:tcW w:w="4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191"/>
        </w:trPr>
        <w:tc>
          <w:tcPr>
            <w:tcW w:w="2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580" w:type="dxa"/>
            <w:vAlign w:val="bottom"/>
            <w:gridSpan w:val="2"/>
          </w:tcPr>
          <w:p>
            <w:pPr>
              <w:ind w:left="280"/>
              <w:spacing w:after="0"/>
              <w:rPr>
                <w:sz w:val="20"/>
                <w:szCs w:val="20"/>
                <w:color w:val="auto"/>
              </w:rPr>
            </w:pPr>
            <w:r>
              <w:rPr>
                <w:rFonts w:ascii="Arial" w:cs="Arial" w:eastAsia="Arial" w:hAnsi="Arial"/>
                <w:sz w:val="13"/>
                <w:szCs w:val="13"/>
                <w:i w:val="1"/>
                <w:iCs w:val="1"/>
                <w:color w:val="auto"/>
              </w:rPr>
              <w:t>President and Chief Financial Officer (Principal Financial</w:t>
            </w:r>
          </w:p>
        </w:tc>
        <w:tc>
          <w:tcPr>
            <w:tcW w:w="2960" w:type="dxa"/>
            <w:vAlign w:val="bottom"/>
          </w:tcPr>
          <w:p>
            <w:pPr>
              <w:spacing w:after="0"/>
              <w:rPr>
                <w:sz w:val="16"/>
                <w:szCs w:val="16"/>
                <w:color w:val="auto"/>
              </w:rPr>
            </w:pPr>
          </w:p>
        </w:tc>
      </w:tr>
      <w:tr>
        <w:trPr>
          <w:trHeight w:val="173"/>
        </w:trPr>
        <w:tc>
          <w:tcPr>
            <w:tcW w:w="296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/s/ TIMOTHY D. BOSWELL</w:t>
            </w:r>
          </w:p>
        </w:tc>
        <w:tc>
          <w:tcPr>
            <w:tcW w:w="560" w:type="dxa"/>
            <w:vAlign w:val="bottom"/>
          </w:tcPr>
          <w:p>
            <w:pPr>
              <w:spacing w:after="0"/>
              <w:rPr>
                <w:sz w:val="15"/>
                <w:szCs w:val="15"/>
                <w:color w:val="auto"/>
              </w:rPr>
            </w:pP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Officer)</w:t>
            </w:r>
          </w:p>
        </w:tc>
        <w:tc>
          <w:tcPr>
            <w:tcW w:w="560" w:type="dxa"/>
            <w:vAlign w:val="bottom"/>
          </w:tcPr>
          <w:p>
            <w:pPr>
              <w:spacing w:after="0"/>
              <w:rPr>
                <w:sz w:val="15"/>
                <w:szCs w:val="15"/>
                <w:color w:val="auto"/>
              </w:rPr>
            </w:pPr>
          </w:p>
        </w:tc>
        <w:tc>
          <w:tcPr>
            <w:tcW w:w="296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February 25, 2022</w:t>
            </w:r>
          </w:p>
        </w:tc>
      </w:tr>
      <w:tr>
        <w:trPr>
          <w:trHeight w:val="162"/>
        </w:trPr>
        <w:tc>
          <w:tcPr>
            <w:tcW w:w="3520" w:type="dxa"/>
            <w:vAlign w:val="bottom"/>
            <w:gridSpan w:val="2"/>
          </w:tcPr>
          <w:p>
            <w:pPr>
              <w:ind w:left="540"/>
              <w:spacing w:after="0"/>
              <w:rPr>
                <w:sz w:val="20"/>
                <w:szCs w:val="20"/>
                <w:color w:val="auto"/>
              </w:rPr>
            </w:pPr>
            <w:r>
              <w:rPr>
                <w:rFonts w:ascii="Arial" w:cs="Arial" w:eastAsia="Arial" w:hAnsi="Arial"/>
                <w:sz w:val="13"/>
                <w:szCs w:val="13"/>
                <w:color w:val="auto"/>
              </w:rPr>
              <w:t>Timothy D. Boswell</w:t>
            </w:r>
          </w:p>
        </w:tc>
        <w:tc>
          <w:tcPr>
            <w:tcW w:w="4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191"/>
        </w:trPr>
        <w:tc>
          <w:tcPr>
            <w:tcW w:w="2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580" w:type="dxa"/>
            <w:vAlign w:val="bottom"/>
            <w:gridSpan w:val="2"/>
          </w:tcPr>
          <w:p>
            <w:pPr>
              <w:ind w:left="280"/>
              <w:spacing w:after="0"/>
              <w:rPr>
                <w:sz w:val="20"/>
                <w:szCs w:val="20"/>
                <w:color w:val="auto"/>
              </w:rPr>
            </w:pPr>
            <w:r>
              <w:rPr>
                <w:rFonts w:ascii="Arial" w:cs="Arial" w:eastAsia="Arial" w:hAnsi="Arial"/>
                <w:sz w:val="13"/>
                <w:szCs w:val="13"/>
                <w:i w:val="1"/>
                <w:iCs w:val="1"/>
                <w:color w:val="auto"/>
              </w:rPr>
              <w:t>Chief Accounting Officer</w:t>
            </w:r>
          </w:p>
        </w:tc>
        <w:tc>
          <w:tcPr>
            <w:tcW w:w="2960" w:type="dxa"/>
            <w:vAlign w:val="bottom"/>
          </w:tcPr>
          <w:p>
            <w:pPr>
              <w:spacing w:after="0"/>
              <w:rPr>
                <w:sz w:val="16"/>
                <w:szCs w:val="16"/>
                <w:color w:val="auto"/>
              </w:rPr>
            </w:pPr>
          </w:p>
        </w:tc>
      </w:tr>
      <w:tr>
        <w:trPr>
          <w:trHeight w:val="173"/>
        </w:trPr>
        <w:tc>
          <w:tcPr>
            <w:tcW w:w="296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/s/ SALLY J. SHANKS</w:t>
            </w:r>
          </w:p>
        </w:tc>
        <w:tc>
          <w:tcPr>
            <w:tcW w:w="560" w:type="dxa"/>
            <w:vAlign w:val="bottom"/>
          </w:tcPr>
          <w:p>
            <w:pPr>
              <w:spacing w:after="0"/>
              <w:rPr>
                <w:sz w:val="15"/>
                <w:szCs w:val="15"/>
                <w:color w:val="auto"/>
              </w:rPr>
            </w:pP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(Principal Accounting Officer)</w:t>
            </w:r>
          </w:p>
        </w:tc>
        <w:tc>
          <w:tcPr>
            <w:tcW w:w="560" w:type="dxa"/>
            <w:vAlign w:val="bottom"/>
          </w:tcPr>
          <w:p>
            <w:pPr>
              <w:spacing w:after="0"/>
              <w:rPr>
                <w:sz w:val="15"/>
                <w:szCs w:val="15"/>
                <w:color w:val="auto"/>
              </w:rPr>
            </w:pPr>
          </w:p>
        </w:tc>
        <w:tc>
          <w:tcPr>
            <w:tcW w:w="296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February 25, 2022</w:t>
            </w:r>
          </w:p>
        </w:tc>
      </w:tr>
      <w:tr>
        <w:trPr>
          <w:trHeight w:val="162"/>
        </w:trPr>
        <w:tc>
          <w:tcPr>
            <w:tcW w:w="3520" w:type="dxa"/>
            <w:vAlign w:val="bottom"/>
            <w:gridSpan w:val="2"/>
          </w:tcPr>
          <w:p>
            <w:pPr>
              <w:ind w:left="540"/>
              <w:spacing w:after="0"/>
              <w:rPr>
                <w:sz w:val="20"/>
                <w:szCs w:val="20"/>
                <w:color w:val="auto"/>
              </w:rPr>
            </w:pPr>
            <w:r>
              <w:rPr>
                <w:rFonts w:ascii="Arial" w:cs="Arial" w:eastAsia="Arial" w:hAnsi="Arial"/>
                <w:sz w:val="13"/>
                <w:szCs w:val="13"/>
                <w:color w:val="auto"/>
              </w:rPr>
              <w:t>Sally J. Shanks</w:t>
            </w:r>
          </w:p>
        </w:tc>
        <w:tc>
          <w:tcPr>
            <w:tcW w:w="4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232"/>
        </w:trPr>
        <w:tc>
          <w:tcPr>
            <w:tcW w:w="296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/s/ ERIK OLSSON</w:t>
            </w:r>
          </w:p>
        </w:tc>
        <w:tc>
          <w:tcPr>
            <w:tcW w:w="560" w:type="dxa"/>
            <w:vAlign w:val="bottom"/>
          </w:tcPr>
          <w:p>
            <w:pPr>
              <w:spacing w:after="0"/>
              <w:rPr>
                <w:sz w:val="20"/>
                <w:szCs w:val="20"/>
                <w:color w:val="auto"/>
              </w:rPr>
            </w:pPr>
          </w:p>
        </w:tc>
        <w:tc>
          <w:tcPr>
            <w:tcW w:w="4020" w:type="dxa"/>
            <w:vAlign w:val="bottom"/>
            <w:tcBorders>
              <w:bottom w:val="single" w:sz="8" w:color="auto"/>
            </w:tcBorders>
          </w:tcPr>
          <w:p>
            <w:pPr>
              <w:ind w:left="280"/>
              <w:spacing w:after="0"/>
              <w:rPr>
                <w:sz w:val="20"/>
                <w:szCs w:val="20"/>
                <w:color w:val="auto"/>
              </w:rPr>
            </w:pPr>
            <w:r>
              <w:rPr>
                <w:rFonts w:ascii="Arial" w:cs="Arial" w:eastAsia="Arial" w:hAnsi="Arial"/>
                <w:sz w:val="13"/>
                <w:szCs w:val="13"/>
                <w:i w:val="1"/>
                <w:iCs w:val="1"/>
                <w:color w:val="auto"/>
              </w:rPr>
              <w:t>Chairman of the Board</w:t>
            </w:r>
          </w:p>
        </w:tc>
        <w:tc>
          <w:tcPr>
            <w:tcW w:w="560" w:type="dxa"/>
            <w:vAlign w:val="bottom"/>
          </w:tcPr>
          <w:p>
            <w:pPr>
              <w:spacing w:after="0"/>
              <w:rPr>
                <w:sz w:val="20"/>
                <w:szCs w:val="20"/>
                <w:color w:val="auto"/>
              </w:rPr>
            </w:pPr>
          </w:p>
        </w:tc>
        <w:tc>
          <w:tcPr>
            <w:tcW w:w="296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February 25, 2022</w:t>
            </w:r>
          </w:p>
        </w:tc>
      </w:tr>
      <w:tr>
        <w:trPr>
          <w:trHeight w:val="163"/>
        </w:trPr>
        <w:tc>
          <w:tcPr>
            <w:tcW w:w="3520" w:type="dxa"/>
            <w:vAlign w:val="bottom"/>
            <w:gridSpan w:val="2"/>
          </w:tcPr>
          <w:p>
            <w:pPr>
              <w:ind w:left="540"/>
              <w:spacing w:after="0"/>
              <w:rPr>
                <w:sz w:val="20"/>
                <w:szCs w:val="20"/>
                <w:color w:val="auto"/>
              </w:rPr>
            </w:pPr>
            <w:r>
              <w:rPr>
                <w:rFonts w:ascii="Arial" w:cs="Arial" w:eastAsia="Arial" w:hAnsi="Arial"/>
                <w:sz w:val="13"/>
                <w:szCs w:val="13"/>
                <w:color w:val="auto"/>
              </w:rPr>
              <w:t>Erik Olsson</w:t>
            </w:r>
          </w:p>
        </w:tc>
        <w:tc>
          <w:tcPr>
            <w:tcW w:w="4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232"/>
        </w:trPr>
        <w:tc>
          <w:tcPr>
            <w:tcW w:w="296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/s/ MARK S. BARTLETT</w:t>
            </w:r>
          </w:p>
        </w:tc>
        <w:tc>
          <w:tcPr>
            <w:tcW w:w="560" w:type="dxa"/>
            <w:vAlign w:val="bottom"/>
          </w:tcPr>
          <w:p>
            <w:pPr>
              <w:spacing w:after="0"/>
              <w:rPr>
                <w:sz w:val="20"/>
                <w:szCs w:val="20"/>
                <w:color w:val="auto"/>
              </w:rPr>
            </w:pPr>
          </w:p>
        </w:tc>
        <w:tc>
          <w:tcPr>
            <w:tcW w:w="4020" w:type="dxa"/>
            <w:vAlign w:val="bottom"/>
            <w:tcBorders>
              <w:bottom w:val="single" w:sz="8" w:color="auto"/>
            </w:tcBorders>
          </w:tcPr>
          <w:p>
            <w:pPr>
              <w:ind w:left="280"/>
              <w:spacing w:after="0"/>
              <w:rPr>
                <w:sz w:val="20"/>
                <w:szCs w:val="20"/>
                <w:color w:val="auto"/>
              </w:rPr>
            </w:pPr>
            <w:r>
              <w:rPr>
                <w:rFonts w:ascii="Arial" w:cs="Arial" w:eastAsia="Arial" w:hAnsi="Arial"/>
                <w:sz w:val="13"/>
                <w:szCs w:val="13"/>
                <w:i w:val="1"/>
                <w:iCs w:val="1"/>
                <w:color w:val="auto"/>
              </w:rPr>
              <w:t>Director</w:t>
            </w:r>
          </w:p>
        </w:tc>
        <w:tc>
          <w:tcPr>
            <w:tcW w:w="560" w:type="dxa"/>
            <w:vAlign w:val="bottom"/>
          </w:tcPr>
          <w:p>
            <w:pPr>
              <w:spacing w:after="0"/>
              <w:rPr>
                <w:sz w:val="20"/>
                <w:szCs w:val="20"/>
                <w:color w:val="auto"/>
              </w:rPr>
            </w:pPr>
          </w:p>
        </w:tc>
        <w:tc>
          <w:tcPr>
            <w:tcW w:w="296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February 25, 2022</w:t>
            </w:r>
          </w:p>
        </w:tc>
      </w:tr>
      <w:tr>
        <w:trPr>
          <w:trHeight w:val="163"/>
        </w:trPr>
        <w:tc>
          <w:tcPr>
            <w:tcW w:w="3520" w:type="dxa"/>
            <w:vAlign w:val="bottom"/>
            <w:gridSpan w:val="2"/>
          </w:tcPr>
          <w:p>
            <w:pPr>
              <w:ind w:left="540"/>
              <w:spacing w:after="0"/>
              <w:rPr>
                <w:sz w:val="20"/>
                <w:szCs w:val="20"/>
                <w:color w:val="auto"/>
              </w:rPr>
            </w:pPr>
            <w:r>
              <w:rPr>
                <w:rFonts w:ascii="Arial" w:cs="Arial" w:eastAsia="Arial" w:hAnsi="Arial"/>
                <w:sz w:val="13"/>
                <w:szCs w:val="13"/>
                <w:color w:val="auto"/>
              </w:rPr>
              <w:t>Mark S. Bartlett</w:t>
            </w:r>
          </w:p>
        </w:tc>
        <w:tc>
          <w:tcPr>
            <w:tcW w:w="4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232"/>
        </w:trPr>
        <w:tc>
          <w:tcPr>
            <w:tcW w:w="296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/s/ SARA R. DIAL</w:t>
            </w:r>
          </w:p>
        </w:tc>
        <w:tc>
          <w:tcPr>
            <w:tcW w:w="560" w:type="dxa"/>
            <w:vAlign w:val="bottom"/>
          </w:tcPr>
          <w:p>
            <w:pPr>
              <w:spacing w:after="0"/>
              <w:rPr>
                <w:sz w:val="20"/>
                <w:szCs w:val="20"/>
                <w:color w:val="auto"/>
              </w:rPr>
            </w:pPr>
          </w:p>
        </w:tc>
        <w:tc>
          <w:tcPr>
            <w:tcW w:w="4020" w:type="dxa"/>
            <w:vAlign w:val="bottom"/>
            <w:tcBorders>
              <w:bottom w:val="single" w:sz="8" w:color="auto"/>
            </w:tcBorders>
          </w:tcPr>
          <w:p>
            <w:pPr>
              <w:ind w:left="280"/>
              <w:spacing w:after="0"/>
              <w:rPr>
                <w:sz w:val="20"/>
                <w:szCs w:val="20"/>
                <w:color w:val="auto"/>
              </w:rPr>
            </w:pPr>
            <w:r>
              <w:rPr>
                <w:rFonts w:ascii="Arial" w:cs="Arial" w:eastAsia="Arial" w:hAnsi="Arial"/>
                <w:sz w:val="13"/>
                <w:szCs w:val="13"/>
                <w:i w:val="1"/>
                <w:iCs w:val="1"/>
                <w:color w:val="auto"/>
              </w:rPr>
              <w:t>Director</w:t>
            </w:r>
          </w:p>
        </w:tc>
        <w:tc>
          <w:tcPr>
            <w:tcW w:w="560" w:type="dxa"/>
            <w:vAlign w:val="bottom"/>
          </w:tcPr>
          <w:p>
            <w:pPr>
              <w:spacing w:after="0"/>
              <w:rPr>
                <w:sz w:val="20"/>
                <w:szCs w:val="20"/>
                <w:color w:val="auto"/>
              </w:rPr>
            </w:pPr>
          </w:p>
        </w:tc>
        <w:tc>
          <w:tcPr>
            <w:tcW w:w="296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February 25, 2022</w:t>
            </w:r>
          </w:p>
        </w:tc>
      </w:tr>
      <w:tr>
        <w:trPr>
          <w:trHeight w:val="163"/>
        </w:trPr>
        <w:tc>
          <w:tcPr>
            <w:tcW w:w="3520" w:type="dxa"/>
            <w:vAlign w:val="bottom"/>
            <w:gridSpan w:val="2"/>
          </w:tcPr>
          <w:p>
            <w:pPr>
              <w:ind w:left="540"/>
              <w:spacing w:after="0"/>
              <w:rPr>
                <w:sz w:val="20"/>
                <w:szCs w:val="20"/>
                <w:color w:val="auto"/>
              </w:rPr>
            </w:pPr>
            <w:r>
              <w:rPr>
                <w:rFonts w:ascii="Arial" w:cs="Arial" w:eastAsia="Arial" w:hAnsi="Arial"/>
                <w:sz w:val="13"/>
                <w:szCs w:val="13"/>
                <w:color w:val="auto"/>
              </w:rPr>
              <w:t>Sara R. Dial</w:t>
            </w:r>
          </w:p>
        </w:tc>
        <w:tc>
          <w:tcPr>
            <w:tcW w:w="4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221"/>
        </w:trPr>
        <w:tc>
          <w:tcPr>
            <w:tcW w:w="296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/s/ JEFFREY S. GOBLE</w:t>
            </w:r>
          </w:p>
        </w:tc>
        <w:tc>
          <w:tcPr>
            <w:tcW w:w="560" w:type="dxa"/>
            <w:vAlign w:val="bottom"/>
          </w:tcPr>
          <w:p>
            <w:pPr>
              <w:spacing w:after="0"/>
              <w:rPr>
                <w:sz w:val="19"/>
                <w:szCs w:val="19"/>
                <w:color w:val="auto"/>
              </w:rPr>
            </w:pPr>
          </w:p>
        </w:tc>
        <w:tc>
          <w:tcPr>
            <w:tcW w:w="4020" w:type="dxa"/>
            <w:vAlign w:val="bottom"/>
            <w:tcBorders>
              <w:bottom w:val="single" w:sz="8" w:color="auto"/>
            </w:tcBorders>
          </w:tcPr>
          <w:p>
            <w:pPr>
              <w:ind w:left="280"/>
              <w:spacing w:after="0"/>
              <w:rPr>
                <w:sz w:val="20"/>
                <w:szCs w:val="20"/>
                <w:color w:val="auto"/>
              </w:rPr>
            </w:pPr>
            <w:r>
              <w:rPr>
                <w:rFonts w:ascii="Arial" w:cs="Arial" w:eastAsia="Arial" w:hAnsi="Arial"/>
                <w:sz w:val="13"/>
                <w:szCs w:val="13"/>
                <w:i w:val="1"/>
                <w:iCs w:val="1"/>
                <w:color w:val="auto"/>
              </w:rPr>
              <w:t>Director</w:t>
            </w:r>
          </w:p>
        </w:tc>
        <w:tc>
          <w:tcPr>
            <w:tcW w:w="560" w:type="dxa"/>
            <w:vAlign w:val="bottom"/>
          </w:tcPr>
          <w:p>
            <w:pPr>
              <w:spacing w:after="0"/>
              <w:rPr>
                <w:sz w:val="19"/>
                <w:szCs w:val="19"/>
                <w:color w:val="auto"/>
              </w:rPr>
            </w:pPr>
          </w:p>
        </w:tc>
        <w:tc>
          <w:tcPr>
            <w:tcW w:w="296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February 25, 2022</w:t>
            </w:r>
          </w:p>
        </w:tc>
      </w:tr>
      <w:tr>
        <w:trPr>
          <w:trHeight w:val="163"/>
        </w:trPr>
        <w:tc>
          <w:tcPr>
            <w:tcW w:w="3520" w:type="dxa"/>
            <w:vAlign w:val="bottom"/>
            <w:gridSpan w:val="2"/>
          </w:tcPr>
          <w:p>
            <w:pPr>
              <w:ind w:left="540"/>
              <w:spacing w:after="0"/>
              <w:rPr>
                <w:sz w:val="20"/>
                <w:szCs w:val="20"/>
                <w:color w:val="auto"/>
              </w:rPr>
            </w:pPr>
            <w:r>
              <w:rPr>
                <w:rFonts w:ascii="Arial" w:cs="Arial" w:eastAsia="Arial" w:hAnsi="Arial"/>
                <w:sz w:val="13"/>
                <w:szCs w:val="13"/>
                <w:color w:val="auto"/>
              </w:rPr>
              <w:t>Jeffrey S. Goble</w:t>
            </w:r>
          </w:p>
        </w:tc>
        <w:tc>
          <w:tcPr>
            <w:tcW w:w="4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221"/>
        </w:trPr>
        <w:tc>
          <w:tcPr>
            <w:tcW w:w="296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/s/ GERARD E. HOLTHAUS</w:t>
            </w:r>
          </w:p>
        </w:tc>
        <w:tc>
          <w:tcPr>
            <w:tcW w:w="560" w:type="dxa"/>
            <w:vAlign w:val="bottom"/>
          </w:tcPr>
          <w:p>
            <w:pPr>
              <w:spacing w:after="0"/>
              <w:rPr>
                <w:sz w:val="19"/>
                <w:szCs w:val="19"/>
                <w:color w:val="auto"/>
              </w:rPr>
            </w:pPr>
          </w:p>
        </w:tc>
        <w:tc>
          <w:tcPr>
            <w:tcW w:w="4020" w:type="dxa"/>
            <w:vAlign w:val="bottom"/>
            <w:tcBorders>
              <w:bottom w:val="single" w:sz="8" w:color="auto"/>
            </w:tcBorders>
          </w:tcPr>
          <w:p>
            <w:pPr>
              <w:ind w:left="280"/>
              <w:spacing w:after="0"/>
              <w:rPr>
                <w:sz w:val="20"/>
                <w:szCs w:val="20"/>
                <w:color w:val="auto"/>
              </w:rPr>
            </w:pPr>
            <w:r>
              <w:rPr>
                <w:rFonts w:ascii="Arial" w:cs="Arial" w:eastAsia="Arial" w:hAnsi="Arial"/>
                <w:sz w:val="13"/>
                <w:szCs w:val="13"/>
                <w:i w:val="1"/>
                <w:iCs w:val="1"/>
                <w:color w:val="auto"/>
              </w:rPr>
              <w:t>Director</w:t>
            </w:r>
          </w:p>
        </w:tc>
        <w:tc>
          <w:tcPr>
            <w:tcW w:w="560" w:type="dxa"/>
            <w:vAlign w:val="bottom"/>
          </w:tcPr>
          <w:p>
            <w:pPr>
              <w:spacing w:after="0"/>
              <w:rPr>
                <w:sz w:val="19"/>
                <w:szCs w:val="19"/>
                <w:color w:val="auto"/>
              </w:rPr>
            </w:pPr>
          </w:p>
        </w:tc>
        <w:tc>
          <w:tcPr>
            <w:tcW w:w="296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February 25, 2022</w:t>
            </w:r>
          </w:p>
        </w:tc>
      </w:tr>
      <w:tr>
        <w:trPr>
          <w:trHeight w:val="163"/>
        </w:trPr>
        <w:tc>
          <w:tcPr>
            <w:tcW w:w="3520" w:type="dxa"/>
            <w:vAlign w:val="bottom"/>
            <w:gridSpan w:val="2"/>
          </w:tcPr>
          <w:p>
            <w:pPr>
              <w:ind w:left="540"/>
              <w:spacing w:after="0"/>
              <w:rPr>
                <w:sz w:val="20"/>
                <w:szCs w:val="20"/>
                <w:color w:val="auto"/>
              </w:rPr>
            </w:pPr>
            <w:r>
              <w:rPr>
                <w:rFonts w:ascii="Arial" w:cs="Arial" w:eastAsia="Arial" w:hAnsi="Arial"/>
                <w:sz w:val="13"/>
                <w:szCs w:val="13"/>
                <w:color w:val="auto"/>
              </w:rPr>
              <w:t>Gerard E. Holthaus</w:t>
            </w:r>
          </w:p>
        </w:tc>
        <w:tc>
          <w:tcPr>
            <w:tcW w:w="4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221"/>
        </w:trPr>
        <w:tc>
          <w:tcPr>
            <w:tcW w:w="296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/s/ REBECCA L. OWEN</w:t>
            </w:r>
          </w:p>
        </w:tc>
        <w:tc>
          <w:tcPr>
            <w:tcW w:w="560" w:type="dxa"/>
            <w:vAlign w:val="bottom"/>
          </w:tcPr>
          <w:p>
            <w:pPr>
              <w:spacing w:after="0"/>
              <w:rPr>
                <w:sz w:val="19"/>
                <w:szCs w:val="19"/>
                <w:color w:val="auto"/>
              </w:rPr>
            </w:pPr>
          </w:p>
        </w:tc>
        <w:tc>
          <w:tcPr>
            <w:tcW w:w="4020" w:type="dxa"/>
            <w:vAlign w:val="bottom"/>
            <w:tcBorders>
              <w:bottom w:val="single" w:sz="8" w:color="auto"/>
            </w:tcBorders>
          </w:tcPr>
          <w:p>
            <w:pPr>
              <w:ind w:left="280"/>
              <w:spacing w:after="0"/>
              <w:rPr>
                <w:sz w:val="20"/>
                <w:szCs w:val="20"/>
                <w:color w:val="auto"/>
              </w:rPr>
            </w:pPr>
            <w:r>
              <w:rPr>
                <w:rFonts w:ascii="Arial" w:cs="Arial" w:eastAsia="Arial" w:hAnsi="Arial"/>
                <w:sz w:val="13"/>
                <w:szCs w:val="13"/>
                <w:i w:val="1"/>
                <w:iCs w:val="1"/>
                <w:color w:val="auto"/>
              </w:rPr>
              <w:t>Director</w:t>
            </w:r>
          </w:p>
        </w:tc>
        <w:tc>
          <w:tcPr>
            <w:tcW w:w="560" w:type="dxa"/>
            <w:vAlign w:val="bottom"/>
          </w:tcPr>
          <w:p>
            <w:pPr>
              <w:spacing w:after="0"/>
              <w:rPr>
                <w:sz w:val="19"/>
                <w:szCs w:val="19"/>
                <w:color w:val="auto"/>
              </w:rPr>
            </w:pPr>
          </w:p>
        </w:tc>
        <w:tc>
          <w:tcPr>
            <w:tcW w:w="296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February 25, 2022</w:t>
            </w:r>
          </w:p>
        </w:tc>
      </w:tr>
      <w:tr>
        <w:trPr>
          <w:trHeight w:val="163"/>
        </w:trPr>
        <w:tc>
          <w:tcPr>
            <w:tcW w:w="3520" w:type="dxa"/>
            <w:vAlign w:val="bottom"/>
            <w:gridSpan w:val="2"/>
          </w:tcPr>
          <w:p>
            <w:pPr>
              <w:ind w:left="540"/>
              <w:spacing w:after="0"/>
              <w:rPr>
                <w:sz w:val="20"/>
                <w:szCs w:val="20"/>
                <w:color w:val="auto"/>
              </w:rPr>
            </w:pPr>
            <w:r>
              <w:rPr>
                <w:rFonts w:ascii="Arial" w:cs="Arial" w:eastAsia="Arial" w:hAnsi="Arial"/>
                <w:sz w:val="13"/>
                <w:szCs w:val="13"/>
                <w:color w:val="auto"/>
              </w:rPr>
              <w:t>Rebecca L. Owen</w:t>
            </w:r>
          </w:p>
        </w:tc>
        <w:tc>
          <w:tcPr>
            <w:tcW w:w="4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221"/>
        </w:trPr>
        <w:tc>
          <w:tcPr>
            <w:tcW w:w="296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/s/ KIMBERLY J. MCWATERS</w:t>
            </w:r>
          </w:p>
        </w:tc>
        <w:tc>
          <w:tcPr>
            <w:tcW w:w="560" w:type="dxa"/>
            <w:vAlign w:val="bottom"/>
          </w:tcPr>
          <w:p>
            <w:pPr>
              <w:spacing w:after="0"/>
              <w:rPr>
                <w:sz w:val="19"/>
                <w:szCs w:val="19"/>
                <w:color w:val="auto"/>
              </w:rPr>
            </w:pPr>
          </w:p>
        </w:tc>
        <w:tc>
          <w:tcPr>
            <w:tcW w:w="4020" w:type="dxa"/>
            <w:vAlign w:val="bottom"/>
            <w:tcBorders>
              <w:bottom w:val="single" w:sz="8" w:color="auto"/>
            </w:tcBorders>
          </w:tcPr>
          <w:p>
            <w:pPr>
              <w:ind w:left="280"/>
              <w:spacing w:after="0"/>
              <w:rPr>
                <w:sz w:val="20"/>
                <w:szCs w:val="20"/>
                <w:color w:val="auto"/>
              </w:rPr>
            </w:pPr>
            <w:r>
              <w:rPr>
                <w:rFonts w:ascii="Arial" w:cs="Arial" w:eastAsia="Arial" w:hAnsi="Arial"/>
                <w:sz w:val="13"/>
                <w:szCs w:val="13"/>
                <w:i w:val="1"/>
                <w:iCs w:val="1"/>
                <w:color w:val="auto"/>
              </w:rPr>
              <w:t>Director</w:t>
            </w:r>
          </w:p>
        </w:tc>
        <w:tc>
          <w:tcPr>
            <w:tcW w:w="560" w:type="dxa"/>
            <w:vAlign w:val="bottom"/>
          </w:tcPr>
          <w:p>
            <w:pPr>
              <w:spacing w:after="0"/>
              <w:rPr>
                <w:sz w:val="19"/>
                <w:szCs w:val="19"/>
                <w:color w:val="auto"/>
              </w:rPr>
            </w:pPr>
          </w:p>
        </w:tc>
        <w:tc>
          <w:tcPr>
            <w:tcW w:w="296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February 25, 2022</w:t>
            </w:r>
          </w:p>
        </w:tc>
      </w:tr>
      <w:tr>
        <w:trPr>
          <w:trHeight w:val="163"/>
        </w:trPr>
        <w:tc>
          <w:tcPr>
            <w:tcW w:w="3520" w:type="dxa"/>
            <w:vAlign w:val="bottom"/>
            <w:gridSpan w:val="2"/>
          </w:tcPr>
          <w:p>
            <w:pPr>
              <w:ind w:left="540"/>
              <w:spacing w:after="0"/>
              <w:rPr>
                <w:sz w:val="20"/>
                <w:szCs w:val="20"/>
                <w:color w:val="auto"/>
              </w:rPr>
            </w:pPr>
            <w:r>
              <w:rPr>
                <w:rFonts w:ascii="Arial" w:cs="Arial" w:eastAsia="Arial" w:hAnsi="Arial"/>
                <w:sz w:val="13"/>
                <w:szCs w:val="13"/>
                <w:color w:val="auto"/>
              </w:rPr>
              <w:t>Kimberly J. McWaters</w:t>
            </w:r>
          </w:p>
        </w:tc>
        <w:tc>
          <w:tcPr>
            <w:tcW w:w="4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221"/>
        </w:trPr>
        <w:tc>
          <w:tcPr>
            <w:tcW w:w="296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/s/ JEFF SAGANSKY</w:t>
            </w:r>
          </w:p>
        </w:tc>
        <w:tc>
          <w:tcPr>
            <w:tcW w:w="560" w:type="dxa"/>
            <w:vAlign w:val="bottom"/>
          </w:tcPr>
          <w:p>
            <w:pPr>
              <w:spacing w:after="0"/>
              <w:rPr>
                <w:sz w:val="19"/>
                <w:szCs w:val="19"/>
                <w:color w:val="auto"/>
              </w:rPr>
            </w:pPr>
          </w:p>
        </w:tc>
        <w:tc>
          <w:tcPr>
            <w:tcW w:w="4020" w:type="dxa"/>
            <w:vAlign w:val="bottom"/>
            <w:tcBorders>
              <w:bottom w:val="single" w:sz="8" w:color="auto"/>
            </w:tcBorders>
          </w:tcPr>
          <w:p>
            <w:pPr>
              <w:ind w:left="280"/>
              <w:spacing w:after="0"/>
              <w:rPr>
                <w:sz w:val="20"/>
                <w:szCs w:val="20"/>
                <w:color w:val="auto"/>
              </w:rPr>
            </w:pPr>
            <w:r>
              <w:rPr>
                <w:rFonts w:ascii="Arial" w:cs="Arial" w:eastAsia="Arial" w:hAnsi="Arial"/>
                <w:sz w:val="13"/>
                <w:szCs w:val="13"/>
                <w:i w:val="1"/>
                <w:iCs w:val="1"/>
                <w:color w:val="auto"/>
              </w:rPr>
              <w:t>Director</w:t>
            </w:r>
          </w:p>
        </w:tc>
        <w:tc>
          <w:tcPr>
            <w:tcW w:w="560" w:type="dxa"/>
            <w:vAlign w:val="bottom"/>
          </w:tcPr>
          <w:p>
            <w:pPr>
              <w:spacing w:after="0"/>
              <w:rPr>
                <w:sz w:val="19"/>
                <w:szCs w:val="19"/>
                <w:color w:val="auto"/>
              </w:rPr>
            </w:pPr>
          </w:p>
        </w:tc>
        <w:tc>
          <w:tcPr>
            <w:tcW w:w="296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February 25, 2022</w:t>
            </w:r>
          </w:p>
        </w:tc>
      </w:tr>
      <w:tr>
        <w:trPr>
          <w:trHeight w:val="163"/>
        </w:trPr>
        <w:tc>
          <w:tcPr>
            <w:tcW w:w="3520" w:type="dxa"/>
            <w:vAlign w:val="bottom"/>
            <w:gridSpan w:val="2"/>
          </w:tcPr>
          <w:p>
            <w:pPr>
              <w:ind w:left="540"/>
              <w:spacing w:after="0"/>
              <w:rPr>
                <w:sz w:val="20"/>
                <w:szCs w:val="20"/>
                <w:color w:val="auto"/>
              </w:rPr>
            </w:pPr>
            <w:r>
              <w:rPr>
                <w:rFonts w:ascii="Arial" w:cs="Arial" w:eastAsia="Arial" w:hAnsi="Arial"/>
                <w:sz w:val="13"/>
                <w:szCs w:val="13"/>
                <w:color w:val="auto"/>
              </w:rPr>
              <w:t>Jeff Sagansky</w:t>
            </w:r>
          </w:p>
        </w:tc>
        <w:tc>
          <w:tcPr>
            <w:tcW w:w="4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221"/>
        </w:trPr>
        <w:tc>
          <w:tcPr>
            <w:tcW w:w="296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/s/ MICHAEL W. UPCHURCH</w:t>
            </w:r>
          </w:p>
        </w:tc>
        <w:tc>
          <w:tcPr>
            <w:tcW w:w="560" w:type="dxa"/>
            <w:vAlign w:val="bottom"/>
          </w:tcPr>
          <w:p>
            <w:pPr>
              <w:spacing w:after="0"/>
              <w:rPr>
                <w:sz w:val="19"/>
                <w:szCs w:val="19"/>
                <w:color w:val="auto"/>
              </w:rPr>
            </w:pPr>
          </w:p>
        </w:tc>
        <w:tc>
          <w:tcPr>
            <w:tcW w:w="4020" w:type="dxa"/>
            <w:vAlign w:val="bottom"/>
            <w:tcBorders>
              <w:bottom w:val="single" w:sz="8" w:color="auto"/>
            </w:tcBorders>
          </w:tcPr>
          <w:p>
            <w:pPr>
              <w:ind w:left="280"/>
              <w:spacing w:after="0"/>
              <w:rPr>
                <w:sz w:val="20"/>
                <w:szCs w:val="20"/>
                <w:color w:val="auto"/>
              </w:rPr>
            </w:pPr>
            <w:r>
              <w:rPr>
                <w:rFonts w:ascii="Arial" w:cs="Arial" w:eastAsia="Arial" w:hAnsi="Arial"/>
                <w:sz w:val="13"/>
                <w:szCs w:val="13"/>
                <w:i w:val="1"/>
                <w:iCs w:val="1"/>
                <w:color w:val="auto"/>
              </w:rPr>
              <w:t>Director</w:t>
            </w:r>
          </w:p>
        </w:tc>
        <w:tc>
          <w:tcPr>
            <w:tcW w:w="560" w:type="dxa"/>
            <w:vAlign w:val="bottom"/>
          </w:tcPr>
          <w:p>
            <w:pPr>
              <w:spacing w:after="0"/>
              <w:rPr>
                <w:sz w:val="19"/>
                <w:szCs w:val="19"/>
                <w:color w:val="auto"/>
              </w:rPr>
            </w:pPr>
          </w:p>
        </w:tc>
        <w:tc>
          <w:tcPr>
            <w:tcW w:w="296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February 25, 2022</w:t>
            </w:r>
          </w:p>
        </w:tc>
      </w:tr>
      <w:tr>
        <w:trPr>
          <w:trHeight w:val="163"/>
        </w:trPr>
        <w:tc>
          <w:tcPr>
            <w:tcW w:w="3520" w:type="dxa"/>
            <w:vAlign w:val="bottom"/>
            <w:gridSpan w:val="2"/>
          </w:tcPr>
          <w:p>
            <w:pPr>
              <w:ind w:left="540"/>
              <w:spacing w:after="0"/>
              <w:rPr>
                <w:sz w:val="20"/>
                <w:szCs w:val="20"/>
                <w:color w:val="auto"/>
              </w:rPr>
            </w:pPr>
            <w:r>
              <w:rPr>
                <w:rFonts w:ascii="Arial" w:cs="Arial" w:eastAsia="Arial" w:hAnsi="Arial"/>
                <w:sz w:val="13"/>
                <w:szCs w:val="13"/>
                <w:color w:val="auto"/>
              </w:rPr>
              <w:t>Michael W. Upchurch</w:t>
            </w:r>
          </w:p>
        </w:tc>
        <w:tc>
          <w:tcPr>
            <w:tcW w:w="4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9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122</w:t>
      </w:r>
    </w:p>
    <w:p>
      <w:pPr>
        <w:sectPr>
          <w:pgSz w:w="11900" w:h="16838" w:orient="portrait"/>
          <w:cols w:equalWidth="0" w:num="1">
            <w:col w:w="11320"/>
          </w:cols>
          <w:pgMar w:left="300" w:top="929" w:right="279" w:bottom="1440" w:gutter="0" w:footer="0" w:header="0"/>
        </w:sectPr>
      </w:pPr>
    </w:p>
    <w:bookmarkStart w:id="122" w:name="page123"/>
    <w:bookmarkEnd w:id="122"/>
    <w:p>
      <w:pPr>
        <w:jc w:val="right"/>
        <w:spacing w:after="0"/>
        <w:rPr>
          <w:sz w:val="20"/>
          <w:szCs w:val="20"/>
          <w:color w:val="auto"/>
        </w:rPr>
      </w:pPr>
      <w:r>
        <w:rPr>
          <w:rFonts w:ascii="Arial" w:cs="Arial" w:eastAsia="Arial" w:hAnsi="Arial"/>
          <w:sz w:val="13"/>
          <w:szCs w:val="13"/>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tabs>
          <w:tab w:leader="none" w:pos="1280" w:val="left"/>
        </w:tabs>
        <w:rPr>
          <w:sz w:val="20"/>
          <w:szCs w:val="20"/>
          <w:color w:val="auto"/>
        </w:rPr>
      </w:pPr>
      <w:r>
        <w:rPr>
          <w:rFonts w:ascii="Arial" w:cs="Arial" w:eastAsia="Arial" w:hAnsi="Arial"/>
          <w:sz w:val="13"/>
          <w:szCs w:val="13"/>
          <w:color w:val="auto"/>
        </w:rPr>
        <w:t>NUMBER</w:t>
      </w:r>
      <w:r>
        <w:rPr>
          <w:sz w:val="20"/>
          <w:szCs w:val="20"/>
          <w:color w:val="auto"/>
        </w:rPr>
        <w:tab/>
      </w:r>
      <w:r>
        <w:rPr>
          <w:rFonts w:ascii="Arial" w:cs="Arial" w:eastAsia="Arial" w:hAnsi="Arial"/>
          <w:sz w:val="13"/>
          <w:szCs w:val="13"/>
          <w:color w:val="auto"/>
        </w:rPr>
        <w:t>SHARES</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C-</w:t>
      </w:r>
    </w:p>
    <w:p>
      <w:pPr>
        <w:spacing w:after="0" w:line="397" w:lineRule="exact"/>
        <w:rPr>
          <w:sz w:val="20"/>
          <w:szCs w:val="20"/>
          <w:color w:val="auto"/>
        </w:rPr>
      </w:pPr>
    </w:p>
    <w:p>
      <w:pPr>
        <w:spacing w:after="0"/>
        <w:tabs>
          <w:tab w:leader="none" w:pos="2840" w:val="left"/>
        </w:tabs>
        <w:rPr>
          <w:sz w:val="20"/>
          <w:szCs w:val="20"/>
          <w:color w:val="auto"/>
        </w:rPr>
      </w:pPr>
      <w:r>
        <w:rPr>
          <w:rFonts w:ascii="Arial" w:cs="Arial" w:eastAsia="Arial" w:hAnsi="Arial"/>
          <w:sz w:val="13"/>
          <w:szCs w:val="13"/>
          <w:color w:val="auto"/>
        </w:rPr>
        <w:t>SEE REVERSE FOR CERTAIN DEFINITIONS</w:t>
        <w:tab/>
        <w:t>CUSIP 971378104</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WILLSCOT MOBILE MINI HOLDINGS CORP.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INCORPORATED UNDER THE LAWS OF THE STATE OF DELAWARE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COMMON STOCK</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3"/>
          <w:szCs w:val="13"/>
          <w:color w:val="auto"/>
        </w:rPr>
        <w:t xml:space="preserve">This Certifies that _______________ is the owner of ______________ fully paid and non-assessable shares of common stock of the par of the par value of $0.0001 each of </w:t>
      </w:r>
      <w:r>
        <w:rPr>
          <w:rFonts w:ascii="Arial" w:cs="Arial" w:eastAsia="Arial" w:hAnsi="Arial"/>
          <w:sz w:val="13"/>
          <w:szCs w:val="13"/>
          <w:b w:val="1"/>
          <w:bCs w:val="1"/>
          <w:color w:val="auto"/>
        </w:rPr>
        <w:t>WILLSCOT</w:t>
      </w:r>
    </w:p>
    <w:p>
      <w:pPr>
        <w:spacing w:after="0" w:line="19" w:lineRule="exact"/>
        <w:rPr>
          <w:sz w:val="20"/>
          <w:szCs w:val="20"/>
          <w:color w:val="auto"/>
        </w:rPr>
      </w:pPr>
    </w:p>
    <w:p>
      <w:pPr>
        <w:ind w:right="100"/>
        <w:spacing w:after="0" w:line="256" w:lineRule="auto"/>
        <w:rPr>
          <w:sz w:val="20"/>
          <w:szCs w:val="20"/>
          <w:color w:val="auto"/>
        </w:rPr>
      </w:pPr>
      <w:r>
        <w:rPr>
          <w:rFonts w:ascii="Arial" w:cs="Arial" w:eastAsia="Arial" w:hAnsi="Arial"/>
          <w:sz w:val="13"/>
          <w:szCs w:val="13"/>
          <w:b w:val="1"/>
          <w:bCs w:val="1"/>
          <w:color w:val="auto"/>
        </w:rPr>
        <w:t>MOBILE MINI HOLDINGS CORP.</w:t>
      </w:r>
      <w:r>
        <w:rPr>
          <w:rFonts w:ascii="Arial" w:cs="Arial" w:eastAsia="Arial" w:hAnsi="Arial"/>
          <w:sz w:val="13"/>
          <w:szCs w:val="13"/>
          <w:color w:val="auto"/>
        </w:rPr>
        <w:t>, a Delaware corporation (the “Company”), transferable on the books of the Company in person or by duly authorized attorney upon surrender of this certificate</w:t>
      </w:r>
      <w:r>
        <w:rPr>
          <w:rFonts w:ascii="Arial" w:cs="Arial" w:eastAsia="Arial" w:hAnsi="Arial"/>
          <w:sz w:val="13"/>
          <w:szCs w:val="13"/>
          <w:b w:val="1"/>
          <w:bCs w:val="1"/>
          <w:color w:val="auto"/>
        </w:rPr>
        <w:t xml:space="preserve"> </w:t>
      </w:r>
      <w:r>
        <w:rPr>
          <w:rFonts w:ascii="Arial" w:cs="Arial" w:eastAsia="Arial" w:hAnsi="Arial"/>
          <w:sz w:val="13"/>
          <w:szCs w:val="13"/>
          <w:color w:val="auto"/>
        </w:rPr>
        <w:t>properly endorsed.</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This certificate is not valid unless countersigned by the Transfer Agent and registered by the Registrar.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653415</wp:posOffset>
            </wp:positionV>
            <wp:extent cx="6201410"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6">
                      <a:extLst>
                        <a:ext uri="{28A0092B-C50C-407E-A947-70E740481C1C}"/>
                      </a:extLst>
                    </a:blip>
                    <a:srcRect/>
                    <a:stretch>
                      <a:fillRect/>
                    </a:stretch>
                  </pic:blipFill>
                  <pic:spPr bwMode="auto">
                    <a:xfrm>
                      <a:off x="0" y="0"/>
                      <a:ext cx="620141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7360" w:val="left"/>
        </w:tabs>
        <w:rPr>
          <w:sz w:val="20"/>
          <w:szCs w:val="20"/>
          <w:color w:val="auto"/>
        </w:rPr>
      </w:pPr>
      <w:r>
        <w:rPr>
          <w:rFonts w:ascii="Arial" w:cs="Arial" w:eastAsia="Arial" w:hAnsi="Arial"/>
          <w:sz w:val="13"/>
          <w:szCs w:val="13"/>
          <w:color w:val="auto"/>
        </w:rPr>
        <w:t>Authorized Signatory</w:t>
      </w:r>
      <w:r>
        <w:rPr>
          <w:sz w:val="20"/>
          <w:szCs w:val="20"/>
          <w:color w:val="auto"/>
        </w:rPr>
        <w:tab/>
      </w:r>
      <w:r>
        <w:rPr>
          <w:rFonts w:ascii="Arial" w:cs="Arial" w:eastAsia="Arial" w:hAnsi="Arial"/>
          <w:sz w:val="12"/>
          <w:szCs w:val="12"/>
          <w:color w:val="auto"/>
        </w:rPr>
        <w:t>Transfer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80"/>
          </w:cols>
          <w:pgMar w:left="300" w:top="125" w:right="319" w:bottom="1440" w:gutter="0" w:footer="0" w:header="0"/>
        </w:sectPr>
      </w:pPr>
    </w:p>
    <w:bookmarkStart w:id="123" w:name="page124"/>
    <w:bookmarkEnd w:id="123"/>
    <w:p>
      <w:pPr>
        <w:jc w:val="right"/>
        <w:spacing w:after="0"/>
        <w:rPr>
          <w:sz w:val="20"/>
          <w:szCs w:val="20"/>
          <w:color w:val="auto"/>
        </w:rPr>
      </w:pPr>
      <w:r>
        <w:rPr>
          <w:rFonts w:ascii="Arial" w:cs="Arial" w:eastAsia="Arial" w:hAnsi="Arial"/>
          <w:sz w:val="13"/>
          <w:szCs w:val="13"/>
          <w:b w:val="1"/>
          <w:bCs w:val="1"/>
          <w:color w:val="auto"/>
        </w:rPr>
        <w:t>Exhibit 4.1</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WILLSCOT MOBILE MINI HOLDINGS CORP.</w:t>
      </w:r>
    </w:p>
    <w:p>
      <w:pPr>
        <w:spacing w:after="0" w:line="216" w:lineRule="exact"/>
        <w:rPr>
          <w:sz w:val="20"/>
          <w:szCs w:val="20"/>
          <w:color w:val="auto"/>
        </w:rPr>
      </w:pPr>
    </w:p>
    <w:p>
      <w:pPr>
        <w:ind w:right="160"/>
        <w:spacing w:after="0" w:line="249" w:lineRule="auto"/>
        <w:rPr>
          <w:sz w:val="20"/>
          <w:szCs w:val="20"/>
          <w:color w:val="auto"/>
        </w:rPr>
      </w:pPr>
      <w:r>
        <w:rPr>
          <w:rFonts w:ascii="Arial" w:cs="Arial" w:eastAsia="Arial" w:hAnsi="Arial"/>
          <w:sz w:val="13"/>
          <w:szCs w:val="13"/>
          <w:color w:val="auto"/>
        </w:rPr>
        <w:t>The Company will furnish without charge to each shareholder who so requests the powers, designations, preferences and relative, participating, optional or other special rights of each class of shares or series thereof of the Company and the qualifications, limitations, or restrictions of such preferences and/or rights. This certificate and the shares represented thereby are issued and shall be held subject to all the provisions of the amended and restated certificate of incorporation and all amendments thereto and resolutions of the Board of Directors providing for the issue of securities (copies of which may be obtained from the secretary of the Company), to all of which the holder of this certificate by acceptance hereof assents.</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abbreviations, when used in the inscription on the face of this certificate, shall be construed as though they were written out in full according to applicable laws or regulations:</w:t>
      </w:r>
    </w:p>
    <w:p>
      <w:pPr>
        <w:sectPr>
          <w:pgSz w:w="11900" w:h="16838" w:orient="portrait"/>
          <w:cols w:equalWidth="0" w:num="1">
            <w:col w:w="11280"/>
          </w:cols>
          <w:pgMar w:left="300" w:top="125" w:right="319" w:bottom="1440" w:gutter="0" w:footer="0" w:header="0"/>
        </w:sectPr>
      </w:pPr>
    </w:p>
    <w:p>
      <w:pPr>
        <w:spacing w:after="0" w:line="233" w:lineRule="exact"/>
        <w:rPr>
          <w:sz w:val="20"/>
          <w:szCs w:val="20"/>
          <w:color w:val="auto"/>
        </w:rPr>
      </w:pPr>
    </w:p>
    <w:p>
      <w:pPr>
        <w:ind w:left="640"/>
        <w:spacing w:after="0"/>
        <w:rPr>
          <w:sz w:val="20"/>
          <w:szCs w:val="20"/>
          <w:color w:val="auto"/>
        </w:rPr>
      </w:pPr>
      <w:r>
        <w:rPr>
          <w:rFonts w:ascii="Arial" w:cs="Arial" w:eastAsia="Arial" w:hAnsi="Arial"/>
          <w:sz w:val="13"/>
          <w:szCs w:val="13"/>
          <w:color w:val="auto"/>
        </w:rPr>
        <w:t>TEN</w:t>
      </w:r>
    </w:p>
    <w:p>
      <w:pPr>
        <w:spacing w:after="0" w:line="25" w:lineRule="exact"/>
        <w:rPr>
          <w:sz w:val="20"/>
          <w:szCs w:val="20"/>
          <w:color w:val="auto"/>
        </w:rPr>
      </w:pPr>
    </w:p>
    <w:p>
      <w:pPr>
        <w:ind w:left="600"/>
        <w:spacing w:after="0"/>
        <w:rPr>
          <w:sz w:val="20"/>
          <w:szCs w:val="20"/>
          <w:color w:val="auto"/>
        </w:rPr>
      </w:pPr>
      <w:r>
        <w:rPr>
          <w:rFonts w:ascii="Arial" w:cs="Arial" w:eastAsia="Arial" w:hAnsi="Arial"/>
          <w:sz w:val="12"/>
          <w:szCs w:val="12"/>
          <w:color w:val="auto"/>
        </w:rPr>
        <w:t>COM -</w:t>
      </w:r>
    </w:p>
    <w:p>
      <w:pPr>
        <w:spacing w:after="0" w:line="200" w:lineRule="exact"/>
        <w:rPr>
          <w:sz w:val="20"/>
          <w:szCs w:val="20"/>
          <w:color w:val="auto"/>
        </w:rPr>
      </w:pPr>
    </w:p>
    <w:p>
      <w:pPr>
        <w:spacing w:after="0" w:line="28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TEN</w:t>
      </w:r>
    </w:p>
    <w:p>
      <w:pPr>
        <w:spacing w:after="0" w:line="69" w:lineRule="exact"/>
        <w:rPr>
          <w:sz w:val="20"/>
          <w:szCs w:val="20"/>
          <w:color w:val="auto"/>
        </w:rPr>
      </w:pPr>
    </w:p>
    <w:p>
      <w:pPr>
        <w:ind w:left="640"/>
        <w:spacing w:after="0"/>
        <w:rPr>
          <w:sz w:val="20"/>
          <w:szCs w:val="20"/>
          <w:color w:val="auto"/>
        </w:rPr>
      </w:pPr>
      <w:r>
        <w:rPr>
          <w:rFonts w:ascii="Arial" w:cs="Arial" w:eastAsia="Arial" w:hAnsi="Arial"/>
          <w:sz w:val="13"/>
          <w:szCs w:val="13"/>
          <w:color w:val="auto"/>
        </w:rPr>
        <w:t>ENT -</w:t>
      </w:r>
    </w:p>
    <w:p>
      <w:pPr>
        <w:spacing w:after="0" w:line="200" w:lineRule="exact"/>
        <w:rPr>
          <w:sz w:val="20"/>
          <w:szCs w:val="20"/>
          <w:color w:val="auto"/>
        </w:rPr>
      </w:pPr>
    </w:p>
    <w:p>
      <w:pPr>
        <w:spacing w:after="0" w:line="219" w:lineRule="exact"/>
        <w:rPr>
          <w:sz w:val="20"/>
          <w:szCs w:val="20"/>
          <w:color w:val="auto"/>
        </w:rPr>
      </w:pPr>
    </w:p>
    <w:p>
      <w:pPr>
        <w:ind w:left="760"/>
        <w:spacing w:after="0"/>
        <w:rPr>
          <w:sz w:val="20"/>
          <w:szCs w:val="20"/>
          <w:color w:val="auto"/>
        </w:rPr>
      </w:pPr>
      <w:r>
        <w:rPr>
          <w:rFonts w:ascii="Arial" w:cs="Arial" w:eastAsia="Arial" w:hAnsi="Arial"/>
          <w:sz w:val="13"/>
          <w:szCs w:val="13"/>
          <w:color w:val="auto"/>
        </w:rPr>
        <w:t>JT</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TEN -</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9"/>
        </w:trPr>
        <w:tc>
          <w:tcPr>
            <w:tcW w:w="2120" w:type="dxa"/>
            <w:vAlign w:val="bottom"/>
          </w:tcPr>
          <w:p>
            <w:pPr>
              <w:spacing w:after="0"/>
              <w:rPr>
                <w:sz w:val="20"/>
                <w:szCs w:val="20"/>
                <w:color w:val="auto"/>
              </w:rPr>
            </w:pPr>
            <w:r>
              <w:rPr>
                <w:rFonts w:ascii="Arial" w:cs="Arial" w:eastAsia="Arial" w:hAnsi="Arial"/>
                <w:sz w:val="13"/>
                <w:szCs w:val="13"/>
                <w:color w:val="auto"/>
              </w:rPr>
              <w:t>as tenants in common</w:t>
            </w:r>
          </w:p>
        </w:tc>
        <w:tc>
          <w:tcPr>
            <w:tcW w:w="1940" w:type="dxa"/>
            <w:vAlign w:val="bottom"/>
          </w:tcPr>
          <w:p>
            <w:pPr>
              <w:ind w:left="320"/>
              <w:spacing w:after="0"/>
              <w:rPr>
                <w:sz w:val="20"/>
                <w:szCs w:val="20"/>
                <w:color w:val="auto"/>
              </w:rPr>
            </w:pPr>
            <w:r>
              <w:rPr>
                <w:rFonts w:ascii="Arial" w:cs="Arial" w:eastAsia="Arial" w:hAnsi="Arial"/>
                <w:sz w:val="13"/>
                <w:szCs w:val="13"/>
                <w:color w:val="auto"/>
              </w:rPr>
              <w:t>UNIF GIFT MIN ACT</w:t>
            </w:r>
          </w:p>
        </w:tc>
        <w:tc>
          <w:tcPr>
            <w:tcW w:w="5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800" w:type="dxa"/>
            <w:vAlign w:val="bottom"/>
          </w:tcPr>
          <w:p>
            <w:pPr>
              <w:spacing w:after="0"/>
              <w:rPr>
                <w:sz w:val="13"/>
                <w:szCs w:val="13"/>
                <w:color w:val="auto"/>
              </w:rPr>
            </w:pP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Custodian</w:t>
            </w:r>
          </w:p>
        </w:tc>
        <w:tc>
          <w:tcPr>
            <w:tcW w:w="0" w:type="dxa"/>
            <w:vAlign w:val="bottom"/>
          </w:tcPr>
          <w:p>
            <w:pPr>
              <w:spacing w:after="0"/>
              <w:rPr>
                <w:sz w:val="1"/>
                <w:szCs w:val="1"/>
                <w:color w:val="auto"/>
              </w:rPr>
            </w:pPr>
          </w:p>
        </w:tc>
      </w:tr>
      <w:tr>
        <w:trPr>
          <w:trHeight w:val="163"/>
        </w:trPr>
        <w:tc>
          <w:tcPr>
            <w:tcW w:w="2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(Cust)</w:t>
            </w:r>
          </w:p>
        </w:tc>
        <w:tc>
          <w:tcPr>
            <w:tcW w:w="1680" w:type="dxa"/>
            <w:vAlign w:val="bottom"/>
          </w:tcPr>
          <w:p>
            <w:pPr>
              <w:spacing w:after="0"/>
              <w:rPr>
                <w:sz w:val="14"/>
                <w:szCs w:val="14"/>
                <w:color w:val="auto"/>
              </w:rPr>
            </w:pPr>
          </w:p>
        </w:tc>
        <w:tc>
          <w:tcPr>
            <w:tcW w:w="194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(Minor)</w:t>
            </w:r>
          </w:p>
        </w:tc>
        <w:tc>
          <w:tcPr>
            <w:tcW w:w="0" w:type="dxa"/>
            <w:vAlign w:val="bottom"/>
          </w:tcPr>
          <w:p>
            <w:pPr>
              <w:spacing w:after="0"/>
              <w:rPr>
                <w:sz w:val="1"/>
                <w:szCs w:val="1"/>
                <w:color w:val="auto"/>
              </w:rPr>
            </w:pPr>
          </w:p>
        </w:tc>
      </w:tr>
      <w:tr>
        <w:trPr>
          <w:trHeight w:val="655"/>
        </w:trPr>
        <w:tc>
          <w:tcPr>
            <w:tcW w:w="2120" w:type="dxa"/>
            <w:vAlign w:val="bottom"/>
          </w:tcPr>
          <w:p>
            <w:pPr>
              <w:spacing w:after="0"/>
              <w:rPr>
                <w:sz w:val="20"/>
                <w:szCs w:val="20"/>
                <w:color w:val="auto"/>
              </w:rPr>
            </w:pPr>
            <w:r>
              <w:rPr>
                <w:rFonts w:ascii="Arial" w:cs="Arial" w:eastAsia="Arial" w:hAnsi="Arial"/>
                <w:sz w:val="13"/>
                <w:szCs w:val="13"/>
                <w:color w:val="auto"/>
              </w:rPr>
              <w:t>as tenants by the entireties</w:t>
            </w:r>
          </w:p>
        </w:tc>
        <w:tc>
          <w:tcPr>
            <w:tcW w:w="1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20" w:type="dxa"/>
            <w:vAlign w:val="bottom"/>
            <w:gridSpan w:val="3"/>
          </w:tcPr>
          <w:p>
            <w:pPr>
              <w:ind w:left="20"/>
              <w:spacing w:after="0"/>
              <w:rPr>
                <w:sz w:val="20"/>
                <w:szCs w:val="20"/>
                <w:color w:val="auto"/>
              </w:rPr>
            </w:pPr>
            <w:r>
              <w:rPr>
                <w:rFonts w:ascii="Arial" w:cs="Arial" w:eastAsia="Arial" w:hAnsi="Arial"/>
                <w:sz w:val="13"/>
                <w:szCs w:val="13"/>
                <w:color w:val="auto"/>
              </w:rPr>
              <w:t>Under Uniform Gifts to Minors Act</w:t>
            </w:r>
          </w:p>
        </w:tc>
        <w:tc>
          <w:tcPr>
            <w:tcW w:w="0" w:type="dxa"/>
            <w:vAlign w:val="bottom"/>
          </w:tcPr>
          <w:p>
            <w:pPr>
              <w:spacing w:after="0"/>
              <w:rPr>
                <w:sz w:val="1"/>
                <w:szCs w:val="1"/>
                <w:color w:val="auto"/>
              </w:rPr>
            </w:pPr>
          </w:p>
        </w:tc>
      </w:tr>
      <w:tr>
        <w:trPr>
          <w:trHeight w:val="499"/>
        </w:trPr>
        <w:tc>
          <w:tcPr>
            <w:tcW w:w="2120" w:type="dxa"/>
            <w:vAlign w:val="bottom"/>
          </w:tcPr>
          <w:p>
            <w:pPr>
              <w:spacing w:after="0"/>
              <w:rPr>
                <w:sz w:val="20"/>
                <w:szCs w:val="20"/>
                <w:color w:val="auto"/>
              </w:rPr>
            </w:pPr>
            <w:r>
              <w:rPr>
                <w:rFonts w:ascii="Arial" w:cs="Arial" w:eastAsia="Arial" w:hAnsi="Arial"/>
                <w:sz w:val="13"/>
                <w:szCs w:val="13"/>
                <w:color w:val="auto"/>
              </w:rPr>
              <w:t>as joint tenants with right of</w:t>
            </w:r>
          </w:p>
        </w:tc>
        <w:tc>
          <w:tcPr>
            <w:tcW w:w="1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2120" w:type="dxa"/>
            <w:vAlign w:val="bottom"/>
            <w:vMerge w:val="restart"/>
          </w:tcPr>
          <w:p>
            <w:pPr>
              <w:spacing w:after="0" w:line="131" w:lineRule="exact"/>
              <w:rPr>
                <w:sz w:val="20"/>
                <w:szCs w:val="20"/>
                <w:color w:val="auto"/>
              </w:rPr>
            </w:pPr>
            <w:r>
              <w:rPr>
                <w:rFonts w:ascii="Arial" w:cs="Arial" w:eastAsia="Arial" w:hAnsi="Arial"/>
                <w:sz w:val="13"/>
                <w:szCs w:val="13"/>
                <w:color w:val="auto"/>
              </w:rPr>
              <w:t>survivorship and not as tenants</w:t>
            </w:r>
          </w:p>
        </w:tc>
        <w:tc>
          <w:tcPr>
            <w:tcW w:w="19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1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120" w:type="dxa"/>
            <w:vAlign w:val="bottom"/>
            <w:vMerge w:val="continue"/>
          </w:tcPr>
          <w:p>
            <w:pPr>
              <w:spacing w:after="0"/>
              <w:rPr>
                <w:sz w:val="3"/>
                <w:szCs w:val="3"/>
                <w:color w:val="auto"/>
              </w:rPr>
            </w:pPr>
          </w:p>
        </w:tc>
        <w:tc>
          <w:tcPr>
            <w:tcW w:w="19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2120" w:type="dxa"/>
            <w:vAlign w:val="bottom"/>
          </w:tcPr>
          <w:p>
            <w:pPr>
              <w:spacing w:after="0"/>
              <w:rPr>
                <w:sz w:val="20"/>
                <w:szCs w:val="20"/>
                <w:color w:val="auto"/>
              </w:rPr>
            </w:pPr>
            <w:r>
              <w:rPr>
                <w:rFonts w:ascii="Arial" w:cs="Arial" w:eastAsia="Arial" w:hAnsi="Arial"/>
                <w:sz w:val="13"/>
                <w:szCs w:val="13"/>
                <w:color w:val="auto"/>
              </w:rPr>
              <w:t>in common</w:t>
            </w:r>
          </w:p>
        </w:tc>
        <w:tc>
          <w:tcPr>
            <w:tcW w:w="19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980" w:space="160"/>
            <w:col w:w="10140"/>
          </w:cols>
          <w:pgMar w:left="300" w:top="125" w:right="31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color w:val="auto"/>
        </w:rPr>
        <w:t>Additional abbreviations may also be used though not in the above list.</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For value received,____________________ hereby sells, assigns and transfers unto ______________</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(PLEASE INSERT SOCIAL SECURITY OR OTHER IDENTIFYING NUMBER(S) OF ASSIGNEE(S))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(PLEASE PRINT OR TYPEWRITE NAME(S) AND ADDRESS(ES), INCLUDING ZIP CODE, OF ASSIGNEE(S))</w:t>
      </w:r>
    </w:p>
    <w:p>
      <w:pPr>
        <w:spacing w:after="0" w:line="219" w:lineRule="exact"/>
        <w:rPr>
          <w:sz w:val="20"/>
          <w:szCs w:val="20"/>
          <w:color w:val="auto"/>
        </w:rPr>
      </w:pPr>
    </w:p>
    <w:p>
      <w:pPr>
        <w:ind w:left="2140"/>
        <w:spacing w:after="0"/>
        <w:rPr>
          <w:sz w:val="20"/>
          <w:szCs w:val="20"/>
          <w:color w:val="auto"/>
        </w:rPr>
      </w:pPr>
      <w:r>
        <w:rPr>
          <w:rFonts w:ascii="Arial" w:cs="Arial" w:eastAsia="Arial" w:hAnsi="Arial"/>
          <w:sz w:val="13"/>
          <w:szCs w:val="13"/>
          <w:i w:val="1"/>
          <w:iCs w:val="1"/>
          <w:color w:val="auto"/>
        </w:rPr>
        <w:t>Shares of the capital stock represented by the Certificate, and hereby irrevocably constitutes and appoints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1338580"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7">
                      <a:extLst>
                        <a:ext uri="{28A0092B-C50C-407E-A947-70E740481C1C}"/>
                      </a:extLst>
                    </a:blip>
                    <a:srcRect/>
                    <a:stretch>
                      <a:fillRect/>
                    </a:stretch>
                  </pic:blipFill>
                  <pic:spPr bwMode="auto">
                    <a:xfrm>
                      <a:off x="0" y="0"/>
                      <a:ext cx="1338580" cy="6985"/>
                    </a:xfrm>
                    <a:prstGeom prst="rect">
                      <a:avLst/>
                    </a:prstGeom>
                    <a:noFill/>
                  </pic:spPr>
                </pic:pic>
              </a:graphicData>
            </a:graphic>
          </wp:anchor>
        </w:drawing>
      </w: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3"/>
          <w:szCs w:val="13"/>
          <w:i w:val="1"/>
          <w:iCs w:val="1"/>
          <w:color w:val="auto"/>
        </w:rPr>
        <w:t>Attorney to transfer the said stock on the books of the within named Company with full power of substitution in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1338580"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8">
                      <a:extLst>
                        <a:ext uri="{28A0092B-C50C-407E-A947-70E740481C1C}"/>
                      </a:extLst>
                    </a:blip>
                    <a:srcRect/>
                    <a:stretch>
                      <a:fillRect/>
                    </a:stretch>
                  </pic:blipFill>
                  <pic:spPr bwMode="auto">
                    <a:xfrm>
                      <a:off x="0" y="0"/>
                      <a:ext cx="1338580" cy="698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40"/>
        <w:spacing w:after="0"/>
        <w:rPr>
          <w:sz w:val="20"/>
          <w:szCs w:val="20"/>
          <w:color w:val="auto"/>
        </w:rPr>
      </w:pPr>
      <w:r>
        <w:rPr>
          <w:rFonts w:ascii="Arial" w:cs="Arial" w:eastAsia="Arial" w:hAnsi="Arial"/>
          <w:sz w:val="13"/>
          <w:szCs w:val="13"/>
          <w:i w:val="1"/>
          <w:iCs w:val="1"/>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3299460</wp:posOffset>
            </wp:positionH>
            <wp:positionV relativeFrom="paragraph">
              <wp:posOffset>155575</wp:posOffset>
            </wp:positionV>
            <wp:extent cx="3856990"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9">
                      <a:extLst>
                        <a:ext uri="{28A0092B-C50C-407E-A947-70E740481C1C}"/>
                      </a:extLst>
                    </a:blip>
                    <a:srcRect/>
                    <a:stretch>
                      <a:fillRect/>
                    </a:stretch>
                  </pic:blipFill>
                  <pic:spPr bwMode="auto">
                    <a:xfrm>
                      <a:off x="0" y="0"/>
                      <a:ext cx="3856990" cy="698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17145</wp:posOffset>
            </wp:positionV>
            <wp:extent cx="1428750"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0">
                      <a:extLst>
                        <a:ext uri="{28A0092B-C50C-407E-A947-70E740481C1C}"/>
                      </a:extLst>
                    </a:blip>
                    <a:srcRect/>
                    <a:stretch>
                      <a:fillRect/>
                    </a:stretch>
                  </pic:blipFill>
                  <pic:spPr bwMode="auto">
                    <a:xfrm>
                      <a:off x="0" y="0"/>
                      <a:ext cx="1428750" cy="6985"/>
                    </a:xfrm>
                    <a:prstGeom prst="rect">
                      <a:avLst/>
                    </a:prstGeom>
                    <a:noFill/>
                  </pic:spPr>
                </pic:pic>
              </a:graphicData>
            </a:graphic>
          </wp:anchor>
        </w:drawing>
      </w:r>
    </w:p>
    <w:p>
      <w:pPr>
        <w:spacing w:after="0" w:line="219" w:lineRule="exact"/>
        <w:rPr>
          <w:sz w:val="20"/>
          <w:szCs w:val="20"/>
          <w:color w:val="auto"/>
        </w:rPr>
      </w:pPr>
    </w:p>
    <w:p>
      <w:pPr>
        <w:jc w:val="center"/>
        <w:ind w:right="420"/>
        <w:spacing w:after="0"/>
        <w:rPr>
          <w:sz w:val="20"/>
          <w:szCs w:val="20"/>
          <w:color w:val="auto"/>
        </w:rPr>
      </w:pPr>
      <w:r>
        <w:rPr>
          <w:rFonts w:ascii="Arial" w:cs="Arial" w:eastAsia="Arial" w:hAnsi="Arial"/>
          <w:sz w:val="13"/>
          <w:szCs w:val="13"/>
          <w:b w:val="1"/>
          <w:bCs w:val="1"/>
          <w:color w:val="auto"/>
        </w:rPr>
        <w:t>Notice:</w:t>
      </w:r>
    </w:p>
    <w:p>
      <w:pPr>
        <w:ind w:left="6200"/>
        <w:spacing w:after="0" w:line="210" w:lineRule="auto"/>
        <w:rPr>
          <w:sz w:val="20"/>
          <w:szCs w:val="20"/>
          <w:color w:val="auto"/>
        </w:rPr>
      </w:pPr>
      <w:r>
        <w:rPr>
          <w:rFonts w:ascii="Arial" w:cs="Arial" w:eastAsia="Arial" w:hAnsi="Arial"/>
          <w:sz w:val="13"/>
          <w:szCs w:val="13"/>
          <w:color w:val="auto"/>
        </w:rPr>
        <w:t>The signature to this assignment must correspond with the name as written upon the</w:t>
      </w:r>
    </w:p>
    <w:p>
      <w:pPr>
        <w:ind w:left="6200"/>
        <w:spacing w:after="0" w:line="210" w:lineRule="auto"/>
        <w:rPr>
          <w:sz w:val="20"/>
          <w:szCs w:val="20"/>
          <w:color w:val="auto"/>
        </w:rPr>
      </w:pPr>
      <w:r>
        <w:rPr>
          <w:rFonts w:ascii="Arial" w:cs="Arial" w:eastAsia="Arial" w:hAnsi="Arial"/>
          <w:sz w:val="13"/>
          <w:szCs w:val="13"/>
          <w:color w:val="auto"/>
        </w:rPr>
        <w:t>face of the certificate in every particular, without alteration or enlargement or any</w:t>
      </w:r>
    </w:p>
    <w:p>
      <w:pPr>
        <w:spacing w:after="0" w:line="1"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change whatever.</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Signature(s)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285750</wp:posOffset>
            </wp:positionV>
            <wp:extent cx="7158355"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1">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20" w:right="280"/>
        <w:spacing w:after="0" w:line="224" w:lineRule="auto"/>
        <w:rPr>
          <w:sz w:val="20"/>
          <w:szCs w:val="20"/>
          <w:color w:val="auto"/>
        </w:rPr>
      </w:pPr>
      <w:r>
        <w:rPr>
          <w:rFonts w:ascii="Arial" w:cs="Arial" w:eastAsia="Arial" w:hAnsi="Arial"/>
          <w:sz w:val="13"/>
          <w:szCs w:val="13"/>
          <w:color w:val="auto"/>
        </w:rPr>
        <w:t>THE SIGNATURE(S) MUST BE GUARANTEED BY AN ELIGIBLE GUARANTOR INSTITUTION (BANKS, STOCKBROKERS,SAVINGS AND LOAN ASSOCIATIONS AND CREDIT UNIONS WITH MEMBERSHIP IN AN APPROVED SIGNATURE GUARANTEE MEDALLION PROGRAM, PURSUANT TO S.E.C. RULE 17Ad-15 (OR ANY SUCCESSOR RULE) UNDER THE SECURITIES ACT OF1933, AS AMENDED).</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80"/>
          </w:cols>
          <w:pgMar w:left="300" w:top="125" w:right="319" w:bottom="1440" w:gutter="0" w:footer="0" w:header="0"/>
          <w:type w:val="continuous"/>
        </w:sectPr>
      </w:pPr>
    </w:p>
    <w:bookmarkStart w:id="124" w:name="page125"/>
    <w:bookmarkEnd w:id="124"/>
    <w:p>
      <w:pPr>
        <w:jc w:val="right"/>
        <w:spacing w:after="0"/>
        <w:rPr>
          <w:sz w:val="20"/>
          <w:szCs w:val="20"/>
          <w:color w:val="auto"/>
        </w:rPr>
      </w:pPr>
      <w:r>
        <w:rPr>
          <w:rFonts w:ascii="Arial" w:cs="Arial" w:eastAsia="Arial" w:hAnsi="Arial"/>
          <w:sz w:val="13"/>
          <w:szCs w:val="13"/>
          <w:b w:val="1"/>
          <w:bCs w:val="1"/>
          <w:color w:val="auto"/>
        </w:rPr>
        <w:t>Exhibit 4.10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DESCRIPTION OF COMMON STOCK AND WARRANTS REGISTERED UNDER SECTION 12 OF THE SECURITIES EXCHANGE ACT OF 1934</w:t>
      </w:r>
    </w:p>
    <w:p>
      <w:pPr>
        <w:spacing w:after="0" w:line="107" w:lineRule="exact"/>
        <w:rPr>
          <w:sz w:val="20"/>
          <w:szCs w:val="20"/>
          <w:color w:val="auto"/>
        </w:rPr>
      </w:pPr>
    </w:p>
    <w:p>
      <w:pPr>
        <w:ind w:right="20"/>
        <w:spacing w:after="0" w:line="250" w:lineRule="auto"/>
        <w:rPr>
          <w:sz w:val="20"/>
          <w:szCs w:val="20"/>
          <w:color w:val="auto"/>
        </w:rPr>
      </w:pPr>
      <w:r>
        <w:rPr>
          <w:rFonts w:ascii="Arial" w:cs="Arial" w:eastAsia="Arial" w:hAnsi="Arial"/>
          <w:sz w:val="13"/>
          <w:szCs w:val="13"/>
          <w:color w:val="auto"/>
        </w:rPr>
        <w:t>As of December 31, 2021, WillScot Mobile Mini Holdings Corp., a Delaware corporation (the “Company,” “we,” “our,” “us”), had two classes of securities registered under Section 12 of the Securities Exchange Act of 1934, as amended: 1) our common stock, par value $0.0001 per share; and 2) warrants to purchase common stock that were issued in connection with the Company’s acquisition of Modular Space Holdings, Inc., a Delaware Corporation (“ModSpace”), in August 2018, which are exercisable for one share of common stock at an exercise price of $15.50 per share.</w:t>
      </w:r>
    </w:p>
    <w:p>
      <w:pPr>
        <w:spacing w:after="0" w:line="232" w:lineRule="exact"/>
        <w:rPr>
          <w:sz w:val="20"/>
          <w:szCs w:val="20"/>
          <w:color w:val="auto"/>
        </w:rPr>
      </w:pPr>
    </w:p>
    <w:p>
      <w:pPr>
        <w:spacing w:after="0" w:line="248" w:lineRule="auto"/>
        <w:rPr>
          <w:sz w:val="20"/>
          <w:szCs w:val="20"/>
          <w:color w:val="auto"/>
        </w:rPr>
      </w:pPr>
      <w:r>
        <w:rPr>
          <w:rFonts w:ascii="Arial" w:cs="Arial" w:eastAsia="Arial" w:hAnsi="Arial"/>
          <w:sz w:val="13"/>
          <w:szCs w:val="13"/>
          <w:color w:val="auto"/>
        </w:rPr>
        <w:t>The following description of our common stock and warrants summarizes material terms and provisions that apply to those securities. The summary is subject to and qualified in its entirety by reference to certain documents, including our amended and restated certificate of incorporation, as amended (“Certificate of Incorporation”), our amended and restated bylaws (“Bylaws”), and certain other documents pertaining to our capital stock and warrants specified below, which are filed as exhibits to the Annual Report on Form 10-K to which this exhibit is a part, and applicable Delaware law, including the General Corporation Law of the State of Delaware (the “DGCL”). This description includes not only our common stock, but also our authorized preferred stock, and our warrants, certain terms of which affect the common stock.</w:t>
      </w:r>
    </w:p>
    <w:p>
      <w:pPr>
        <w:spacing w:after="0" w:line="6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Authorized Capital Stock</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color w:val="auto"/>
        </w:rPr>
        <w:t>Our Certificate of Incorporation authorizes the issuance of 501,000,000 shares of capital stock, consisting of: (i) 500,000,000 shares of common stock and (ii) 1,000,000 shares of preferred stock.</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Common Stock</w:t>
      </w:r>
    </w:p>
    <w:p>
      <w:pPr>
        <w:spacing w:after="0" w:line="107" w:lineRule="exact"/>
        <w:rPr>
          <w:sz w:val="20"/>
          <w:szCs w:val="20"/>
          <w:color w:val="auto"/>
        </w:rPr>
      </w:pPr>
    </w:p>
    <w:p>
      <w:pPr>
        <w:ind w:right="40"/>
        <w:spacing w:after="0" w:line="256" w:lineRule="auto"/>
        <w:rPr>
          <w:sz w:val="20"/>
          <w:szCs w:val="20"/>
          <w:color w:val="auto"/>
        </w:rPr>
      </w:pPr>
      <w:r>
        <w:rPr>
          <w:rFonts w:ascii="Arial" w:cs="Arial" w:eastAsia="Arial" w:hAnsi="Arial"/>
          <w:sz w:val="13"/>
          <w:szCs w:val="13"/>
          <w:color w:val="auto"/>
        </w:rPr>
        <w:t>This section describes the general terms and provisions of our common stock. For more detailed information, you should refer to our Certificate of Incorporation and Bylaws, copies of which have been filed with the SEC. These documents are also incorporated by reference into the Annual Report on Form 10-K to which this exhibit is a part.</w:t>
      </w:r>
    </w:p>
    <w:p>
      <w:pPr>
        <w:spacing w:after="0" w:line="74" w:lineRule="exact"/>
        <w:rPr>
          <w:sz w:val="20"/>
          <w:szCs w:val="20"/>
          <w:color w:val="auto"/>
        </w:rPr>
      </w:pPr>
    </w:p>
    <w:p>
      <w:pPr>
        <w:ind w:right="100"/>
        <w:spacing w:after="0" w:line="248" w:lineRule="auto"/>
        <w:rPr>
          <w:sz w:val="20"/>
          <w:szCs w:val="20"/>
          <w:color w:val="auto"/>
        </w:rPr>
      </w:pPr>
      <w:r>
        <w:rPr>
          <w:rFonts w:ascii="Arial" w:cs="Arial" w:eastAsia="Arial" w:hAnsi="Arial"/>
          <w:sz w:val="13"/>
          <w:szCs w:val="13"/>
          <w:color w:val="auto"/>
        </w:rPr>
        <w:t>The holders of shares of common stock possess all voting power for the election of our directors and all other matters requiring stockholder action and will at all times vote together as one class on all matters properly submitted to a vote of the stockholders of the Company. Holders of common stock are entitled to one vote per share on matters to be voted on by stockholders, provided, however that, except as otherwise required by law, holders of common stock shall not be entitled to vote on any amendment to the Certificate of Incorporation (including any preferred designation) that relates solely to the terms of one or more outstanding series of preferred stock if the holders of such affected series are entitled, either separately or together as a class with the holders of one or more other such series, to vote thereon pursuant to the Certificate of Incorporation (including any preferred designation) or pursuant to the DGCL.</w:t>
      </w:r>
    </w:p>
    <w:p>
      <w:pPr>
        <w:spacing w:after="0" w:line="80" w:lineRule="exact"/>
        <w:rPr>
          <w:sz w:val="20"/>
          <w:szCs w:val="20"/>
          <w:color w:val="auto"/>
        </w:rPr>
      </w:pPr>
    </w:p>
    <w:p>
      <w:pPr>
        <w:ind w:right="60"/>
        <w:spacing w:after="0" w:line="247" w:lineRule="auto"/>
        <w:rPr>
          <w:sz w:val="20"/>
          <w:szCs w:val="20"/>
          <w:color w:val="auto"/>
        </w:rPr>
      </w:pPr>
      <w:r>
        <w:rPr>
          <w:rFonts w:ascii="Arial" w:cs="Arial" w:eastAsia="Arial" w:hAnsi="Arial"/>
          <w:sz w:val="13"/>
          <w:szCs w:val="13"/>
          <w:color w:val="auto"/>
        </w:rPr>
        <w:t>Holders of common stock will be entitled to receive dividends if and when declared by our board of directors (the “Board”) out of funds legally available therefor and shall share equally on a per share basis in such dividends and distributions. The Board may set apart out of any of the funds of the Company available for dividends a reserve or reserves for any proper purpose and may abolish any such reserve. Upon liquidation, dissolution or winding-up of our Company, the holders of the common stock will be entitled to receive an equal amount per share of all of our assets available for distribution, after the rights of the holders of any preferred stock have been satisfied. Our stockholders have no preemptive, subscription, redemption or conversion rights and there are no sinking fund or redemption provisions applicable to our common stock. Delaware law and our Bylaws permit us to issue uncertificated shares of common stock by resolution of the Board. The rights, preferences and privileges of holders of common stock are subject to the rights of the holders of any series of preferred stock that the Company may designate and issue in the future.</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2021, we had 223,939,527 shares of common stock issued and outstanding.</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Preferred Stock</w:t>
      </w:r>
    </w:p>
    <w:p>
      <w:pPr>
        <w:spacing w:after="0" w:line="107" w:lineRule="exact"/>
        <w:rPr>
          <w:sz w:val="20"/>
          <w:szCs w:val="20"/>
          <w:color w:val="auto"/>
        </w:rPr>
      </w:pPr>
    </w:p>
    <w:p>
      <w:pPr>
        <w:ind w:right="20"/>
        <w:spacing w:after="0" w:line="256" w:lineRule="auto"/>
        <w:rPr>
          <w:sz w:val="20"/>
          <w:szCs w:val="20"/>
          <w:color w:val="auto"/>
        </w:rPr>
      </w:pPr>
      <w:r>
        <w:rPr>
          <w:rFonts w:ascii="Arial" w:cs="Arial" w:eastAsia="Arial" w:hAnsi="Arial"/>
          <w:sz w:val="13"/>
          <w:szCs w:val="13"/>
          <w:color w:val="auto"/>
        </w:rPr>
        <w:t>This section describes the general terms and provisions of our preferred stock. For more detailed information, you should refer to our Certificate of Incorporation and Bylaws, copies of which have been filed with the SEC. These documents are also incorporated by reference into the Annual Report on Form 10-K to which this exhibit is a part.</w:t>
      </w:r>
    </w:p>
    <w:p>
      <w:pPr>
        <w:spacing w:after="0" w:line="74" w:lineRule="exact"/>
        <w:rPr>
          <w:sz w:val="20"/>
          <w:szCs w:val="20"/>
          <w:color w:val="auto"/>
        </w:rPr>
      </w:pPr>
    </w:p>
    <w:p>
      <w:pPr>
        <w:ind w:right="20"/>
        <w:spacing w:after="0" w:line="247" w:lineRule="auto"/>
        <w:rPr>
          <w:sz w:val="20"/>
          <w:szCs w:val="20"/>
          <w:color w:val="auto"/>
        </w:rPr>
      </w:pPr>
      <w:r>
        <w:rPr>
          <w:rFonts w:ascii="Arial" w:cs="Arial" w:eastAsia="Arial" w:hAnsi="Arial"/>
          <w:sz w:val="13"/>
          <w:szCs w:val="13"/>
          <w:color w:val="auto"/>
        </w:rPr>
        <w:t>Preferred stock may be issued from time to time in one or more series. Our Board can fix the rights, preferences and privileges applicable to the shares of each series and any of its qualifications, limitations or restrictions, including without limitation authority to fix by resolution or resolutions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Our Board is authorized, without stockholder approval, to issue preferred stock with voting and other rights that could adversely affect the voting power and other rights of the holders of the common stock and could have anti-takeover effects. The ability of our Board to issue preferred stock without stockholder approval could have the effect of delaying, deferring or preventing a change of control of us or the removal of existing management.</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2021, we had no preferred stock outstanding.</w:t>
      </w:r>
    </w:p>
    <w:p>
      <w:pPr>
        <w:spacing w:after="0" w:line="91" w:lineRule="exact"/>
        <w:rPr>
          <w:sz w:val="20"/>
          <w:szCs w:val="20"/>
          <w:color w:val="auto"/>
        </w:rPr>
      </w:pPr>
    </w:p>
    <w:p>
      <w:pPr>
        <w:jc w:val="both"/>
        <w:ind w:right="180"/>
        <w:spacing w:after="0" w:line="251" w:lineRule="auto"/>
        <w:rPr>
          <w:sz w:val="20"/>
          <w:szCs w:val="20"/>
          <w:color w:val="auto"/>
        </w:rPr>
      </w:pPr>
      <w:r>
        <w:rPr>
          <w:rFonts w:ascii="Arial" w:cs="Arial" w:eastAsia="Arial" w:hAnsi="Arial"/>
          <w:sz w:val="13"/>
          <w:szCs w:val="13"/>
          <w:color w:val="auto"/>
        </w:rPr>
        <w:t>Our Board will fix the designations, voting powers, preferences and rights of each series, as well as the qualifications, limitations or restrictions thereof, of the preferred stock of each series that we offer under any applicable prospectus or prospectus supplements in the certificate of designation relating to that series. We will file as an exhibit to any applicable registration statement the form of any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80"/>
          </w:cols>
          <w:pgMar w:left="300" w:top="125" w:right="319" w:bottom="1440" w:gutter="0" w:footer="0" w:header="0"/>
        </w:sectPr>
      </w:pPr>
    </w:p>
    <w:bookmarkStart w:id="125" w:name="page126"/>
    <w:bookmarkEnd w:id="125"/>
    <w:p>
      <w:pPr>
        <w:jc w:val="right"/>
        <w:spacing w:after="0"/>
        <w:rPr>
          <w:sz w:val="20"/>
          <w:szCs w:val="20"/>
          <w:color w:val="auto"/>
        </w:rPr>
      </w:pPr>
      <w:r>
        <w:rPr>
          <w:rFonts w:ascii="Arial" w:cs="Arial" w:eastAsia="Arial" w:hAnsi="Arial"/>
          <w:sz w:val="13"/>
          <w:szCs w:val="13"/>
          <w:b w:val="1"/>
          <w:bCs w:val="1"/>
          <w:color w:val="auto"/>
        </w:rPr>
        <w:t>Exhibit 4.10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3"/>
          <w:szCs w:val="13"/>
          <w:color w:val="auto"/>
        </w:rPr>
        <w:t>certificate of designation that describes the terms of the series of preferred stock we are offering before the issuance of that series of preferred stock. This description will include:</w:t>
      </w:r>
    </w:p>
    <w:p>
      <w:pPr>
        <w:spacing w:after="0" w:line="91" w:lineRule="exact"/>
        <w:rPr>
          <w:sz w:val="20"/>
          <w:szCs w:val="20"/>
          <w:color w:val="auto"/>
        </w:rPr>
      </w:pPr>
    </w:p>
    <w:p>
      <w:pPr>
        <w:ind w:left="520" w:hanging="250"/>
        <w:spacing w:after="0"/>
        <w:tabs>
          <w:tab w:leader="none" w:pos="52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title and stated value;</w:t>
      </w:r>
    </w:p>
    <w:p>
      <w:pPr>
        <w:spacing w:after="0" w:line="90" w:lineRule="exact"/>
        <w:rPr>
          <w:rFonts w:ascii="Arial" w:cs="Arial" w:eastAsia="Arial" w:hAnsi="Arial"/>
          <w:sz w:val="13"/>
          <w:szCs w:val="13"/>
          <w:color w:val="auto"/>
        </w:rPr>
      </w:pPr>
    </w:p>
    <w:p>
      <w:pPr>
        <w:ind w:left="520" w:hanging="250"/>
        <w:spacing w:after="0"/>
        <w:tabs>
          <w:tab w:leader="none" w:pos="52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number of shares we are offering;</w:t>
      </w:r>
    </w:p>
    <w:p>
      <w:pPr>
        <w:spacing w:after="0" w:line="90" w:lineRule="exact"/>
        <w:rPr>
          <w:rFonts w:ascii="Arial" w:cs="Arial" w:eastAsia="Arial" w:hAnsi="Arial"/>
          <w:sz w:val="13"/>
          <w:szCs w:val="13"/>
          <w:color w:val="auto"/>
        </w:rPr>
      </w:pPr>
    </w:p>
    <w:p>
      <w:pPr>
        <w:ind w:left="520" w:hanging="250"/>
        <w:spacing w:after="0"/>
        <w:tabs>
          <w:tab w:leader="none" w:pos="52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liquidation preference per share;</w:t>
      </w:r>
    </w:p>
    <w:p>
      <w:pPr>
        <w:spacing w:after="0" w:line="90" w:lineRule="exact"/>
        <w:rPr>
          <w:rFonts w:ascii="Arial" w:cs="Arial" w:eastAsia="Arial" w:hAnsi="Arial"/>
          <w:sz w:val="13"/>
          <w:szCs w:val="13"/>
          <w:color w:val="auto"/>
        </w:rPr>
      </w:pPr>
    </w:p>
    <w:p>
      <w:pPr>
        <w:ind w:left="520" w:hanging="250"/>
        <w:spacing w:after="0"/>
        <w:tabs>
          <w:tab w:leader="none" w:pos="52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purchase price per share;</w:t>
      </w:r>
    </w:p>
    <w:p>
      <w:pPr>
        <w:spacing w:after="0" w:line="90" w:lineRule="exact"/>
        <w:rPr>
          <w:rFonts w:ascii="Arial" w:cs="Arial" w:eastAsia="Arial" w:hAnsi="Arial"/>
          <w:sz w:val="13"/>
          <w:szCs w:val="13"/>
          <w:color w:val="auto"/>
        </w:rPr>
      </w:pPr>
    </w:p>
    <w:p>
      <w:pPr>
        <w:ind w:left="520" w:hanging="250"/>
        <w:spacing w:after="0"/>
        <w:tabs>
          <w:tab w:leader="none" w:pos="52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dividend rate per share, dividend period and payment dates and method of calculation for dividends;</w:t>
      </w:r>
    </w:p>
    <w:p>
      <w:pPr>
        <w:spacing w:after="0" w:line="90" w:lineRule="exact"/>
        <w:rPr>
          <w:rFonts w:ascii="Arial" w:cs="Arial" w:eastAsia="Arial" w:hAnsi="Arial"/>
          <w:sz w:val="13"/>
          <w:szCs w:val="13"/>
          <w:color w:val="auto"/>
        </w:rPr>
      </w:pPr>
    </w:p>
    <w:p>
      <w:pPr>
        <w:ind w:left="520" w:hanging="250"/>
        <w:spacing w:after="0"/>
        <w:tabs>
          <w:tab w:leader="none" w:pos="520" w:val="left"/>
        </w:tabs>
        <w:numPr>
          <w:ilvl w:val="0"/>
          <w:numId w:val="38"/>
        </w:numPr>
        <w:rPr>
          <w:rFonts w:ascii="Arial" w:cs="Arial" w:eastAsia="Arial" w:hAnsi="Arial"/>
          <w:sz w:val="13"/>
          <w:szCs w:val="13"/>
          <w:color w:val="auto"/>
        </w:rPr>
      </w:pPr>
      <w:r>
        <w:rPr>
          <w:rFonts w:ascii="Arial" w:cs="Arial" w:eastAsia="Arial" w:hAnsi="Arial"/>
          <w:sz w:val="13"/>
          <w:szCs w:val="13"/>
          <w:color w:val="auto"/>
        </w:rPr>
        <w:t>whether dividends will be cumulative or non-cumulative and, if cumulative, the date from which dividends will accumulate;</w:t>
      </w:r>
    </w:p>
    <w:p>
      <w:pPr>
        <w:spacing w:after="0" w:line="90" w:lineRule="exact"/>
        <w:rPr>
          <w:rFonts w:ascii="Arial" w:cs="Arial" w:eastAsia="Arial" w:hAnsi="Arial"/>
          <w:sz w:val="13"/>
          <w:szCs w:val="13"/>
          <w:color w:val="auto"/>
        </w:rPr>
      </w:pPr>
    </w:p>
    <w:p>
      <w:pPr>
        <w:ind w:left="520" w:hanging="250"/>
        <w:spacing w:after="0"/>
        <w:tabs>
          <w:tab w:leader="none" w:pos="520" w:val="left"/>
        </w:tabs>
        <w:numPr>
          <w:ilvl w:val="0"/>
          <w:numId w:val="38"/>
        </w:numPr>
        <w:rPr>
          <w:rFonts w:ascii="Arial" w:cs="Arial" w:eastAsia="Arial" w:hAnsi="Arial"/>
          <w:sz w:val="13"/>
          <w:szCs w:val="13"/>
          <w:color w:val="auto"/>
        </w:rPr>
      </w:pPr>
      <w:r>
        <w:rPr>
          <w:rFonts w:ascii="Arial" w:cs="Arial" w:eastAsia="Arial" w:hAnsi="Arial"/>
          <w:sz w:val="13"/>
          <w:szCs w:val="13"/>
          <w:color w:val="auto"/>
        </w:rPr>
        <w:t>our right, if any, to defer payment of dividends and the maximum length of any such deferral period;</w:t>
      </w:r>
    </w:p>
    <w:p>
      <w:pPr>
        <w:spacing w:after="0" w:line="90" w:lineRule="exact"/>
        <w:rPr>
          <w:rFonts w:ascii="Arial" w:cs="Arial" w:eastAsia="Arial" w:hAnsi="Arial"/>
          <w:sz w:val="13"/>
          <w:szCs w:val="13"/>
          <w:color w:val="auto"/>
        </w:rPr>
      </w:pPr>
    </w:p>
    <w:p>
      <w:pPr>
        <w:ind w:left="520" w:hanging="250"/>
        <w:spacing w:after="0"/>
        <w:tabs>
          <w:tab w:leader="none" w:pos="52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procedures for any auction and remarketing, if any;</w:t>
      </w:r>
    </w:p>
    <w:p>
      <w:pPr>
        <w:spacing w:after="0" w:line="90" w:lineRule="exact"/>
        <w:rPr>
          <w:rFonts w:ascii="Arial" w:cs="Arial" w:eastAsia="Arial" w:hAnsi="Arial"/>
          <w:sz w:val="13"/>
          <w:szCs w:val="13"/>
          <w:color w:val="auto"/>
        </w:rPr>
      </w:pPr>
    </w:p>
    <w:p>
      <w:pPr>
        <w:ind w:left="520" w:hanging="250"/>
        <w:spacing w:after="0"/>
        <w:tabs>
          <w:tab w:leader="none" w:pos="52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provisions for a sinking fund, if any;</w:t>
      </w:r>
    </w:p>
    <w:p>
      <w:pPr>
        <w:spacing w:after="0" w:line="90" w:lineRule="exact"/>
        <w:rPr>
          <w:rFonts w:ascii="Arial" w:cs="Arial" w:eastAsia="Arial" w:hAnsi="Arial"/>
          <w:sz w:val="13"/>
          <w:szCs w:val="13"/>
          <w:color w:val="auto"/>
        </w:rPr>
      </w:pPr>
    </w:p>
    <w:p>
      <w:pPr>
        <w:ind w:left="520" w:hanging="250"/>
        <w:spacing w:after="0"/>
        <w:tabs>
          <w:tab w:leader="none" w:pos="52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provisions for redemption or repurchase, if applicable, and any restrictions on our ability to exercise those redemption and repurchase rights;</w:t>
      </w:r>
    </w:p>
    <w:p>
      <w:pPr>
        <w:spacing w:after="0" w:line="90" w:lineRule="exact"/>
        <w:rPr>
          <w:rFonts w:ascii="Arial" w:cs="Arial" w:eastAsia="Arial" w:hAnsi="Arial"/>
          <w:sz w:val="13"/>
          <w:szCs w:val="13"/>
          <w:color w:val="auto"/>
        </w:rPr>
      </w:pPr>
    </w:p>
    <w:p>
      <w:pPr>
        <w:ind w:left="520" w:hanging="250"/>
        <w:spacing w:after="0"/>
        <w:tabs>
          <w:tab w:leader="none" w:pos="520" w:val="left"/>
        </w:tabs>
        <w:numPr>
          <w:ilvl w:val="0"/>
          <w:numId w:val="38"/>
        </w:numPr>
        <w:rPr>
          <w:rFonts w:ascii="Arial" w:cs="Arial" w:eastAsia="Arial" w:hAnsi="Arial"/>
          <w:sz w:val="13"/>
          <w:szCs w:val="13"/>
          <w:color w:val="auto"/>
        </w:rPr>
      </w:pPr>
      <w:r>
        <w:rPr>
          <w:rFonts w:ascii="Arial" w:cs="Arial" w:eastAsia="Arial" w:hAnsi="Arial"/>
          <w:sz w:val="13"/>
          <w:szCs w:val="13"/>
          <w:color w:val="auto"/>
        </w:rPr>
        <w:t>any listing of the preferred stock on any securities exchange or market;</w:t>
      </w:r>
    </w:p>
    <w:p>
      <w:pPr>
        <w:spacing w:after="0" w:line="90" w:lineRule="exact"/>
        <w:rPr>
          <w:rFonts w:ascii="Arial" w:cs="Arial" w:eastAsia="Arial" w:hAnsi="Arial"/>
          <w:sz w:val="13"/>
          <w:szCs w:val="13"/>
          <w:color w:val="auto"/>
        </w:rPr>
      </w:pPr>
    </w:p>
    <w:p>
      <w:pPr>
        <w:ind w:left="540" w:right="120" w:hanging="270"/>
        <w:spacing w:after="0" w:line="256" w:lineRule="auto"/>
        <w:tabs>
          <w:tab w:leader="none" w:pos="531" w:val="left"/>
        </w:tabs>
        <w:numPr>
          <w:ilvl w:val="0"/>
          <w:numId w:val="38"/>
        </w:numPr>
        <w:rPr>
          <w:rFonts w:ascii="Arial" w:cs="Arial" w:eastAsia="Arial" w:hAnsi="Arial"/>
          <w:sz w:val="13"/>
          <w:szCs w:val="13"/>
          <w:color w:val="auto"/>
        </w:rPr>
      </w:pPr>
      <w:r>
        <w:rPr>
          <w:rFonts w:ascii="Arial" w:cs="Arial" w:eastAsia="Arial" w:hAnsi="Arial"/>
          <w:sz w:val="13"/>
          <w:szCs w:val="13"/>
          <w:color w:val="auto"/>
        </w:rPr>
        <w:t>whether the preferred stock will be convertible into our common stock or other securities of ours, including depositary shares and warrants, and, if applicable, the conversion period, the conversion price, or how it will be calculated, and under what circumstances it may be adjusted;</w:t>
      </w:r>
    </w:p>
    <w:p>
      <w:pPr>
        <w:spacing w:after="0" w:line="74" w:lineRule="exact"/>
        <w:rPr>
          <w:rFonts w:ascii="Arial" w:cs="Arial" w:eastAsia="Arial" w:hAnsi="Arial"/>
          <w:sz w:val="13"/>
          <w:szCs w:val="13"/>
          <w:color w:val="auto"/>
        </w:rPr>
      </w:pPr>
    </w:p>
    <w:p>
      <w:pPr>
        <w:ind w:left="540" w:right="700" w:hanging="270"/>
        <w:spacing w:after="0" w:line="256" w:lineRule="auto"/>
        <w:tabs>
          <w:tab w:leader="none" w:pos="531" w:val="left"/>
        </w:tabs>
        <w:numPr>
          <w:ilvl w:val="0"/>
          <w:numId w:val="38"/>
        </w:numPr>
        <w:rPr>
          <w:rFonts w:ascii="Arial" w:cs="Arial" w:eastAsia="Arial" w:hAnsi="Arial"/>
          <w:sz w:val="13"/>
          <w:szCs w:val="13"/>
          <w:color w:val="auto"/>
        </w:rPr>
      </w:pPr>
      <w:r>
        <w:rPr>
          <w:rFonts w:ascii="Arial" w:cs="Arial" w:eastAsia="Arial" w:hAnsi="Arial"/>
          <w:sz w:val="13"/>
          <w:szCs w:val="13"/>
          <w:color w:val="auto"/>
        </w:rPr>
        <w:t>whether the preferred stock will be exchangeable into debt securities, and, if applicable, the exchange period, the exchange price, or how it will be calculated, and under what circumstances it may be adjusted;</w:t>
      </w:r>
    </w:p>
    <w:p>
      <w:pPr>
        <w:spacing w:after="0" w:line="74" w:lineRule="exact"/>
        <w:rPr>
          <w:rFonts w:ascii="Arial" w:cs="Arial" w:eastAsia="Arial" w:hAnsi="Arial"/>
          <w:sz w:val="13"/>
          <w:szCs w:val="13"/>
          <w:color w:val="auto"/>
        </w:rPr>
      </w:pPr>
    </w:p>
    <w:p>
      <w:pPr>
        <w:ind w:left="520" w:hanging="250"/>
        <w:spacing w:after="0"/>
        <w:tabs>
          <w:tab w:leader="none" w:pos="520" w:val="left"/>
        </w:tabs>
        <w:numPr>
          <w:ilvl w:val="0"/>
          <w:numId w:val="38"/>
        </w:numPr>
        <w:rPr>
          <w:rFonts w:ascii="Arial" w:cs="Arial" w:eastAsia="Arial" w:hAnsi="Arial"/>
          <w:sz w:val="13"/>
          <w:szCs w:val="13"/>
          <w:color w:val="auto"/>
        </w:rPr>
      </w:pPr>
      <w:r>
        <w:rPr>
          <w:rFonts w:ascii="Arial" w:cs="Arial" w:eastAsia="Arial" w:hAnsi="Arial"/>
          <w:sz w:val="13"/>
          <w:szCs w:val="13"/>
          <w:color w:val="auto"/>
        </w:rPr>
        <w:t>voting rights, if any, of the preferred stock;</w:t>
      </w:r>
    </w:p>
    <w:p>
      <w:pPr>
        <w:spacing w:after="0" w:line="90" w:lineRule="exact"/>
        <w:rPr>
          <w:rFonts w:ascii="Arial" w:cs="Arial" w:eastAsia="Arial" w:hAnsi="Arial"/>
          <w:sz w:val="13"/>
          <w:szCs w:val="13"/>
          <w:color w:val="auto"/>
        </w:rPr>
      </w:pPr>
    </w:p>
    <w:p>
      <w:pPr>
        <w:ind w:left="520" w:hanging="250"/>
        <w:spacing w:after="0"/>
        <w:tabs>
          <w:tab w:leader="none" w:pos="520" w:val="left"/>
        </w:tabs>
        <w:numPr>
          <w:ilvl w:val="0"/>
          <w:numId w:val="38"/>
        </w:numPr>
        <w:rPr>
          <w:rFonts w:ascii="Arial" w:cs="Arial" w:eastAsia="Arial" w:hAnsi="Arial"/>
          <w:sz w:val="13"/>
          <w:szCs w:val="13"/>
          <w:color w:val="auto"/>
        </w:rPr>
      </w:pPr>
      <w:r>
        <w:rPr>
          <w:rFonts w:ascii="Arial" w:cs="Arial" w:eastAsia="Arial" w:hAnsi="Arial"/>
          <w:sz w:val="13"/>
          <w:szCs w:val="13"/>
          <w:color w:val="auto"/>
        </w:rPr>
        <w:t>preemption rights, if any;</w:t>
      </w:r>
    </w:p>
    <w:p>
      <w:pPr>
        <w:spacing w:after="0" w:line="90" w:lineRule="exact"/>
        <w:rPr>
          <w:rFonts w:ascii="Arial" w:cs="Arial" w:eastAsia="Arial" w:hAnsi="Arial"/>
          <w:sz w:val="13"/>
          <w:szCs w:val="13"/>
          <w:color w:val="auto"/>
        </w:rPr>
      </w:pPr>
    </w:p>
    <w:p>
      <w:pPr>
        <w:ind w:left="520" w:hanging="250"/>
        <w:spacing w:after="0"/>
        <w:tabs>
          <w:tab w:leader="none" w:pos="520" w:val="left"/>
        </w:tabs>
        <w:numPr>
          <w:ilvl w:val="0"/>
          <w:numId w:val="38"/>
        </w:numPr>
        <w:rPr>
          <w:rFonts w:ascii="Arial" w:cs="Arial" w:eastAsia="Arial" w:hAnsi="Arial"/>
          <w:sz w:val="13"/>
          <w:szCs w:val="13"/>
          <w:color w:val="auto"/>
        </w:rPr>
      </w:pPr>
      <w:r>
        <w:rPr>
          <w:rFonts w:ascii="Arial" w:cs="Arial" w:eastAsia="Arial" w:hAnsi="Arial"/>
          <w:sz w:val="13"/>
          <w:szCs w:val="13"/>
          <w:color w:val="auto"/>
        </w:rPr>
        <w:t>restrictions on transfer, sale or other assignment, if any;</w:t>
      </w:r>
    </w:p>
    <w:p>
      <w:pPr>
        <w:spacing w:after="0" w:line="90" w:lineRule="exact"/>
        <w:rPr>
          <w:rFonts w:ascii="Arial" w:cs="Arial" w:eastAsia="Arial" w:hAnsi="Arial"/>
          <w:sz w:val="13"/>
          <w:szCs w:val="13"/>
          <w:color w:val="auto"/>
        </w:rPr>
      </w:pPr>
    </w:p>
    <w:p>
      <w:pPr>
        <w:ind w:left="520" w:hanging="250"/>
        <w:spacing w:after="0"/>
        <w:tabs>
          <w:tab w:leader="none" w:pos="520" w:val="left"/>
        </w:tabs>
        <w:numPr>
          <w:ilvl w:val="0"/>
          <w:numId w:val="38"/>
        </w:numPr>
        <w:rPr>
          <w:rFonts w:ascii="Arial" w:cs="Arial" w:eastAsia="Arial" w:hAnsi="Arial"/>
          <w:sz w:val="13"/>
          <w:szCs w:val="13"/>
          <w:color w:val="auto"/>
        </w:rPr>
      </w:pPr>
      <w:r>
        <w:rPr>
          <w:rFonts w:ascii="Arial" w:cs="Arial" w:eastAsia="Arial" w:hAnsi="Arial"/>
          <w:sz w:val="13"/>
          <w:szCs w:val="13"/>
          <w:color w:val="auto"/>
        </w:rPr>
        <w:t>whether interests in the preferred stock will be represented by depositary shares;</w:t>
      </w:r>
    </w:p>
    <w:p>
      <w:pPr>
        <w:spacing w:after="0" w:line="90" w:lineRule="exact"/>
        <w:rPr>
          <w:rFonts w:ascii="Arial" w:cs="Arial" w:eastAsia="Arial" w:hAnsi="Arial"/>
          <w:sz w:val="13"/>
          <w:szCs w:val="13"/>
          <w:color w:val="auto"/>
        </w:rPr>
      </w:pPr>
    </w:p>
    <w:p>
      <w:pPr>
        <w:ind w:left="520" w:hanging="250"/>
        <w:spacing w:after="0"/>
        <w:tabs>
          <w:tab w:leader="none" w:pos="520" w:val="left"/>
        </w:tabs>
        <w:numPr>
          <w:ilvl w:val="0"/>
          <w:numId w:val="38"/>
        </w:numPr>
        <w:rPr>
          <w:rFonts w:ascii="Arial" w:cs="Arial" w:eastAsia="Arial" w:hAnsi="Arial"/>
          <w:sz w:val="13"/>
          <w:szCs w:val="13"/>
          <w:color w:val="auto"/>
        </w:rPr>
      </w:pPr>
      <w:r>
        <w:rPr>
          <w:rFonts w:ascii="Arial" w:cs="Arial" w:eastAsia="Arial" w:hAnsi="Arial"/>
          <w:sz w:val="13"/>
          <w:szCs w:val="13"/>
          <w:color w:val="auto"/>
        </w:rPr>
        <w:t>a discussion of any material or special United States federal income tax considerations applicable to the preferred stock;</w:t>
      </w:r>
    </w:p>
    <w:p>
      <w:pPr>
        <w:spacing w:after="0" w:line="90" w:lineRule="exact"/>
        <w:rPr>
          <w:rFonts w:ascii="Arial" w:cs="Arial" w:eastAsia="Arial" w:hAnsi="Arial"/>
          <w:sz w:val="13"/>
          <w:szCs w:val="13"/>
          <w:color w:val="auto"/>
        </w:rPr>
      </w:pPr>
    </w:p>
    <w:p>
      <w:pPr>
        <w:ind w:left="520" w:hanging="250"/>
        <w:spacing w:after="0"/>
        <w:tabs>
          <w:tab w:leader="none" w:pos="52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relative ranking and preferences of the preferred stock as to dividend rights and rights if we liquidate, dissolve or wind up our affairs;</w:t>
      </w:r>
    </w:p>
    <w:p>
      <w:pPr>
        <w:spacing w:after="0" w:line="90" w:lineRule="exact"/>
        <w:rPr>
          <w:rFonts w:ascii="Arial" w:cs="Arial" w:eastAsia="Arial" w:hAnsi="Arial"/>
          <w:sz w:val="13"/>
          <w:szCs w:val="13"/>
          <w:color w:val="auto"/>
        </w:rPr>
      </w:pPr>
    </w:p>
    <w:p>
      <w:pPr>
        <w:ind w:left="540" w:right="180" w:hanging="270"/>
        <w:spacing w:after="0" w:line="256" w:lineRule="auto"/>
        <w:tabs>
          <w:tab w:leader="none" w:pos="531" w:val="left"/>
        </w:tabs>
        <w:numPr>
          <w:ilvl w:val="0"/>
          <w:numId w:val="38"/>
        </w:numPr>
        <w:rPr>
          <w:rFonts w:ascii="Arial" w:cs="Arial" w:eastAsia="Arial" w:hAnsi="Arial"/>
          <w:sz w:val="13"/>
          <w:szCs w:val="13"/>
          <w:color w:val="auto"/>
        </w:rPr>
      </w:pPr>
      <w:r>
        <w:rPr>
          <w:rFonts w:ascii="Arial" w:cs="Arial" w:eastAsia="Arial" w:hAnsi="Arial"/>
          <w:sz w:val="13"/>
          <w:szCs w:val="13"/>
          <w:color w:val="auto"/>
        </w:rPr>
        <w:t>any limitations on issuances of any class or series of preferred stock ranking senior to or on a parity with the series of preferred stock being issued as to dividend rights and rights if we liquidate, dissolve or wind up our affairs; and</w:t>
      </w:r>
    </w:p>
    <w:p>
      <w:pPr>
        <w:spacing w:after="0" w:line="74" w:lineRule="exact"/>
        <w:rPr>
          <w:rFonts w:ascii="Arial" w:cs="Arial" w:eastAsia="Arial" w:hAnsi="Arial"/>
          <w:sz w:val="13"/>
          <w:szCs w:val="13"/>
          <w:color w:val="auto"/>
        </w:rPr>
      </w:pPr>
    </w:p>
    <w:p>
      <w:pPr>
        <w:ind w:left="520" w:hanging="250"/>
        <w:spacing w:after="0"/>
        <w:tabs>
          <w:tab w:leader="none" w:pos="520" w:val="left"/>
        </w:tabs>
        <w:numPr>
          <w:ilvl w:val="0"/>
          <w:numId w:val="38"/>
        </w:numPr>
        <w:rPr>
          <w:rFonts w:ascii="Arial" w:cs="Arial" w:eastAsia="Arial" w:hAnsi="Arial"/>
          <w:sz w:val="13"/>
          <w:szCs w:val="13"/>
          <w:color w:val="auto"/>
        </w:rPr>
      </w:pPr>
      <w:r>
        <w:rPr>
          <w:rFonts w:ascii="Arial" w:cs="Arial" w:eastAsia="Arial" w:hAnsi="Arial"/>
          <w:sz w:val="13"/>
          <w:szCs w:val="13"/>
          <w:color w:val="auto"/>
        </w:rPr>
        <w:t>any other specific terms, rights, preferences, privileges, qualifications or restrictions of the preferred stock.</w:t>
      </w:r>
    </w:p>
    <w:p>
      <w:pPr>
        <w:spacing w:after="0" w:line="91" w:lineRule="exact"/>
        <w:rPr>
          <w:sz w:val="20"/>
          <w:szCs w:val="20"/>
          <w:color w:val="auto"/>
        </w:rPr>
      </w:pPr>
    </w:p>
    <w:p>
      <w:pPr>
        <w:ind w:right="80"/>
        <w:spacing w:after="0" w:line="249" w:lineRule="auto"/>
        <w:rPr>
          <w:sz w:val="20"/>
          <w:szCs w:val="20"/>
          <w:color w:val="auto"/>
        </w:rPr>
      </w:pPr>
      <w:r>
        <w:rPr>
          <w:rFonts w:ascii="Arial" w:cs="Arial" w:eastAsia="Arial" w:hAnsi="Arial"/>
          <w:sz w:val="13"/>
          <w:szCs w:val="13"/>
          <w:color w:val="auto"/>
        </w:rPr>
        <w:t>The DGCL provides that the holders of preferred stock will have the right to vote separately as a class (or, in some cases, as a series) on an amendment to our Certificate of Incorporation if the amendment would change the par value or, unless our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Warrants</w:t>
      </w:r>
    </w:p>
    <w:p>
      <w:pPr>
        <w:spacing w:after="0" w:line="107" w:lineRule="exact"/>
        <w:rPr>
          <w:sz w:val="20"/>
          <w:szCs w:val="20"/>
          <w:color w:val="auto"/>
        </w:rPr>
      </w:pPr>
    </w:p>
    <w:p>
      <w:pPr>
        <w:ind w:right="40"/>
        <w:spacing w:after="0" w:line="256" w:lineRule="auto"/>
        <w:rPr>
          <w:sz w:val="20"/>
          <w:szCs w:val="20"/>
          <w:color w:val="auto"/>
        </w:rPr>
      </w:pPr>
      <w:r>
        <w:rPr>
          <w:rFonts w:ascii="Arial" w:cs="Arial" w:eastAsia="Arial" w:hAnsi="Arial"/>
          <w:sz w:val="13"/>
          <w:szCs w:val="13"/>
          <w:color w:val="auto"/>
        </w:rPr>
        <w:t>We have outstanding warrants (the ModSpace Warrants”) which are each exercisable for one share of common stock; these warrants were issued in connection with our acquisition of ModSpace under a warrant agreement dated August 15, 2018, between Continental Stock Transfer &amp; Trust Company, as warrant agent, and us (the “ModSpace Warrant Agreement”).</w:t>
      </w:r>
    </w:p>
    <w:p>
      <w:pPr>
        <w:spacing w:after="0" w:line="74" w:lineRule="exact"/>
        <w:rPr>
          <w:sz w:val="20"/>
          <w:szCs w:val="20"/>
          <w:color w:val="auto"/>
        </w:rPr>
      </w:pPr>
    </w:p>
    <w:p>
      <w:pPr>
        <w:ind w:right="120"/>
        <w:spacing w:after="0" w:line="247" w:lineRule="auto"/>
        <w:rPr>
          <w:sz w:val="20"/>
          <w:szCs w:val="20"/>
          <w:color w:val="auto"/>
        </w:rPr>
      </w:pPr>
      <w:r>
        <w:rPr>
          <w:rFonts w:ascii="Arial" w:cs="Arial" w:eastAsia="Arial" w:hAnsi="Arial"/>
          <w:sz w:val="13"/>
          <w:szCs w:val="13"/>
          <w:color w:val="auto"/>
        </w:rPr>
        <w:t>The ModSpace Warrants entitle the registered holder to purchase shares of common stock at an exercise price of $15.50 per share on a one to one basis, which may be adjusted in the event of an increase in the number of outstanding shares of common stock by share dividends (or a share split up or the payment of extraordinary dividends), a decrease in the number of shares of common stock by a consolidation, reverse split or similar transaction and in the in the event of certain reorganization transactions. Under the ModSpace Warrant Agreement, the ModSpace Warrants are not redeemable and may be replaced for replacement securities upon the occurrence of certain reorganization transactions of ours (other than those that would lead to an adjustment in the exercise price of the ModSpace Warrants). The ModSpace Warrants became exercisable on February 11, 2019, the 180th day after closing of the ModSpace Acquisition, and expire on November 29, 2022. As of December 31, 2021, 4,078,173 of the ModSpace Warrants were outstanding.</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80"/>
          </w:cols>
          <w:pgMar w:left="300" w:top="125" w:right="319" w:bottom="1440" w:gutter="0" w:footer="0" w:header="0"/>
        </w:sectPr>
      </w:pPr>
    </w:p>
    <w:bookmarkStart w:id="126" w:name="page127"/>
    <w:bookmarkEnd w:id="126"/>
    <w:p>
      <w:pPr>
        <w:jc w:val="right"/>
        <w:spacing w:after="0"/>
        <w:rPr>
          <w:sz w:val="20"/>
          <w:szCs w:val="20"/>
          <w:color w:val="auto"/>
        </w:rPr>
      </w:pPr>
      <w:r>
        <w:rPr>
          <w:rFonts w:ascii="Arial" w:cs="Arial" w:eastAsia="Arial" w:hAnsi="Arial"/>
          <w:sz w:val="13"/>
          <w:szCs w:val="13"/>
          <w:b w:val="1"/>
          <w:bCs w:val="1"/>
          <w:color w:val="auto"/>
        </w:rPr>
        <w:t>Exhibit 4.10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80"/>
        <w:spacing w:after="0" w:line="256" w:lineRule="auto"/>
        <w:rPr>
          <w:sz w:val="20"/>
          <w:szCs w:val="20"/>
          <w:color w:val="auto"/>
        </w:rPr>
      </w:pPr>
      <w:r>
        <w:rPr>
          <w:rFonts w:ascii="Arial" w:cs="Arial" w:eastAsia="Arial" w:hAnsi="Arial"/>
          <w:sz w:val="13"/>
          <w:szCs w:val="13"/>
          <w:color w:val="auto"/>
        </w:rPr>
        <w:t>The ModSpace Warrants were issued under the ModSpace Warrant Agreement. You should review a copy of the ModSpace Warrant Agreement, which is filed as an exhibit to the Annual Report on Form 10-K to which this exhibit is a part, for a complete description of the terms and conditions applicable to such warrants.</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Dividends</w:t>
      </w:r>
    </w:p>
    <w:p>
      <w:pPr>
        <w:spacing w:after="0" w:line="107" w:lineRule="exact"/>
        <w:rPr>
          <w:sz w:val="20"/>
          <w:szCs w:val="20"/>
          <w:color w:val="auto"/>
        </w:rPr>
      </w:pPr>
    </w:p>
    <w:p>
      <w:pPr>
        <w:ind w:right="40"/>
        <w:spacing w:after="0" w:line="250" w:lineRule="auto"/>
        <w:rPr>
          <w:sz w:val="20"/>
          <w:szCs w:val="20"/>
          <w:color w:val="auto"/>
        </w:rPr>
      </w:pPr>
      <w:r>
        <w:rPr>
          <w:rFonts w:ascii="Arial" w:cs="Arial" w:eastAsia="Arial" w:hAnsi="Arial"/>
          <w:sz w:val="13"/>
          <w:szCs w:val="13"/>
          <w:color w:val="auto"/>
        </w:rPr>
        <w:t>We have not declared or paid any cash dividends on our common stock to date. The payment of cash dividends in the future will be dependent upon our results of operations, capital requirements and general financial condition. The payment of any cash dividends is within the discretion of our Board. In addition, our Board is not currently contemplating and does not anticipate declaring any stock dividends in the foreseeable future. Further, our ability to declare dividends is limited by restrictive covenants contained in the agreements governing the indebtedness of our subsidiaries.</w:t>
      </w: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Certain Anti-Takeover Provisions of Delaware Law, Our Certificate of Incorporation and Our Bylaws</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color w:val="auto"/>
        </w:rPr>
        <w:t>We are subject to Section 203 of the DGCL, which we refer to as “Section 203,” regulating corporate takeovers.</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color w:val="auto"/>
        </w:rPr>
        <w:t>Section 203 prevents certain Delaware corporations, under certain circumstances, from engaging in a “business combination” with:</w:t>
      </w:r>
    </w:p>
    <w:p>
      <w:pPr>
        <w:spacing w:after="0" w:line="91" w:lineRule="exact"/>
        <w:rPr>
          <w:sz w:val="20"/>
          <w:szCs w:val="20"/>
          <w:color w:val="auto"/>
        </w:rPr>
      </w:pPr>
    </w:p>
    <w:p>
      <w:pPr>
        <w:ind w:left="520" w:hanging="250"/>
        <w:spacing w:after="0"/>
        <w:tabs>
          <w:tab w:leader="none" w:pos="52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 stockholder who owns fifteen percent (15%) or more of our outstanding voting stock (otherwise known as an “interested stockholder”);</w:t>
      </w:r>
    </w:p>
    <w:p>
      <w:pPr>
        <w:spacing w:after="0" w:line="90" w:lineRule="exact"/>
        <w:rPr>
          <w:rFonts w:ascii="Arial" w:cs="Arial" w:eastAsia="Arial" w:hAnsi="Arial"/>
          <w:sz w:val="13"/>
          <w:szCs w:val="13"/>
          <w:color w:val="auto"/>
        </w:rPr>
      </w:pPr>
    </w:p>
    <w:p>
      <w:pPr>
        <w:ind w:left="520" w:hanging="250"/>
        <w:spacing w:after="0"/>
        <w:tabs>
          <w:tab w:leader="none" w:pos="52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an affiliate of an interested stockholder; or</w:t>
      </w:r>
    </w:p>
    <w:p>
      <w:pPr>
        <w:spacing w:after="0" w:line="90" w:lineRule="exact"/>
        <w:rPr>
          <w:rFonts w:ascii="Arial" w:cs="Arial" w:eastAsia="Arial" w:hAnsi="Arial"/>
          <w:sz w:val="13"/>
          <w:szCs w:val="13"/>
          <w:color w:val="auto"/>
        </w:rPr>
      </w:pPr>
    </w:p>
    <w:p>
      <w:pPr>
        <w:ind w:left="520" w:hanging="250"/>
        <w:spacing w:after="0"/>
        <w:tabs>
          <w:tab w:leader="none" w:pos="52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an associate of an interested stockholder, for three years following the date that the stockholder became an interested stockholder.</w:t>
      </w:r>
    </w:p>
    <w:p>
      <w:pPr>
        <w:spacing w:after="0" w:line="90" w:lineRule="exact"/>
        <w:rPr>
          <w:rFonts w:ascii="Arial" w:cs="Arial" w:eastAsia="Arial" w:hAnsi="Arial"/>
          <w:sz w:val="13"/>
          <w:szCs w:val="13"/>
          <w:color w:val="auto"/>
        </w:rPr>
      </w:pPr>
    </w:p>
    <w:p>
      <w:pPr>
        <w:ind w:left="520" w:hanging="250"/>
        <w:spacing w:after="0"/>
        <w:tabs>
          <w:tab w:leader="none" w:pos="52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 “business combination” includes a merger or sale of more than ten percent (10%) of our assets. However, the above provisions of Section 203 do not apply if:</w:t>
      </w:r>
    </w:p>
    <w:p>
      <w:pPr>
        <w:spacing w:after="0" w:line="90" w:lineRule="exact"/>
        <w:rPr>
          <w:rFonts w:ascii="Arial" w:cs="Arial" w:eastAsia="Arial" w:hAnsi="Arial"/>
          <w:sz w:val="13"/>
          <w:szCs w:val="13"/>
          <w:color w:val="auto"/>
        </w:rPr>
      </w:pPr>
    </w:p>
    <w:p>
      <w:pPr>
        <w:ind w:left="520" w:hanging="250"/>
        <w:spacing w:after="0"/>
        <w:tabs>
          <w:tab w:leader="none" w:pos="520" w:val="left"/>
        </w:tabs>
        <w:numPr>
          <w:ilvl w:val="0"/>
          <w:numId w:val="39"/>
        </w:numPr>
        <w:rPr>
          <w:rFonts w:ascii="Arial" w:cs="Arial" w:eastAsia="Arial" w:hAnsi="Arial"/>
          <w:sz w:val="13"/>
          <w:szCs w:val="13"/>
          <w:color w:val="auto"/>
        </w:rPr>
      </w:pPr>
      <w:r>
        <w:rPr>
          <w:rFonts w:ascii="Arial" w:cs="Arial" w:eastAsia="Arial" w:hAnsi="Arial"/>
          <w:sz w:val="13"/>
          <w:szCs w:val="13"/>
          <w:color w:val="auto"/>
        </w:rPr>
        <w:t>our Board approves the transaction that made the stockholder an “interested stockholder,” prior to the date of the transaction;</w:t>
      </w:r>
    </w:p>
    <w:p>
      <w:pPr>
        <w:spacing w:after="0" w:line="90" w:lineRule="exact"/>
        <w:rPr>
          <w:rFonts w:ascii="Arial" w:cs="Arial" w:eastAsia="Arial" w:hAnsi="Arial"/>
          <w:sz w:val="13"/>
          <w:szCs w:val="13"/>
          <w:color w:val="auto"/>
        </w:rPr>
      </w:pPr>
    </w:p>
    <w:p>
      <w:pPr>
        <w:ind w:left="540" w:right="160" w:hanging="270"/>
        <w:spacing w:after="0" w:line="256" w:lineRule="auto"/>
        <w:tabs>
          <w:tab w:leader="none" w:pos="531" w:val="left"/>
        </w:tabs>
        <w:numPr>
          <w:ilvl w:val="0"/>
          <w:numId w:val="39"/>
        </w:numPr>
        <w:rPr>
          <w:rFonts w:ascii="Arial" w:cs="Arial" w:eastAsia="Arial" w:hAnsi="Arial"/>
          <w:sz w:val="13"/>
          <w:szCs w:val="13"/>
          <w:color w:val="auto"/>
        </w:rPr>
      </w:pPr>
      <w:r>
        <w:rPr>
          <w:rFonts w:ascii="Arial" w:cs="Arial" w:eastAsia="Arial" w:hAnsi="Arial"/>
          <w:sz w:val="13"/>
          <w:szCs w:val="13"/>
          <w:color w:val="auto"/>
        </w:rPr>
        <w:t>after the completion of the transaction that resulted in the stockholder becoming an interested stockholder, that stockholder owned at least eighty-five percent (85%) of our voting stock outstanding at the time the transaction commenced, other than statutorily excluded shares of common stock; or</w:t>
      </w:r>
    </w:p>
    <w:p>
      <w:pPr>
        <w:spacing w:after="0" w:line="74" w:lineRule="exact"/>
        <w:rPr>
          <w:rFonts w:ascii="Arial" w:cs="Arial" w:eastAsia="Arial" w:hAnsi="Arial"/>
          <w:sz w:val="13"/>
          <w:szCs w:val="13"/>
          <w:color w:val="auto"/>
        </w:rPr>
      </w:pPr>
    </w:p>
    <w:p>
      <w:pPr>
        <w:ind w:left="540" w:right="200" w:hanging="270"/>
        <w:spacing w:after="0" w:line="256" w:lineRule="auto"/>
        <w:tabs>
          <w:tab w:leader="none" w:pos="531" w:val="left"/>
        </w:tabs>
        <w:numPr>
          <w:ilvl w:val="0"/>
          <w:numId w:val="39"/>
        </w:numPr>
        <w:rPr>
          <w:rFonts w:ascii="Arial" w:cs="Arial" w:eastAsia="Arial" w:hAnsi="Arial"/>
          <w:sz w:val="13"/>
          <w:szCs w:val="13"/>
          <w:color w:val="auto"/>
        </w:rPr>
      </w:pPr>
      <w:r>
        <w:rPr>
          <w:rFonts w:ascii="Arial" w:cs="Arial" w:eastAsia="Arial" w:hAnsi="Arial"/>
          <w:sz w:val="13"/>
          <w:szCs w:val="13"/>
          <w:color w:val="auto"/>
        </w:rPr>
        <w:t>on or subsequent to the date of the transaction, the business combination is approved by our Board and authorized at a meeting of our stockholders, and not by written consent, by an affirmative vote of at least two-thirds of the outstanding voting stock not owned by the interested stockholder.</w:t>
      </w:r>
    </w:p>
    <w:p>
      <w:pPr>
        <w:spacing w:after="0" w:line="74" w:lineRule="exact"/>
        <w:rPr>
          <w:sz w:val="20"/>
          <w:szCs w:val="20"/>
          <w:color w:val="auto"/>
        </w:rPr>
      </w:pPr>
    </w:p>
    <w:p>
      <w:pPr>
        <w:ind w:right="100"/>
        <w:spacing w:after="0" w:line="249" w:lineRule="auto"/>
        <w:rPr>
          <w:sz w:val="20"/>
          <w:szCs w:val="20"/>
          <w:color w:val="auto"/>
        </w:rPr>
      </w:pPr>
      <w:r>
        <w:rPr>
          <w:rFonts w:ascii="Arial" w:cs="Arial" w:eastAsia="Arial" w:hAnsi="Arial"/>
          <w:sz w:val="13"/>
          <w:szCs w:val="13"/>
          <w:color w:val="auto"/>
        </w:rPr>
        <w:t>Our Certificate of Incorporation, our Bylaws and the DGCL contain provisions that could have the effect of rendering more difficult, delaying or preventing an acquisition deemed undesirable by our Board. These provisions could also make it difficult for stockholders to take certain actions, including electing directors who are not nominated by the members of our Board or taking other corporate actions, including effecting changes in our management. For instance, our Certificate of Incorporation provides that our Board is classified into three classes of directors. As a result, in most circumstances, a person can gain control of our Board only by successfully engaging in a proxy contest at three or more annual meetings.</w:t>
      </w:r>
    </w:p>
    <w:p>
      <w:pPr>
        <w:spacing w:after="0" w:line="79" w:lineRule="exact"/>
        <w:rPr>
          <w:sz w:val="20"/>
          <w:szCs w:val="20"/>
          <w:color w:val="auto"/>
        </w:rPr>
      </w:pPr>
    </w:p>
    <w:p>
      <w:pPr>
        <w:ind w:right="60"/>
        <w:spacing w:after="0" w:line="251" w:lineRule="auto"/>
        <w:rPr>
          <w:sz w:val="20"/>
          <w:szCs w:val="20"/>
          <w:color w:val="auto"/>
        </w:rPr>
      </w:pPr>
      <w:r>
        <w:rPr>
          <w:rFonts w:ascii="Arial" w:cs="Arial" w:eastAsia="Arial" w:hAnsi="Arial"/>
          <w:sz w:val="13"/>
          <w:szCs w:val="13"/>
          <w:color w:val="auto"/>
        </w:rPr>
        <w:t>In addition, our Certificate of Incorporation does not provide for cumulative voting in the election of directors. Our Board is empowered to elect a director to fill a vacancy created by the expansion of the Board or the resignation, death, or removal of a director in certain circumstances; and the advance notice provisions of our Bylaws require that stockholders must comply with certain procedures and meet strict deadlines to nominate candidates to our Board or to propose matters to be acted upon at a stockholders’ meeting.</w:t>
      </w:r>
    </w:p>
    <w:p>
      <w:pPr>
        <w:spacing w:after="0" w:line="77" w:lineRule="exact"/>
        <w:rPr>
          <w:sz w:val="20"/>
          <w:szCs w:val="20"/>
          <w:color w:val="auto"/>
        </w:rPr>
      </w:pPr>
    </w:p>
    <w:p>
      <w:pPr>
        <w:ind w:right="280"/>
        <w:spacing w:after="0" w:line="251" w:lineRule="auto"/>
        <w:rPr>
          <w:sz w:val="20"/>
          <w:szCs w:val="20"/>
          <w:color w:val="auto"/>
        </w:rPr>
      </w:pPr>
      <w:r>
        <w:rPr>
          <w:rFonts w:ascii="Arial" w:cs="Arial" w:eastAsia="Arial" w:hAnsi="Arial"/>
          <w:sz w:val="13"/>
          <w:szCs w:val="13"/>
          <w:color w:val="auto"/>
        </w:rPr>
        <w:t>Our Bylaws provide that, except as otherwise required by law, special meetings of stockholders for any purpose or purposes may be called at any time only by the Board, the Chairman of the Board, or the Chief Executive Officer of the Company, to be held at such date and time as shall be designated in the notice or waiver of notice thereof. Only business within the purposes described in the Corporation’s notice of meeting may be conducted at the special meetings. The ability of the stockholders to call a special meeting is specifically denied.</w:t>
      </w:r>
    </w:p>
    <w:p>
      <w:pPr>
        <w:spacing w:after="0" w:line="77" w:lineRule="exact"/>
        <w:rPr>
          <w:sz w:val="20"/>
          <w:szCs w:val="20"/>
          <w:color w:val="auto"/>
        </w:rPr>
      </w:pPr>
    </w:p>
    <w:p>
      <w:pPr>
        <w:jc w:val="both"/>
        <w:ind w:right="20"/>
        <w:spacing w:after="0" w:line="251" w:lineRule="auto"/>
        <w:rPr>
          <w:sz w:val="20"/>
          <w:szCs w:val="20"/>
          <w:color w:val="auto"/>
        </w:rPr>
      </w:pPr>
      <w:r>
        <w:rPr>
          <w:rFonts w:ascii="Arial" w:cs="Arial" w:eastAsia="Arial" w:hAnsi="Arial"/>
          <w:sz w:val="13"/>
          <w:szCs w:val="13"/>
          <w:color w:val="auto"/>
        </w:rPr>
        <w:t>Our Bylaws also provide our Board with discretion in postponing stockholder meetings, including, within certain limits, special meetings of stockholders. Additionally, our chairman or Board (acting by resolution) may adjourn a stockholder meeting at any time prior to the transaction of business at such meeting, within certain limits. Our Bylaws also include additional procedures that apply to stockholder actions by written consent.</w:t>
      </w:r>
    </w:p>
    <w:p>
      <w:pPr>
        <w:spacing w:after="0" w:line="77" w:lineRule="exact"/>
        <w:rPr>
          <w:sz w:val="20"/>
          <w:szCs w:val="20"/>
          <w:color w:val="auto"/>
        </w:rPr>
      </w:pPr>
    </w:p>
    <w:p>
      <w:pPr>
        <w:ind w:right="60"/>
        <w:spacing w:after="0" w:line="251" w:lineRule="auto"/>
        <w:rPr>
          <w:sz w:val="20"/>
          <w:szCs w:val="20"/>
          <w:color w:val="auto"/>
        </w:rPr>
      </w:pPr>
      <w:r>
        <w:rPr>
          <w:rFonts w:ascii="Arial" w:cs="Arial" w:eastAsia="Arial" w:hAnsi="Arial"/>
          <w:sz w:val="13"/>
          <w:szCs w:val="13"/>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Stockholders Rights Plan</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color w:val="auto"/>
        </w:rPr>
        <w:t>The Company does not have a stockholder rights plan currently in effect.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80"/>
          </w:cols>
          <w:pgMar w:left="300" w:top="125" w:right="319" w:bottom="1440" w:gutter="0" w:footer="0" w:header="0"/>
        </w:sectPr>
      </w:pPr>
    </w:p>
    <w:bookmarkStart w:id="127" w:name="page128"/>
    <w:bookmarkEnd w:id="127"/>
    <w:p>
      <w:pPr>
        <w:jc w:val="right"/>
        <w:spacing w:after="0"/>
        <w:rPr>
          <w:sz w:val="20"/>
          <w:szCs w:val="20"/>
          <w:color w:val="auto"/>
        </w:rPr>
      </w:pPr>
      <w:r>
        <w:rPr>
          <w:rFonts w:ascii="Arial" w:cs="Arial" w:eastAsia="Arial" w:hAnsi="Arial"/>
          <w:sz w:val="13"/>
          <w:szCs w:val="13"/>
          <w:b w:val="1"/>
          <w:bCs w:val="1"/>
          <w:color w:val="auto"/>
        </w:rPr>
        <w:t>Exhibit 4.10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Transfer Agent and Warrant Agent</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color w:val="auto"/>
        </w:rPr>
        <w:t>The transfer agent and warrant agent for our common stock and warrants is Continental Stock Transfer &amp; Trust Company.</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Listing of Securities</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color w:val="auto"/>
        </w:rPr>
        <w:t>Our common stock is listed on the Nasdaq Capital Market under the symbol “WSC.” The ModSpace Warrants currently trade on the OTC Markets Group Inc. under the symbol “WSCTW.”</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80"/>
          </w:cols>
          <w:pgMar w:left="300" w:top="125" w:right="319" w:bottom="1440" w:gutter="0" w:footer="0" w:header="0"/>
        </w:sectPr>
      </w:pPr>
    </w:p>
    <w:bookmarkStart w:id="128" w:name="page129"/>
    <w:bookmarkEnd w:id="128"/>
    <w:p>
      <w:pPr>
        <w:jc w:val="right"/>
        <w:spacing w:after="0"/>
        <w:rPr>
          <w:sz w:val="20"/>
          <w:szCs w:val="20"/>
          <w:color w:val="auto"/>
        </w:rPr>
      </w:pPr>
      <w:r>
        <w:rPr>
          <w:rFonts w:ascii="Arial" w:cs="Arial" w:eastAsia="Arial" w:hAnsi="Arial"/>
          <w:sz w:val="13"/>
          <w:szCs w:val="13"/>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TRANSITION, SEPARATION AND RELEASE AGREEMENT</w:t>
      </w:r>
    </w:p>
    <w:p>
      <w:pPr>
        <w:spacing w:after="0" w:line="173" w:lineRule="exact"/>
        <w:rPr>
          <w:sz w:val="20"/>
          <w:szCs w:val="20"/>
          <w:color w:val="auto"/>
        </w:rPr>
      </w:pPr>
    </w:p>
    <w:p>
      <w:pPr>
        <w:jc w:val="both"/>
        <w:ind w:firstLine="873"/>
        <w:spacing w:after="0" w:line="246" w:lineRule="auto"/>
        <w:rPr>
          <w:sz w:val="20"/>
          <w:szCs w:val="20"/>
          <w:color w:val="auto"/>
        </w:rPr>
      </w:pPr>
      <w:r>
        <w:rPr>
          <w:rFonts w:ascii="Arial" w:cs="Arial" w:eastAsia="Arial" w:hAnsi="Arial"/>
          <w:sz w:val="13"/>
          <w:szCs w:val="13"/>
          <w:color w:val="auto"/>
        </w:rPr>
        <w:t>This Confidential Transition, Separation and Release Agreement (“</w:t>
      </w:r>
      <w:r>
        <w:rPr>
          <w:rFonts w:ascii="Arial" w:cs="Arial" w:eastAsia="Arial" w:hAnsi="Arial"/>
          <w:sz w:val="13"/>
          <w:szCs w:val="13"/>
          <w:b w:val="1"/>
          <w:bCs w:val="1"/>
          <w:i w:val="1"/>
          <w:iCs w:val="1"/>
          <w:color w:val="auto"/>
        </w:rPr>
        <w:t>Agreement</w:t>
      </w:r>
      <w:r>
        <w:rPr>
          <w:rFonts w:ascii="Arial" w:cs="Arial" w:eastAsia="Arial" w:hAnsi="Arial"/>
          <w:sz w:val="13"/>
          <w:szCs w:val="13"/>
          <w:color w:val="auto"/>
        </w:rPr>
        <w:t>”) is between Kelly Williams (“</w:t>
      </w:r>
      <w:r>
        <w:rPr>
          <w:rFonts w:ascii="Arial" w:cs="Arial" w:eastAsia="Arial" w:hAnsi="Arial"/>
          <w:sz w:val="13"/>
          <w:szCs w:val="13"/>
          <w:b w:val="1"/>
          <w:bCs w:val="1"/>
          <w:i w:val="1"/>
          <w:iCs w:val="1"/>
          <w:color w:val="auto"/>
        </w:rPr>
        <w:t>Executive</w:t>
      </w:r>
      <w:r>
        <w:rPr>
          <w:rFonts w:ascii="Arial" w:cs="Arial" w:eastAsia="Arial" w:hAnsi="Arial"/>
          <w:sz w:val="13"/>
          <w:szCs w:val="13"/>
          <w:color w:val="auto"/>
        </w:rPr>
        <w:t>”) and WillScot Mobile Mini Holdings Corp. (formerly known as WillScot Corporation) (the “</w:t>
      </w:r>
      <w:r>
        <w:rPr>
          <w:rFonts w:ascii="Arial" w:cs="Arial" w:eastAsia="Arial" w:hAnsi="Arial"/>
          <w:sz w:val="13"/>
          <w:szCs w:val="13"/>
          <w:b w:val="1"/>
          <w:bCs w:val="1"/>
          <w:i w:val="1"/>
          <w:iCs w:val="1"/>
          <w:color w:val="auto"/>
        </w:rPr>
        <w:t>Company</w:t>
      </w:r>
      <w:r>
        <w:rPr>
          <w:rFonts w:ascii="Arial" w:cs="Arial" w:eastAsia="Arial" w:hAnsi="Arial"/>
          <w:sz w:val="13"/>
          <w:szCs w:val="13"/>
          <w:color w:val="auto"/>
        </w:rPr>
        <w:t>”) (hereinafter the “</w:t>
      </w:r>
      <w:r>
        <w:rPr>
          <w:rFonts w:ascii="Arial" w:cs="Arial" w:eastAsia="Arial" w:hAnsi="Arial"/>
          <w:sz w:val="13"/>
          <w:szCs w:val="13"/>
          <w:b w:val="1"/>
          <w:bCs w:val="1"/>
          <w:i w:val="1"/>
          <w:iCs w:val="1"/>
          <w:color w:val="auto"/>
        </w:rPr>
        <w:t>parties</w:t>
      </w:r>
      <w:r>
        <w:rPr>
          <w:rFonts w:ascii="Arial" w:cs="Arial" w:eastAsia="Arial" w:hAnsi="Arial"/>
          <w:sz w:val="13"/>
          <w:szCs w:val="13"/>
          <w:color w:val="auto"/>
        </w:rPr>
        <w:t>”), and is entered into as of February 25, 2021. This Agreement will not become effective until the expiration of seven (7) days from Executive’s execution of this Agreement (the “</w:t>
      </w:r>
      <w:r>
        <w:rPr>
          <w:rFonts w:ascii="Arial" w:cs="Arial" w:eastAsia="Arial" w:hAnsi="Arial"/>
          <w:sz w:val="13"/>
          <w:szCs w:val="13"/>
          <w:b w:val="1"/>
          <w:bCs w:val="1"/>
          <w:i w:val="1"/>
          <w:iCs w:val="1"/>
          <w:color w:val="auto"/>
        </w:rPr>
        <w:t>Effective Date</w:t>
      </w:r>
      <w:r>
        <w:rPr>
          <w:rFonts w:ascii="Arial" w:cs="Arial" w:eastAsia="Arial" w:hAnsi="Arial"/>
          <w:sz w:val="13"/>
          <w:szCs w:val="13"/>
          <w:color w:val="auto"/>
        </w:rPr>
        <w:t>”)</w:t>
      </w:r>
      <w:r>
        <w:rPr>
          <w:rFonts w:ascii="Arial" w:cs="Arial" w:eastAsia="Arial" w:hAnsi="Arial"/>
          <w:sz w:val="13"/>
          <w:szCs w:val="13"/>
          <w:i w:val="1"/>
          <w:iCs w:val="1"/>
          <w:color w:val="auto"/>
        </w:rPr>
        <w:t>.</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13"/>
          <w:szCs w:val="13"/>
          <w:color w:val="auto"/>
        </w:rPr>
        <w:t xml:space="preserve">WHEREAS, Executive has been employed by Company and is a party to that certain Employment Agreement dated March 1, 2020 (the </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Employment Agreement</w:t>
      </w:r>
      <w:r>
        <w:rPr>
          <w:rFonts w:ascii="Arial" w:cs="Arial" w:eastAsia="Arial" w:hAnsi="Arial"/>
          <w:sz w:val="13"/>
          <w:szCs w:val="13"/>
          <w:i w:val="1"/>
          <w:iCs w:val="1"/>
          <w:color w:val="auto"/>
        </w:rPr>
        <w:t>”</w:t>
      </w:r>
      <w:r>
        <w:rPr>
          <w:rFonts w:ascii="Arial" w:cs="Arial" w:eastAsia="Arial" w:hAnsi="Arial"/>
          <w:sz w:val="13"/>
          <w:szCs w:val="13"/>
          <w:color w:val="auto"/>
        </w:rPr>
        <w:t>);</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3"/>
          <w:szCs w:val="13"/>
          <w:color w:val="auto"/>
        </w:rPr>
        <w:t>WHEREAS, the Executive’s employment with Company will terminate effective as of July 31, 2021 (the “</w:t>
      </w:r>
      <w:r>
        <w:rPr>
          <w:rFonts w:ascii="Arial" w:cs="Arial" w:eastAsia="Arial" w:hAnsi="Arial"/>
          <w:sz w:val="13"/>
          <w:szCs w:val="13"/>
          <w:b w:val="1"/>
          <w:bCs w:val="1"/>
          <w:i w:val="1"/>
          <w:iCs w:val="1"/>
          <w:color w:val="auto"/>
        </w:rPr>
        <w:t>Termination Date</w:t>
      </w:r>
      <w:r>
        <w:rPr>
          <w:rFonts w:ascii="Arial" w:cs="Arial" w:eastAsia="Arial" w:hAnsi="Arial"/>
          <w:sz w:val="13"/>
          <w:szCs w:val="13"/>
          <w:color w:val="auto"/>
        </w:rPr>
        <w:t>”);</w:t>
      </w:r>
    </w:p>
    <w:p>
      <w:pPr>
        <w:spacing w:after="0" w:line="205" w:lineRule="exact"/>
        <w:rPr>
          <w:sz w:val="20"/>
          <w:szCs w:val="20"/>
          <w:color w:val="auto"/>
        </w:rPr>
      </w:pPr>
    </w:p>
    <w:p>
      <w:pPr>
        <w:jc w:val="both"/>
        <w:ind w:firstLine="873"/>
        <w:spacing w:after="0" w:line="239" w:lineRule="auto"/>
        <w:rPr>
          <w:sz w:val="20"/>
          <w:szCs w:val="20"/>
          <w:color w:val="auto"/>
        </w:rPr>
      </w:pPr>
      <w:r>
        <w:rPr>
          <w:rFonts w:ascii="Arial" w:cs="Arial" w:eastAsia="Arial" w:hAnsi="Arial"/>
          <w:sz w:val="13"/>
          <w:szCs w:val="13"/>
          <w:color w:val="auto"/>
        </w:rPr>
        <w:t>WHEREAS, Company and Executive desire to avoid disputes and/or litigation regarding Executive’s termination from employment or any events or circumstances preceding or coincident with the termination from employment;</w:t>
      </w:r>
    </w:p>
    <w:p>
      <w:pPr>
        <w:spacing w:after="0" w:line="183" w:lineRule="exact"/>
        <w:rPr>
          <w:sz w:val="20"/>
          <w:szCs w:val="20"/>
          <w:color w:val="auto"/>
        </w:rPr>
      </w:pPr>
    </w:p>
    <w:p>
      <w:pPr>
        <w:jc w:val="both"/>
        <w:ind w:firstLine="873"/>
        <w:spacing w:after="0" w:line="239" w:lineRule="auto"/>
        <w:rPr>
          <w:sz w:val="20"/>
          <w:szCs w:val="20"/>
          <w:color w:val="auto"/>
        </w:rPr>
      </w:pPr>
      <w:r>
        <w:rPr>
          <w:rFonts w:ascii="Arial" w:cs="Arial" w:eastAsia="Arial" w:hAnsi="Arial"/>
          <w:sz w:val="13"/>
          <w:szCs w:val="13"/>
          <w:color w:val="auto"/>
        </w:rPr>
        <w:t>WHEREAS, Company and Executive have agreed upon the terms on which Executive is willing, for sufficient and lawful consideration, to compromise any claims known and unknown which Executive may have against Company; and</w:t>
      </w:r>
    </w:p>
    <w:p>
      <w:pPr>
        <w:spacing w:after="0" w:line="183" w:lineRule="exact"/>
        <w:rPr>
          <w:sz w:val="20"/>
          <w:szCs w:val="20"/>
          <w:color w:val="auto"/>
        </w:rPr>
      </w:pPr>
    </w:p>
    <w:p>
      <w:pPr>
        <w:jc w:val="both"/>
        <w:ind w:firstLine="873"/>
        <w:spacing w:after="0" w:line="235" w:lineRule="auto"/>
        <w:rPr>
          <w:sz w:val="20"/>
          <w:szCs w:val="20"/>
          <w:color w:val="auto"/>
        </w:rPr>
      </w:pPr>
      <w:r>
        <w:rPr>
          <w:rFonts w:ascii="Arial" w:cs="Arial" w:eastAsia="Arial" w:hAnsi="Arial"/>
          <w:sz w:val="13"/>
          <w:szCs w:val="13"/>
          <w:color w:val="auto"/>
        </w:rPr>
        <w:t>WHEREAS, the parties desire to settle fully and finally, in the manner set forth herein, all differences between them which have arisen, or which may arise, prior to, or at the time of, the execution of this Agreement, including, but in no way limited to, any and all claims and controversies arising out of the employment relationship between Executive and Company, and the termination thereof.</w:t>
      </w:r>
    </w:p>
    <w:p>
      <w:pPr>
        <w:spacing w:after="0" w:line="184" w:lineRule="exact"/>
        <w:rPr>
          <w:sz w:val="20"/>
          <w:szCs w:val="20"/>
          <w:color w:val="auto"/>
        </w:rPr>
      </w:pPr>
    </w:p>
    <w:p>
      <w:pPr>
        <w:jc w:val="both"/>
        <w:ind w:firstLine="873"/>
        <w:spacing w:after="0" w:line="239" w:lineRule="auto"/>
        <w:rPr>
          <w:sz w:val="20"/>
          <w:szCs w:val="20"/>
          <w:color w:val="auto"/>
        </w:rPr>
      </w:pPr>
      <w:r>
        <w:rPr>
          <w:rFonts w:ascii="Arial" w:cs="Arial" w:eastAsia="Arial" w:hAnsi="Arial"/>
          <w:sz w:val="13"/>
          <w:szCs w:val="13"/>
          <w:color w:val="auto"/>
        </w:rPr>
        <w:t>NOW, THEREFORE, in consideration of these recitals and the promises and agreements set forth in this Agreement, Executive’s employment with Company will terminate upon the following terms (any capitalized terms used but not defined herein shall have the meanings ascribed to them in the Employment Agreement):</w:t>
      </w:r>
    </w:p>
    <w:p>
      <w:pPr>
        <w:spacing w:after="0" w:line="175" w:lineRule="exact"/>
        <w:rPr>
          <w:sz w:val="20"/>
          <w:szCs w:val="20"/>
          <w:color w:val="auto"/>
        </w:rPr>
      </w:pPr>
    </w:p>
    <w:p>
      <w:pPr>
        <w:ind w:left="260" w:hanging="253"/>
        <w:spacing w:after="0"/>
        <w:tabs>
          <w:tab w:leader="none" w:pos="260" w:val="left"/>
        </w:tabs>
        <w:numPr>
          <w:ilvl w:val="0"/>
          <w:numId w:val="40"/>
        </w:numPr>
        <w:rPr>
          <w:rFonts w:ascii="Arial" w:cs="Arial" w:eastAsia="Arial" w:hAnsi="Arial"/>
          <w:sz w:val="13"/>
          <w:szCs w:val="13"/>
          <w:color w:val="auto"/>
        </w:rPr>
      </w:pPr>
      <w:r>
        <w:rPr>
          <w:rFonts w:ascii="Arial" w:cs="Arial" w:eastAsia="Arial" w:hAnsi="Arial"/>
          <w:sz w:val="13"/>
          <w:szCs w:val="13"/>
          <w:u w:val="single" w:color="auto"/>
          <w:color w:val="auto"/>
        </w:rPr>
        <w:t>Termination Date and Transition Period; Consulting</w:t>
      </w:r>
      <w:r>
        <w:rPr>
          <w:rFonts w:ascii="Arial" w:cs="Arial" w:eastAsia="Arial" w:hAnsi="Arial"/>
          <w:sz w:val="13"/>
          <w:szCs w:val="13"/>
          <w:color w:val="auto"/>
        </w:rPr>
        <w:t>:</w:t>
      </w:r>
    </w:p>
    <w:p>
      <w:pPr>
        <w:jc w:val="both"/>
        <w:ind w:left="260" w:firstLine="10"/>
        <w:spacing w:after="0" w:line="230" w:lineRule="auto"/>
        <w:tabs>
          <w:tab w:leader="none" w:pos="458" w:val="left"/>
        </w:tabs>
        <w:numPr>
          <w:ilvl w:val="1"/>
          <w:numId w:val="40"/>
        </w:numPr>
        <w:rPr>
          <w:rFonts w:ascii="Arial" w:cs="Arial" w:eastAsia="Arial" w:hAnsi="Arial"/>
          <w:sz w:val="13"/>
          <w:szCs w:val="13"/>
          <w:color w:val="auto"/>
        </w:rPr>
      </w:pPr>
      <w:r>
        <w:rPr>
          <w:rFonts w:ascii="Arial" w:cs="Arial" w:eastAsia="Arial" w:hAnsi="Arial"/>
          <w:sz w:val="13"/>
          <w:szCs w:val="13"/>
          <w:color w:val="auto"/>
        </w:rPr>
        <w:t>Executive’s last day of employment with the Company will be the Termination Date and, for the sake of clarity, such date shall be a “separation from service” for purposes of Section 409A of the Code. After the Termination Date, Executive will not represent himself as being an employee, officer, attorney, agent, or representative of the Company for any purpose but may disclose that he remains an advisor to the Company in accordance with Section 1(b) below. Except as otherwise set forth in this Agreement, the Termination Date is the employment separation date for Executive for all purposes, meaning Executive is not entitled to any further compensation, monies, or other benefits from the Company, including coverage under any benefit plans or programs sponsored by the Company, as of the Termination Date. By the Termination Date, Executive must return all Company property, including identification cards or badges, access codes or devices, keys, laptops, computers, telephones, mobile phones, hand-held electronic devices, credit cards, electronically stored documents or files, physical files, and any other Company property in Executive’s possession other than the Executive’s cell phone and laptop. Executive shall remain employed by the Company as of the date hereof until the Termination Date (the “</w:t>
      </w:r>
      <w:r>
        <w:rPr>
          <w:rFonts w:ascii="Arial" w:cs="Arial" w:eastAsia="Arial" w:hAnsi="Arial"/>
          <w:sz w:val="13"/>
          <w:szCs w:val="13"/>
          <w:b w:val="1"/>
          <w:bCs w:val="1"/>
          <w:i w:val="1"/>
          <w:iCs w:val="1"/>
          <w:color w:val="auto"/>
        </w:rPr>
        <w:t>Transition Period</w:t>
      </w:r>
      <w:r>
        <w:rPr>
          <w:rFonts w:ascii="Arial" w:cs="Arial" w:eastAsia="Arial" w:hAnsi="Arial"/>
          <w:sz w:val="13"/>
          <w:szCs w:val="13"/>
          <w:color w:val="auto"/>
        </w:rPr>
        <w:t>”), subject to the terms and conditions of this Agreement and the Employment Agreement. During the Transition Period, Executive will remain an active employee of the Company and will continue receiving all payments, benefits and equity grants he is currently receiving or entitled to receive as an active employee for the performance of his services, including, but not limited to, those under the Employment Agreement.</w:t>
      </w:r>
    </w:p>
    <w:p>
      <w:pPr>
        <w:spacing w:after="0" w:line="184" w:lineRule="exact"/>
        <w:rPr>
          <w:rFonts w:ascii="Arial" w:cs="Arial" w:eastAsia="Arial" w:hAnsi="Arial"/>
          <w:sz w:val="13"/>
          <w:szCs w:val="13"/>
          <w:color w:val="auto"/>
        </w:rPr>
      </w:pPr>
    </w:p>
    <w:p>
      <w:pPr>
        <w:jc w:val="both"/>
        <w:ind w:left="260" w:right="20" w:firstLine="10"/>
        <w:spacing w:after="0" w:line="233" w:lineRule="auto"/>
        <w:tabs>
          <w:tab w:leader="none" w:pos="457" w:val="left"/>
        </w:tabs>
        <w:numPr>
          <w:ilvl w:val="1"/>
          <w:numId w:val="40"/>
        </w:numPr>
        <w:rPr>
          <w:rFonts w:ascii="Arial" w:cs="Arial" w:eastAsia="Arial" w:hAnsi="Arial"/>
          <w:sz w:val="13"/>
          <w:szCs w:val="13"/>
          <w:color w:val="auto"/>
        </w:rPr>
      </w:pPr>
      <w:r>
        <w:rPr>
          <w:rFonts w:ascii="Arial" w:cs="Arial" w:eastAsia="Arial" w:hAnsi="Arial"/>
          <w:sz w:val="13"/>
          <w:szCs w:val="13"/>
          <w:color w:val="auto"/>
        </w:rPr>
        <w:t>Executive will support the Company in all matters relating to the orderly transition of his duties and responsibilities. On and after the Termination Date, given the importance of Executive’s knowledge and experience, to the extent requested by the Company, he hereby agrees to be reasonably available to assist and consult with the Company upon mutually agreeable times and places on matters related to the Company, provided that the Company will make reasonable efforts to minimize any interruption to his personal and any other professional commitments and fiduciary duties to a subsequent employer. The Company shall reimburse Executive for reasonable expenses incurred in connection with the provision of such consultation.</w:t>
      </w:r>
    </w:p>
    <w:p>
      <w:pPr>
        <w:spacing w:after="0" w:line="184" w:lineRule="exact"/>
        <w:rPr>
          <w:rFonts w:ascii="Arial" w:cs="Arial" w:eastAsia="Arial" w:hAnsi="Arial"/>
          <w:sz w:val="13"/>
          <w:szCs w:val="13"/>
          <w:color w:val="auto"/>
        </w:rPr>
      </w:pPr>
    </w:p>
    <w:p>
      <w:pPr>
        <w:jc w:val="both"/>
        <w:ind w:left="260" w:hanging="253"/>
        <w:spacing w:after="0" w:line="235" w:lineRule="auto"/>
        <w:tabs>
          <w:tab w:leader="none" w:pos="260" w:val="left"/>
        </w:tabs>
        <w:numPr>
          <w:ilvl w:val="0"/>
          <w:numId w:val="40"/>
        </w:numPr>
        <w:rPr>
          <w:rFonts w:ascii="Arial" w:cs="Arial" w:eastAsia="Arial" w:hAnsi="Arial"/>
          <w:sz w:val="13"/>
          <w:szCs w:val="13"/>
          <w:color w:val="auto"/>
        </w:rPr>
      </w:pPr>
      <w:r>
        <w:rPr>
          <w:rFonts w:ascii="Arial" w:cs="Arial" w:eastAsia="Arial" w:hAnsi="Arial"/>
          <w:sz w:val="13"/>
          <w:szCs w:val="13"/>
          <w:u w:val="single" w:color="auto"/>
          <w:color w:val="auto"/>
        </w:rPr>
        <w:t>Executive Representations</w:t>
      </w:r>
      <w:r>
        <w:rPr>
          <w:rFonts w:ascii="Arial" w:cs="Arial" w:eastAsia="Arial" w:hAnsi="Arial"/>
          <w:sz w:val="13"/>
          <w:szCs w:val="13"/>
          <w:color w:val="auto"/>
        </w:rPr>
        <w:t>: Executive specifically represents, warrants, and confirms that Executive (i) has not filed any claims, complaints, or actions of any kind against the Company with any court of law, or local, state, or federal government or agency; (ii) has been properly paid for all hours worked for the Company; (iii) has received all salary, wages, commissions, bonuses, and other compensation due to Executive (aside from amounts due in connection with the Employment Agreement or this Agreement, including Executive’s final payroll check for</w:t>
      </w:r>
    </w:p>
    <w:p>
      <w:pPr>
        <w:sectPr>
          <w:pgSz w:w="11900" w:h="16838" w:orient="portrait"/>
          <w:cols w:equalWidth="0" w:num="1">
            <w:col w:w="11280"/>
          </w:cols>
          <w:pgMar w:left="300" w:top="125" w:right="319" w:bottom="1440" w:gutter="0" w:footer="0" w:header="0"/>
        </w:sectPr>
      </w:pPr>
    </w:p>
    <w:bookmarkStart w:id="129" w:name="page130"/>
    <w:bookmarkEnd w:id="129"/>
    <w:p>
      <w:pPr>
        <w:jc w:val="right"/>
        <w:spacing w:after="0"/>
        <w:rPr>
          <w:sz w:val="20"/>
          <w:szCs w:val="20"/>
          <w:color w:val="auto"/>
        </w:rPr>
      </w:pPr>
      <w:r>
        <w:rPr>
          <w:rFonts w:ascii="Arial" w:cs="Arial" w:eastAsia="Arial" w:hAnsi="Arial"/>
          <w:sz w:val="13"/>
          <w:szCs w:val="13"/>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260"/>
        <w:spacing w:after="0" w:line="233" w:lineRule="auto"/>
        <w:rPr>
          <w:sz w:val="20"/>
          <w:szCs w:val="20"/>
          <w:color w:val="auto"/>
        </w:rPr>
      </w:pPr>
      <w:r>
        <w:rPr>
          <w:rFonts w:ascii="Arial" w:cs="Arial" w:eastAsia="Arial" w:hAnsi="Arial"/>
          <w:sz w:val="13"/>
          <w:szCs w:val="13"/>
          <w:color w:val="auto"/>
        </w:rPr>
        <w:t>salary through and including the Termination Date, which will be paid on the next regularly scheduled payroll date for the pay period including the Termination Date); and (iv) has as not engaged in and is not aware of any unlawful conduct relating to the business of the Company. If any of these statements is not true, Executive cannot sign this Agreement and must notify the Company immediately in writing of the statements that are not true. This notice will not automatically disqualify Executive from receiving the benefits described herein, but will require the Company’s further review and consideration.</w:t>
      </w:r>
    </w:p>
    <w:p>
      <w:pPr>
        <w:spacing w:after="0" w:line="184" w:lineRule="exact"/>
        <w:rPr>
          <w:sz w:val="20"/>
          <w:szCs w:val="20"/>
          <w:color w:val="auto"/>
        </w:rPr>
      </w:pPr>
    </w:p>
    <w:p>
      <w:pPr>
        <w:jc w:val="both"/>
        <w:ind w:left="260" w:hanging="253"/>
        <w:spacing w:after="0" w:line="229" w:lineRule="auto"/>
        <w:tabs>
          <w:tab w:leader="none" w:pos="260" w:val="left"/>
        </w:tabs>
        <w:numPr>
          <w:ilvl w:val="0"/>
          <w:numId w:val="41"/>
        </w:numPr>
        <w:rPr>
          <w:rFonts w:ascii="Arial" w:cs="Arial" w:eastAsia="Arial" w:hAnsi="Arial"/>
          <w:sz w:val="13"/>
          <w:szCs w:val="13"/>
          <w:color w:val="auto"/>
        </w:rPr>
      </w:pPr>
      <w:r>
        <w:rPr>
          <w:rFonts w:ascii="Arial" w:cs="Arial" w:eastAsia="Arial" w:hAnsi="Arial"/>
          <w:sz w:val="13"/>
          <w:szCs w:val="13"/>
          <w:u w:val="single" w:color="auto"/>
          <w:color w:val="auto"/>
        </w:rPr>
        <w:t>General Release</w:t>
      </w:r>
      <w:r>
        <w:rPr>
          <w:rFonts w:ascii="Arial" w:cs="Arial" w:eastAsia="Arial" w:hAnsi="Arial"/>
          <w:sz w:val="13"/>
          <w:szCs w:val="13"/>
          <w:color w:val="auto"/>
        </w:rPr>
        <w:t>: Executive for himself and on behalf of Executive’s attorneys, heirs, assigns, successors, executors, and administrators IRREVOCABLY AND UNCONDITIONALLY RELEASES, ACQUITS AND FOREVER DISCHARGES Company and any current or former stockholders, directors, parent, subsidiary, affiliated, and related corporations, firms, associations, partnerships, and entities, and their successors and assigns, from any and all claims and causes of action whatsoever, whether known or unknown or whether connected with Executive’s employment by Company or not, which may have arisen, or which may arise, prior to, or at the time of, the execution of this Agreement, including, but not limited to, any claim or cause of action arising out of any contract, express or implied, any covenant of good faith and fair dealing, express or implied, any tort (whether intentional or released in this agreement), or under Title VII of the Civil Rights Act of 1964, the Age Discrimination in Employment Act, the Americans with Disabilities Act, the Worker Adjustment and Retraining Notification (WARN) Act, the Older Workers Benefit Protection Act, the Discrimination in Employment Act, the Persons With Disabilities Employment Protection Act, the Delaware Whistleblowers' Protection Act, the Wage Payment and Collection Act, the Delaware Fair Employment Practices Act, Delaware's social media law, (all as amended) or any other municipal, local, state, or federal law, common or statutory, but excluding any claims with respect to the Company’s obligations under this Agreement, the Employment Agreement, any claims relating to vested benefits under any Company employee benefit plan (including without limitation any such plan subject to the Executive Retirement Income Security Act of 1974, as amended) and any claims which Executive cannot release as a matter of applicable law. Furthermore, neither this Agreement nor the Employment Agreement shall apply to, modify or in any way supersede obligations arising from any of (i) the terms of directors and officers insurance or (ii) any indemnification agreement for the benefit of the Executive as a result of the Executive’s position as a director or officer of the Company or one of its affiliates.</w:t>
      </w:r>
    </w:p>
    <w:p>
      <w:pPr>
        <w:spacing w:after="0" w:line="188" w:lineRule="exact"/>
        <w:rPr>
          <w:rFonts w:ascii="Arial" w:cs="Arial" w:eastAsia="Arial" w:hAnsi="Arial"/>
          <w:sz w:val="13"/>
          <w:szCs w:val="13"/>
          <w:color w:val="auto"/>
        </w:rPr>
      </w:pPr>
    </w:p>
    <w:p>
      <w:pPr>
        <w:ind w:left="260" w:hanging="253"/>
        <w:spacing w:after="0" w:line="239" w:lineRule="auto"/>
        <w:tabs>
          <w:tab w:leader="none" w:pos="260" w:val="left"/>
        </w:tabs>
        <w:numPr>
          <w:ilvl w:val="0"/>
          <w:numId w:val="41"/>
        </w:numPr>
        <w:rPr>
          <w:rFonts w:ascii="Arial" w:cs="Arial" w:eastAsia="Arial" w:hAnsi="Arial"/>
          <w:sz w:val="13"/>
          <w:szCs w:val="13"/>
          <w:color w:val="auto"/>
        </w:rPr>
      </w:pPr>
      <w:r>
        <w:rPr>
          <w:rFonts w:ascii="Arial" w:cs="Arial" w:eastAsia="Arial" w:hAnsi="Arial"/>
          <w:sz w:val="13"/>
          <w:szCs w:val="13"/>
          <w:u w:val="single" w:color="auto"/>
          <w:color w:val="auto"/>
        </w:rPr>
        <w:t>Covenant Not to Sue</w:t>
      </w:r>
      <w:r>
        <w:rPr>
          <w:rFonts w:ascii="Arial" w:cs="Arial" w:eastAsia="Arial" w:hAnsi="Arial"/>
          <w:sz w:val="13"/>
          <w:szCs w:val="13"/>
          <w:color w:val="auto"/>
        </w:rPr>
        <w:t>: Executive also COVENANTS NOT TO SUE, OR OTHERWISE PARTICIPATE IN ANY ACTION OR CLASS ACTION against Company or any of the released parties based upon any of the claims released in this Agreement.</w:t>
      </w:r>
    </w:p>
    <w:p>
      <w:pPr>
        <w:spacing w:after="0" w:line="182" w:lineRule="exact"/>
        <w:rPr>
          <w:rFonts w:ascii="Arial" w:cs="Arial" w:eastAsia="Arial" w:hAnsi="Arial"/>
          <w:sz w:val="13"/>
          <w:szCs w:val="13"/>
          <w:color w:val="auto"/>
        </w:rPr>
      </w:pPr>
    </w:p>
    <w:p>
      <w:pPr>
        <w:jc w:val="both"/>
        <w:ind w:left="260" w:hanging="253"/>
        <w:spacing w:after="0" w:line="235" w:lineRule="auto"/>
        <w:tabs>
          <w:tab w:leader="none" w:pos="260" w:val="left"/>
        </w:tabs>
        <w:numPr>
          <w:ilvl w:val="0"/>
          <w:numId w:val="41"/>
        </w:numPr>
        <w:rPr>
          <w:rFonts w:ascii="Arial" w:cs="Arial" w:eastAsia="Arial" w:hAnsi="Arial"/>
          <w:sz w:val="13"/>
          <w:szCs w:val="13"/>
          <w:color w:val="auto"/>
        </w:rPr>
      </w:pPr>
      <w:r>
        <w:rPr>
          <w:rFonts w:ascii="Arial" w:cs="Arial" w:eastAsia="Arial" w:hAnsi="Arial"/>
          <w:sz w:val="13"/>
          <w:szCs w:val="13"/>
          <w:u w:val="single" w:color="auto"/>
          <w:color w:val="auto"/>
        </w:rPr>
        <w:t>Severance Terms</w:t>
      </w:r>
      <w:r>
        <w:rPr>
          <w:rFonts w:ascii="Arial" w:cs="Arial" w:eastAsia="Arial" w:hAnsi="Arial"/>
          <w:sz w:val="13"/>
          <w:szCs w:val="13"/>
          <w:color w:val="auto"/>
        </w:rPr>
        <w:t>: In consideration for Executive’s execution of this Agreement, and provided that this Agreement has become effective in accordance with its terms, and compliance with the promises, covenants, agreements, and releases set forth herein and in the Employment Agreement, Executive shall be entitled to receive the following payments and benefits to which he would not otherwise be entitled (the “</w:t>
      </w:r>
      <w:r>
        <w:rPr>
          <w:rFonts w:ascii="Arial" w:cs="Arial" w:eastAsia="Arial" w:hAnsi="Arial"/>
          <w:sz w:val="13"/>
          <w:szCs w:val="13"/>
          <w:b w:val="1"/>
          <w:bCs w:val="1"/>
          <w:i w:val="1"/>
          <w:iCs w:val="1"/>
          <w:color w:val="auto"/>
        </w:rPr>
        <w:t>Severance Benefits</w:t>
      </w:r>
      <w:r>
        <w:rPr>
          <w:rFonts w:ascii="Arial" w:cs="Arial" w:eastAsia="Arial" w:hAnsi="Arial"/>
          <w:sz w:val="13"/>
          <w:szCs w:val="13"/>
          <w:color w:val="auto"/>
        </w:rPr>
        <w:t>”):</w:t>
      </w:r>
    </w:p>
    <w:p>
      <w:pPr>
        <w:spacing w:after="0" w:line="184" w:lineRule="exact"/>
        <w:rPr>
          <w:sz w:val="20"/>
          <w:szCs w:val="20"/>
          <w:color w:val="auto"/>
        </w:rPr>
      </w:pPr>
    </w:p>
    <w:p>
      <w:pPr>
        <w:jc w:val="both"/>
        <w:ind w:firstLine="874"/>
        <w:spacing w:after="0" w:line="231" w:lineRule="auto"/>
        <w:rPr>
          <w:sz w:val="20"/>
          <w:szCs w:val="20"/>
          <w:color w:val="auto"/>
        </w:rPr>
      </w:pPr>
      <w:r>
        <w:rPr>
          <w:rFonts w:ascii="Arial" w:cs="Arial" w:eastAsia="Arial" w:hAnsi="Arial"/>
          <w:sz w:val="13"/>
          <w:szCs w:val="13"/>
          <w:color w:val="auto"/>
        </w:rPr>
        <w:t>The severance benefits as defined in and pursuant to Section 6(b) the Employment Agreement, including the treatment provided for therein of any unvested equity awards granted to Executive, including without limitation, the unvested portion of the grants to be made in March 2021 in consideration of the Executive’s performance of his duties to the Company; provided that the total amount of cash severance Executive is entitled to receive, under Section 6(b)(ii) of the Employment Agreement, shall be reduced by $233,333; provided further that the benefits Executive is entitled to receive, under Section 6(b)(iv) of the Employment Agreement, shall be for a period of twenty (20) months following the Termination Date. The Severance Benefits will be payable in accordance with Section 6(b) of the Employment Agreement, except as otherwise may be required under Section 24(b) of the Employment Agreement if the Executive is a “specified employee” within the meaning of Section 409A of the Internal Revenue Code of 1986, as amended</w:t>
      </w:r>
    </w:p>
    <w:p>
      <w:pPr>
        <w:spacing w:after="0" w:line="185" w:lineRule="exact"/>
        <w:rPr>
          <w:sz w:val="20"/>
          <w:szCs w:val="20"/>
          <w:color w:val="auto"/>
        </w:rPr>
      </w:pPr>
    </w:p>
    <w:p>
      <w:pPr>
        <w:jc w:val="both"/>
        <w:ind w:firstLine="350"/>
        <w:spacing w:after="0" w:line="239" w:lineRule="auto"/>
        <w:rPr>
          <w:sz w:val="20"/>
          <w:szCs w:val="20"/>
          <w:color w:val="auto"/>
        </w:rPr>
      </w:pPr>
      <w:r>
        <w:rPr>
          <w:rFonts w:ascii="Arial" w:cs="Arial" w:eastAsia="Arial" w:hAnsi="Arial"/>
          <w:sz w:val="13"/>
          <w:szCs w:val="13"/>
          <w:color w:val="auto"/>
        </w:rPr>
        <w:t>Executive understands, acknowledges, and agrees that these benefits exceed what Executive is otherwise entitled to receive on separation from employment, and that these benefits are being given as consideration in exchange for executing this Agreement and the general release contained herein.</w:t>
      </w:r>
    </w:p>
    <w:p>
      <w:pPr>
        <w:spacing w:after="0" w:line="183" w:lineRule="exact"/>
        <w:rPr>
          <w:sz w:val="20"/>
          <w:szCs w:val="20"/>
          <w:color w:val="auto"/>
        </w:rPr>
      </w:pPr>
    </w:p>
    <w:p>
      <w:pPr>
        <w:jc w:val="both"/>
        <w:ind w:left="260" w:hanging="253"/>
        <w:spacing w:after="0" w:line="232" w:lineRule="auto"/>
        <w:tabs>
          <w:tab w:leader="none" w:pos="260" w:val="left"/>
        </w:tabs>
        <w:numPr>
          <w:ilvl w:val="0"/>
          <w:numId w:val="42"/>
        </w:numPr>
        <w:rPr>
          <w:rFonts w:ascii="Arial" w:cs="Arial" w:eastAsia="Arial" w:hAnsi="Arial"/>
          <w:sz w:val="13"/>
          <w:szCs w:val="13"/>
          <w:color w:val="auto"/>
        </w:rPr>
      </w:pPr>
      <w:r>
        <w:rPr>
          <w:rFonts w:ascii="Arial" w:cs="Arial" w:eastAsia="Arial" w:hAnsi="Arial"/>
          <w:sz w:val="13"/>
          <w:szCs w:val="13"/>
          <w:u w:val="single" w:color="auto"/>
          <w:color w:val="auto"/>
        </w:rPr>
        <w:t>Right to Revoke</w:t>
      </w:r>
      <w:r>
        <w:rPr>
          <w:rFonts w:ascii="Arial" w:cs="Arial" w:eastAsia="Arial" w:hAnsi="Arial"/>
          <w:sz w:val="13"/>
          <w:szCs w:val="13"/>
          <w:color w:val="auto"/>
        </w:rPr>
        <w:t>: Executive may revoke this Agreement by delivering notice to Chris Miner, Chief Legal Officer, in writing, received within seven (7) days of the date of its execution by Executive (the “</w:t>
      </w:r>
      <w:r>
        <w:rPr>
          <w:rFonts w:ascii="Arial" w:cs="Arial" w:eastAsia="Arial" w:hAnsi="Arial"/>
          <w:sz w:val="13"/>
          <w:szCs w:val="13"/>
          <w:b w:val="1"/>
          <w:bCs w:val="1"/>
          <w:i w:val="1"/>
          <w:iCs w:val="1"/>
          <w:color w:val="auto"/>
        </w:rPr>
        <w:t>Revocation Period</w:t>
      </w:r>
      <w:r>
        <w:rPr>
          <w:rFonts w:ascii="Arial" w:cs="Arial" w:eastAsia="Arial" w:hAnsi="Arial"/>
          <w:sz w:val="13"/>
          <w:szCs w:val="13"/>
          <w:color w:val="auto"/>
        </w:rPr>
        <w:t>”)</w:t>
      </w:r>
      <w:r>
        <w:rPr>
          <w:rFonts w:ascii="Arial" w:cs="Arial" w:eastAsia="Arial" w:hAnsi="Arial"/>
          <w:sz w:val="13"/>
          <w:szCs w:val="13"/>
          <w:i w:val="1"/>
          <w:iCs w:val="1"/>
          <w:color w:val="auto"/>
        </w:rPr>
        <w:t>.</w:t>
      </w:r>
      <w:r>
        <w:rPr>
          <w:rFonts w:ascii="Arial" w:cs="Arial" w:eastAsia="Arial" w:hAnsi="Arial"/>
          <w:sz w:val="13"/>
          <w:szCs w:val="13"/>
          <w:color w:val="auto"/>
        </w:rPr>
        <w:t xml:space="preserve"> Executive agrees that Executive will not receive the benefits provided by this Agreement if Executive revokes this Agreement. Executive also acknowledges and agrees that if Company has not received from Executive notice of Executive’s revocation of this Agreement prior to the expiration of the Revocation Period, Executive will have forever waived Executive’s right to revoke this Agreement, and this Agreement shall thereafter be enforceable and have full force and effect. This Agreement shall not become effective until the eighth (8th) day after Executive signs, without revoking, this Agreement. No payments due to Executive under this Agreement shall be made or begin before the Effective Date.</w:t>
      </w:r>
    </w:p>
    <w:p>
      <w:pPr>
        <w:sectPr>
          <w:pgSz w:w="11900" w:h="16838" w:orient="portrait"/>
          <w:cols w:equalWidth="0" w:num="1">
            <w:col w:w="11280"/>
          </w:cols>
          <w:pgMar w:left="300" w:top="125" w:right="319" w:bottom="1440" w:gutter="0" w:footer="0" w:header="0"/>
        </w:sectPr>
      </w:pPr>
    </w:p>
    <w:bookmarkStart w:id="130" w:name="page131"/>
    <w:bookmarkEnd w:id="130"/>
    <w:p>
      <w:pPr>
        <w:jc w:val="right"/>
        <w:spacing w:after="0"/>
        <w:rPr>
          <w:sz w:val="20"/>
          <w:szCs w:val="20"/>
          <w:color w:val="auto"/>
        </w:rPr>
      </w:pPr>
      <w:r>
        <w:rPr>
          <w:rFonts w:ascii="Arial" w:cs="Arial" w:eastAsia="Arial" w:hAnsi="Arial"/>
          <w:sz w:val="13"/>
          <w:szCs w:val="13"/>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260" w:hanging="253"/>
        <w:spacing w:after="0" w:line="233" w:lineRule="auto"/>
        <w:tabs>
          <w:tab w:leader="none" w:pos="260" w:val="left"/>
        </w:tabs>
        <w:numPr>
          <w:ilvl w:val="0"/>
          <w:numId w:val="43"/>
        </w:numPr>
        <w:rPr>
          <w:rFonts w:ascii="Arial" w:cs="Arial" w:eastAsia="Arial" w:hAnsi="Arial"/>
          <w:sz w:val="13"/>
          <w:szCs w:val="13"/>
          <w:color w:val="auto"/>
        </w:rPr>
      </w:pPr>
      <w:r>
        <w:rPr>
          <w:rFonts w:ascii="Arial" w:cs="Arial" w:eastAsia="Arial" w:hAnsi="Arial"/>
          <w:sz w:val="13"/>
          <w:szCs w:val="13"/>
          <w:u w:val="single" w:color="auto"/>
          <w:color w:val="auto"/>
        </w:rPr>
        <w:t>Acknowledgement</w:t>
      </w:r>
      <w:r>
        <w:rPr>
          <w:rFonts w:ascii="Arial" w:cs="Arial" w:eastAsia="Arial" w:hAnsi="Arial"/>
          <w:sz w:val="13"/>
          <w:szCs w:val="13"/>
          <w:color w:val="auto"/>
        </w:rPr>
        <w:t>: Executive acknowledges and agrees that: (A) except as to any Severance Benefits which remain unpaid as of the date of this Agreement, no additional consideration, including salary, wages, bonuses or Equity Awards as described in the Employment Agreement, is to be paid to him by Company in connection with this Agreement; (B) except as provided by this Agreement, Executive has no contractual right or claim to the Severance Benefits; and, (C) payments pursuant to this Agreement shall terminate immediately if Executive breaches any of the provisions of this Agreement.</w:t>
      </w:r>
    </w:p>
    <w:p>
      <w:pPr>
        <w:spacing w:after="0" w:line="184" w:lineRule="exact"/>
        <w:rPr>
          <w:rFonts w:ascii="Arial" w:cs="Arial" w:eastAsia="Arial" w:hAnsi="Arial"/>
          <w:sz w:val="13"/>
          <w:szCs w:val="13"/>
          <w:color w:val="auto"/>
        </w:rPr>
      </w:pPr>
    </w:p>
    <w:p>
      <w:pPr>
        <w:ind w:left="260" w:hanging="253"/>
        <w:spacing w:after="0"/>
        <w:tabs>
          <w:tab w:leader="none" w:pos="260" w:val="left"/>
        </w:tabs>
        <w:numPr>
          <w:ilvl w:val="0"/>
          <w:numId w:val="43"/>
        </w:numPr>
        <w:rPr>
          <w:rFonts w:ascii="Arial" w:cs="Arial" w:eastAsia="Arial" w:hAnsi="Arial"/>
          <w:sz w:val="13"/>
          <w:szCs w:val="13"/>
          <w:color w:val="auto"/>
        </w:rPr>
      </w:pPr>
      <w:r>
        <w:rPr>
          <w:rFonts w:ascii="Arial" w:cs="Arial" w:eastAsia="Arial" w:hAnsi="Arial"/>
          <w:sz w:val="13"/>
          <w:szCs w:val="13"/>
          <w:u w:val="single" w:color="auto"/>
          <w:color w:val="auto"/>
        </w:rPr>
        <w:t>Non-Admissions</w:t>
      </w:r>
      <w:r>
        <w:rPr>
          <w:rFonts w:ascii="Arial" w:cs="Arial" w:eastAsia="Arial" w:hAnsi="Arial"/>
          <w:sz w:val="13"/>
          <w:szCs w:val="13"/>
          <w:color w:val="auto"/>
        </w:rPr>
        <w:t>: Executive acknowledges that by entering into this Agreement, Company does not admit, and does specifically deny, any violation of any local, state, or federal law.</w:t>
      </w:r>
    </w:p>
    <w:p>
      <w:pPr>
        <w:spacing w:after="0" w:line="189" w:lineRule="exact"/>
        <w:rPr>
          <w:rFonts w:ascii="Arial" w:cs="Arial" w:eastAsia="Arial" w:hAnsi="Arial"/>
          <w:sz w:val="13"/>
          <w:szCs w:val="13"/>
          <w:color w:val="auto"/>
        </w:rPr>
      </w:pPr>
    </w:p>
    <w:p>
      <w:pPr>
        <w:ind w:left="260" w:hanging="253"/>
        <w:spacing w:after="0" w:line="239" w:lineRule="auto"/>
        <w:tabs>
          <w:tab w:leader="none" w:pos="260" w:val="left"/>
        </w:tabs>
        <w:numPr>
          <w:ilvl w:val="0"/>
          <w:numId w:val="43"/>
        </w:numPr>
        <w:rPr>
          <w:rFonts w:ascii="Arial" w:cs="Arial" w:eastAsia="Arial" w:hAnsi="Arial"/>
          <w:sz w:val="13"/>
          <w:szCs w:val="13"/>
          <w:color w:val="auto"/>
        </w:rPr>
      </w:pPr>
      <w:r>
        <w:rPr>
          <w:rFonts w:ascii="Arial" w:cs="Arial" w:eastAsia="Arial" w:hAnsi="Arial"/>
          <w:sz w:val="13"/>
          <w:szCs w:val="13"/>
          <w:u w:val="single" w:color="auto"/>
          <w:color w:val="auto"/>
        </w:rPr>
        <w:t>Confidentiality</w:t>
      </w:r>
      <w:r>
        <w:rPr>
          <w:rFonts w:ascii="Arial" w:cs="Arial" w:eastAsia="Arial" w:hAnsi="Arial"/>
          <w:sz w:val="13"/>
          <w:szCs w:val="13"/>
          <w:color w:val="auto"/>
        </w:rPr>
        <w:t>: Executive agrees that Executive shall not directly or indirectly disclose the terms, amount or fact of this Agreement to anyone other than Executive’s immediate family or counsel, bankers or financial advisors, except as such disclosure may be required for accounting or tax reporting purposes or as otherwise may be required by law.</w:t>
      </w:r>
    </w:p>
    <w:p>
      <w:pPr>
        <w:spacing w:after="0" w:line="182" w:lineRule="exact"/>
        <w:rPr>
          <w:rFonts w:ascii="Arial" w:cs="Arial" w:eastAsia="Arial" w:hAnsi="Arial"/>
          <w:sz w:val="13"/>
          <w:szCs w:val="13"/>
          <w:color w:val="auto"/>
        </w:rPr>
      </w:pPr>
    </w:p>
    <w:p>
      <w:pPr>
        <w:ind w:left="260" w:hanging="253"/>
        <w:spacing w:after="0" w:line="239" w:lineRule="auto"/>
        <w:tabs>
          <w:tab w:leader="none" w:pos="256" w:val="left"/>
        </w:tabs>
        <w:numPr>
          <w:ilvl w:val="0"/>
          <w:numId w:val="43"/>
        </w:numPr>
        <w:rPr>
          <w:rFonts w:ascii="Arial" w:cs="Arial" w:eastAsia="Arial" w:hAnsi="Arial"/>
          <w:sz w:val="13"/>
          <w:szCs w:val="13"/>
          <w:color w:val="auto"/>
        </w:rPr>
      </w:pPr>
      <w:r>
        <w:rPr>
          <w:rFonts w:ascii="Arial" w:cs="Arial" w:eastAsia="Arial" w:hAnsi="Arial"/>
          <w:sz w:val="13"/>
          <w:szCs w:val="13"/>
          <w:u w:val="single" w:color="auto"/>
          <w:color w:val="auto"/>
        </w:rPr>
        <w:t>Nondisparagement</w:t>
      </w:r>
      <w:r>
        <w:rPr>
          <w:rFonts w:ascii="Arial" w:cs="Arial" w:eastAsia="Arial" w:hAnsi="Arial"/>
          <w:sz w:val="13"/>
          <w:szCs w:val="13"/>
          <w:color w:val="auto"/>
        </w:rPr>
        <w:t>: Each party agrees that it will not make any statements, written or verbal, or cause or encourage others to make any statements, written or verbal, that defame, disparage or in any way criticize the personal or business reputation, practices or conduct of the other including, in the case of Company, its employees, directors and stockholders.</w:t>
      </w:r>
    </w:p>
    <w:p>
      <w:pPr>
        <w:spacing w:after="0" w:line="182" w:lineRule="exact"/>
        <w:rPr>
          <w:rFonts w:ascii="Arial" w:cs="Arial" w:eastAsia="Arial" w:hAnsi="Arial"/>
          <w:sz w:val="13"/>
          <w:szCs w:val="13"/>
          <w:color w:val="auto"/>
        </w:rPr>
      </w:pPr>
    </w:p>
    <w:p>
      <w:pPr>
        <w:jc w:val="both"/>
        <w:ind w:left="260" w:hanging="253"/>
        <w:spacing w:after="0" w:line="233" w:lineRule="auto"/>
        <w:tabs>
          <w:tab w:leader="none" w:pos="256" w:val="left"/>
        </w:tabs>
        <w:numPr>
          <w:ilvl w:val="0"/>
          <w:numId w:val="43"/>
        </w:numPr>
        <w:rPr>
          <w:rFonts w:ascii="Arial" w:cs="Arial" w:eastAsia="Arial" w:hAnsi="Arial"/>
          <w:sz w:val="13"/>
          <w:szCs w:val="13"/>
          <w:color w:val="auto"/>
        </w:rPr>
      </w:pPr>
      <w:r>
        <w:rPr>
          <w:rFonts w:ascii="Arial" w:cs="Arial" w:eastAsia="Arial" w:hAnsi="Arial"/>
          <w:sz w:val="13"/>
          <w:szCs w:val="13"/>
          <w:u w:val="single" w:color="auto"/>
          <w:color w:val="auto"/>
        </w:rPr>
        <w:t>Acknowledgement of Restrictions; Confidential Information</w:t>
      </w:r>
      <w:r>
        <w:rPr>
          <w:rFonts w:ascii="Arial" w:cs="Arial" w:eastAsia="Arial" w:hAnsi="Arial"/>
          <w:sz w:val="13"/>
          <w:szCs w:val="13"/>
          <w:color w:val="auto"/>
        </w:rPr>
        <w:t>: Executive acknowledges and agrees that Executive has continuing non-competition, non-solicitation and non-disclosure obligations under the Employment Agreement, and Executive acknowledges and reaffirms his obligation to continue abide fully and completely with all post-employment provisions of the Employment Agreement and agrees that nothing in this Agreement shall operate to excuse or otherwise relieve Executive of such obligations; provided however that Executive’s non-competition and non-solicitation obligations shall be as set forth in Section 12 of this Agreement.</w:t>
      </w:r>
    </w:p>
    <w:p>
      <w:pPr>
        <w:spacing w:after="0" w:line="184" w:lineRule="exact"/>
        <w:rPr>
          <w:rFonts w:ascii="Arial" w:cs="Arial" w:eastAsia="Arial" w:hAnsi="Arial"/>
          <w:sz w:val="13"/>
          <w:szCs w:val="13"/>
          <w:color w:val="auto"/>
        </w:rPr>
      </w:pPr>
    </w:p>
    <w:p>
      <w:pPr>
        <w:ind w:left="260" w:hanging="253"/>
        <w:spacing w:after="0"/>
        <w:tabs>
          <w:tab w:leader="none" w:pos="260" w:val="left"/>
        </w:tabs>
        <w:numPr>
          <w:ilvl w:val="0"/>
          <w:numId w:val="43"/>
        </w:numPr>
        <w:rPr>
          <w:rFonts w:ascii="Arial" w:cs="Arial" w:eastAsia="Arial" w:hAnsi="Arial"/>
          <w:sz w:val="13"/>
          <w:szCs w:val="13"/>
          <w:color w:val="auto"/>
        </w:rPr>
      </w:pPr>
      <w:r>
        <w:rPr>
          <w:rFonts w:ascii="Arial" w:cs="Arial" w:eastAsia="Arial" w:hAnsi="Arial"/>
          <w:sz w:val="13"/>
          <w:szCs w:val="13"/>
          <w:u w:val="single" w:color="auto"/>
          <w:color w:val="auto"/>
        </w:rPr>
        <w:t>Covenant Not to Compete</w:t>
      </w:r>
      <w:r>
        <w:rPr>
          <w:rFonts w:ascii="Arial" w:cs="Arial" w:eastAsia="Arial" w:hAnsi="Arial"/>
          <w:sz w:val="13"/>
          <w:szCs w:val="13"/>
          <w:color w:val="auto"/>
        </w:rPr>
        <w:t>:</w:t>
      </w:r>
    </w:p>
    <w:p>
      <w:pPr>
        <w:spacing w:after="0" w:line="189" w:lineRule="exact"/>
        <w:rPr>
          <w:rFonts w:ascii="Arial" w:cs="Arial" w:eastAsia="Arial" w:hAnsi="Arial"/>
          <w:sz w:val="13"/>
          <w:szCs w:val="13"/>
          <w:color w:val="auto"/>
        </w:rPr>
      </w:pPr>
    </w:p>
    <w:p>
      <w:pPr>
        <w:jc w:val="both"/>
        <w:ind w:firstLine="925"/>
        <w:spacing w:after="0" w:line="231" w:lineRule="auto"/>
        <w:tabs>
          <w:tab w:leader="none" w:pos="1080" w:val="left"/>
        </w:tabs>
        <w:numPr>
          <w:ilvl w:val="1"/>
          <w:numId w:val="43"/>
        </w:numPr>
        <w:rPr>
          <w:rFonts w:ascii="Arial" w:cs="Arial" w:eastAsia="Arial" w:hAnsi="Arial"/>
          <w:sz w:val="13"/>
          <w:szCs w:val="13"/>
          <w:color w:val="auto"/>
        </w:rPr>
      </w:pPr>
      <w:r>
        <w:rPr>
          <w:rFonts w:ascii="Arial" w:cs="Arial" w:eastAsia="Arial" w:hAnsi="Arial"/>
          <w:sz w:val="13"/>
          <w:szCs w:val="13"/>
          <w:color w:val="auto"/>
        </w:rPr>
        <w:t>Executive agrees that during the term of this Agreement and for a period of three (3) years following the Termination Date, Executive shall not either directly or indirectly, for himself or on behalf of or in conjunction with any other person, persons, company, firm, partnership, corporation, business, group or other entity (each, a “</w:t>
      </w:r>
      <w:r>
        <w:rPr>
          <w:rFonts w:ascii="Arial" w:cs="Arial" w:eastAsia="Arial" w:hAnsi="Arial"/>
          <w:sz w:val="13"/>
          <w:szCs w:val="13"/>
          <w:b w:val="1"/>
          <w:bCs w:val="1"/>
          <w:i w:val="1"/>
          <w:iCs w:val="1"/>
          <w:color w:val="auto"/>
        </w:rPr>
        <w:t>Person</w:t>
      </w:r>
      <w:r>
        <w:rPr>
          <w:rFonts w:ascii="Arial" w:cs="Arial" w:eastAsia="Arial" w:hAnsi="Arial"/>
          <w:sz w:val="13"/>
          <w:szCs w:val="13"/>
          <w:color w:val="auto"/>
        </w:rPr>
        <w:t>”), engage in any business or activity, whether as an employee, consultant, partner, principal, agent, representative, stockholder or other individual, corporate, or representative capacity, or render any services or provide any advice or substantial assistance to any business, person or entity engaged in the portable storage, modular office, tank and pump or similar business or directly or indirectly will in any way compete with the Company (a “</w:t>
      </w:r>
      <w:r>
        <w:rPr>
          <w:rFonts w:ascii="Arial" w:cs="Arial" w:eastAsia="Arial" w:hAnsi="Arial"/>
          <w:sz w:val="13"/>
          <w:szCs w:val="13"/>
          <w:b w:val="1"/>
          <w:bCs w:val="1"/>
          <w:i w:val="1"/>
          <w:iCs w:val="1"/>
          <w:color w:val="auto"/>
        </w:rPr>
        <w:t>Competing Business</w:t>
      </w:r>
      <w:r>
        <w:rPr>
          <w:rFonts w:ascii="Arial" w:cs="Arial" w:eastAsia="Arial" w:hAnsi="Arial"/>
          <w:sz w:val="13"/>
          <w:szCs w:val="13"/>
          <w:color w:val="auto"/>
        </w:rPr>
        <w:t>”). Without limiting the generality of the foregoing, for purposes of this Section 12, it is understood that Competing Businesses shall include any business that is in direct competition with the Company, including General Finance Corporation, McGrath RentCorp, and United Rentals; provided, however, that notwithstanding the foregoing, Executive may make passive investments in up to four percent (4%) of the outstanding publicly traded common stock of an entity which operates a Competing Business.</w:t>
      </w:r>
    </w:p>
    <w:p>
      <w:pPr>
        <w:spacing w:after="0" w:line="183" w:lineRule="exact"/>
        <w:rPr>
          <w:rFonts w:ascii="Arial" w:cs="Arial" w:eastAsia="Arial" w:hAnsi="Arial"/>
          <w:sz w:val="13"/>
          <w:szCs w:val="13"/>
          <w:color w:val="auto"/>
        </w:rPr>
      </w:pPr>
    </w:p>
    <w:p>
      <w:pPr>
        <w:jc w:val="both"/>
        <w:ind w:firstLine="925"/>
        <w:spacing w:after="0" w:line="231" w:lineRule="auto"/>
        <w:tabs>
          <w:tab w:leader="none" w:pos="1111" w:val="left"/>
        </w:tabs>
        <w:numPr>
          <w:ilvl w:val="1"/>
          <w:numId w:val="43"/>
        </w:numPr>
        <w:rPr>
          <w:rFonts w:ascii="Arial" w:cs="Arial" w:eastAsia="Arial" w:hAnsi="Arial"/>
          <w:sz w:val="13"/>
          <w:szCs w:val="13"/>
          <w:color w:val="auto"/>
        </w:rPr>
      </w:pPr>
      <w:r>
        <w:rPr>
          <w:rFonts w:ascii="Arial" w:cs="Arial" w:eastAsia="Arial" w:hAnsi="Arial"/>
          <w:sz w:val="13"/>
          <w:szCs w:val="13"/>
          <w:color w:val="auto"/>
        </w:rPr>
        <w:t>Executive agrees that during the term of this Agreement and for a period of five (5) years following the Termination Date, Executive shall not either directly or indirectly, for himself or on behalf of or in conjunction with any other Person (a) solicit any Person who is, or who is, at the time of termination of Executive’s employment, or has been within six (6) months prior to the time of termination of Executive’s employment, an employee of the Company for the purpose or with the intent of enticing such employee away from the employ of the Company; or (b) solicit any Person who is, or who is, at the time of termination of Executive’s employment, or has been within six (6) months prior to the time of termination of Executive’s employment, a customer or supplier of the Company for the purpose or with the intent of (A) inducing or attempting to induce such Person to cease doing business with the Company or (B) in any way interfering with the relationship between such Person and the Company.</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For the avoidance of any doubt, references to the Company in this Section 12 shall refer equally to any direct or indirect subsidiary of the Company.</w:t>
      </w:r>
    </w:p>
    <w:p>
      <w:pPr>
        <w:spacing w:after="0" w:line="189" w:lineRule="exact"/>
        <w:rPr>
          <w:sz w:val="20"/>
          <w:szCs w:val="20"/>
          <w:color w:val="auto"/>
        </w:rPr>
      </w:pPr>
    </w:p>
    <w:p>
      <w:pPr>
        <w:ind w:left="260" w:hanging="253"/>
        <w:spacing w:after="0" w:line="239" w:lineRule="auto"/>
        <w:tabs>
          <w:tab w:leader="none" w:pos="256" w:val="left"/>
        </w:tabs>
        <w:numPr>
          <w:ilvl w:val="0"/>
          <w:numId w:val="44"/>
        </w:numPr>
        <w:rPr>
          <w:rFonts w:ascii="Arial" w:cs="Arial" w:eastAsia="Arial" w:hAnsi="Arial"/>
          <w:sz w:val="13"/>
          <w:szCs w:val="13"/>
          <w:color w:val="auto"/>
        </w:rPr>
      </w:pPr>
      <w:r>
        <w:rPr>
          <w:rFonts w:ascii="Arial" w:cs="Arial" w:eastAsia="Arial" w:hAnsi="Arial"/>
          <w:sz w:val="13"/>
          <w:szCs w:val="13"/>
          <w:u w:val="single" w:color="auto"/>
          <w:color w:val="auto"/>
        </w:rPr>
        <w:t>Severability</w:t>
      </w:r>
      <w:r>
        <w:rPr>
          <w:rFonts w:ascii="Arial" w:cs="Arial" w:eastAsia="Arial" w:hAnsi="Arial"/>
          <w:sz w:val="13"/>
          <w:szCs w:val="13"/>
          <w:color w:val="auto"/>
        </w:rPr>
        <w:t>: If any provision of this Agreement is held to be illegal, invalid, or unenforceable, such provision shall be fully severable and/or construed in remaining part to the full extent allowed by law, with the remaining provisions of this Agreement continuing in full force and effect.</w:t>
      </w:r>
    </w:p>
    <w:p>
      <w:pPr>
        <w:spacing w:after="0" w:line="182" w:lineRule="exact"/>
        <w:rPr>
          <w:rFonts w:ascii="Arial" w:cs="Arial" w:eastAsia="Arial" w:hAnsi="Arial"/>
          <w:sz w:val="13"/>
          <w:szCs w:val="13"/>
          <w:color w:val="auto"/>
        </w:rPr>
      </w:pPr>
    </w:p>
    <w:p>
      <w:pPr>
        <w:ind w:left="260" w:hanging="253"/>
        <w:spacing w:after="0" w:line="239" w:lineRule="auto"/>
        <w:tabs>
          <w:tab w:leader="none" w:pos="256" w:val="left"/>
        </w:tabs>
        <w:numPr>
          <w:ilvl w:val="0"/>
          <w:numId w:val="44"/>
        </w:numPr>
        <w:rPr>
          <w:rFonts w:ascii="Arial" w:cs="Arial" w:eastAsia="Arial" w:hAnsi="Arial"/>
          <w:sz w:val="13"/>
          <w:szCs w:val="13"/>
          <w:color w:val="auto"/>
        </w:rPr>
      </w:pPr>
      <w:r>
        <w:rPr>
          <w:rFonts w:ascii="Arial" w:cs="Arial" w:eastAsia="Arial" w:hAnsi="Arial"/>
          <w:sz w:val="13"/>
          <w:szCs w:val="13"/>
          <w:u w:val="single" w:color="auto"/>
          <w:color w:val="auto"/>
        </w:rPr>
        <w:t>Entire Agreement</w:t>
      </w:r>
      <w:r>
        <w:rPr>
          <w:rFonts w:ascii="Arial" w:cs="Arial" w:eastAsia="Arial" w:hAnsi="Arial"/>
          <w:sz w:val="13"/>
          <w:szCs w:val="13"/>
          <w:color w:val="auto"/>
        </w:rPr>
        <w:t>: This Agreement, along with the Employment Agreement (including any exhibits thereto), constitute the entire agreement between the Executive and Company, and supersede all prior and</w:t>
      </w:r>
    </w:p>
    <w:p>
      <w:pPr>
        <w:sectPr>
          <w:pgSz w:w="11900" w:h="16838" w:orient="portrait"/>
          <w:cols w:equalWidth="0" w:num="1">
            <w:col w:w="11280"/>
          </w:cols>
          <w:pgMar w:left="300" w:top="125" w:right="319" w:bottom="1440" w:gutter="0" w:footer="0" w:header="0"/>
        </w:sectPr>
      </w:pPr>
    </w:p>
    <w:bookmarkStart w:id="131" w:name="page132"/>
    <w:bookmarkEnd w:id="131"/>
    <w:p>
      <w:pPr>
        <w:jc w:val="right"/>
        <w:spacing w:after="0"/>
        <w:rPr>
          <w:sz w:val="20"/>
          <w:szCs w:val="20"/>
          <w:color w:val="auto"/>
        </w:rPr>
      </w:pPr>
      <w:r>
        <w:rPr>
          <w:rFonts w:ascii="Arial" w:cs="Arial" w:eastAsia="Arial" w:hAnsi="Arial"/>
          <w:sz w:val="13"/>
          <w:szCs w:val="13"/>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60"/>
        <w:spacing w:after="0"/>
        <w:rPr>
          <w:sz w:val="20"/>
          <w:szCs w:val="20"/>
          <w:color w:val="auto"/>
        </w:rPr>
      </w:pPr>
      <w:r>
        <w:rPr>
          <w:rFonts w:ascii="Arial" w:cs="Arial" w:eastAsia="Arial" w:hAnsi="Arial"/>
          <w:sz w:val="13"/>
          <w:szCs w:val="13"/>
          <w:color w:val="auto"/>
        </w:rPr>
        <w:t>contemporaneous negotiations and agreements, oral or written. This Agreement cannot be changed or terminated except pursuant to a written agreement executed by the parties.</w:t>
      </w:r>
    </w:p>
    <w:p>
      <w:pPr>
        <w:spacing w:after="0" w:line="189" w:lineRule="exact"/>
        <w:rPr>
          <w:sz w:val="20"/>
          <w:szCs w:val="20"/>
          <w:color w:val="auto"/>
        </w:rPr>
      </w:pPr>
    </w:p>
    <w:p>
      <w:pPr>
        <w:ind w:left="260" w:hanging="253"/>
        <w:spacing w:after="0"/>
        <w:tabs>
          <w:tab w:leader="none" w:pos="260" w:val="left"/>
        </w:tabs>
        <w:numPr>
          <w:ilvl w:val="0"/>
          <w:numId w:val="45"/>
        </w:numPr>
        <w:rPr>
          <w:rFonts w:ascii="Arial" w:cs="Arial" w:eastAsia="Arial" w:hAnsi="Arial"/>
          <w:sz w:val="13"/>
          <w:szCs w:val="13"/>
          <w:color w:val="auto"/>
        </w:rPr>
      </w:pPr>
      <w:r>
        <w:rPr>
          <w:rFonts w:ascii="Arial" w:cs="Arial" w:eastAsia="Arial" w:hAnsi="Arial"/>
          <w:sz w:val="13"/>
          <w:szCs w:val="13"/>
          <w:u w:val="single" w:color="auto"/>
          <w:color w:val="auto"/>
        </w:rPr>
        <w:t>Governing Law</w:t>
      </w:r>
      <w:r>
        <w:rPr>
          <w:rFonts w:ascii="Arial" w:cs="Arial" w:eastAsia="Arial" w:hAnsi="Arial"/>
          <w:sz w:val="13"/>
          <w:szCs w:val="13"/>
          <w:color w:val="auto"/>
        </w:rPr>
        <w:t>: This Agreement shall be governed by and construed in accordance with the laws of the State of Delaware, except where preempted by federal law.</w:t>
      </w:r>
    </w:p>
    <w:p>
      <w:pPr>
        <w:spacing w:after="0" w:line="189" w:lineRule="exact"/>
        <w:rPr>
          <w:rFonts w:ascii="Arial" w:cs="Arial" w:eastAsia="Arial" w:hAnsi="Arial"/>
          <w:sz w:val="13"/>
          <w:szCs w:val="13"/>
          <w:color w:val="auto"/>
        </w:rPr>
      </w:pPr>
    </w:p>
    <w:p>
      <w:pPr>
        <w:jc w:val="both"/>
        <w:ind w:left="260" w:hanging="253"/>
        <w:spacing w:after="0" w:line="230" w:lineRule="auto"/>
        <w:tabs>
          <w:tab w:leader="none" w:pos="256" w:val="left"/>
        </w:tabs>
        <w:numPr>
          <w:ilvl w:val="0"/>
          <w:numId w:val="45"/>
        </w:numPr>
        <w:rPr>
          <w:rFonts w:ascii="Arial" w:cs="Arial" w:eastAsia="Arial" w:hAnsi="Arial"/>
          <w:sz w:val="13"/>
          <w:szCs w:val="13"/>
          <w:color w:val="auto"/>
        </w:rPr>
      </w:pPr>
      <w:r>
        <w:rPr>
          <w:rFonts w:ascii="Arial" w:cs="Arial" w:eastAsia="Arial" w:hAnsi="Arial"/>
          <w:sz w:val="13"/>
          <w:szCs w:val="13"/>
          <w:u w:val="single" w:color="auto"/>
          <w:color w:val="auto"/>
        </w:rPr>
        <w:t>Statement of Understanding</w:t>
      </w:r>
      <w:r>
        <w:rPr>
          <w:rFonts w:ascii="Arial" w:cs="Arial" w:eastAsia="Arial" w:hAnsi="Arial"/>
          <w:sz w:val="13"/>
          <w:szCs w:val="13"/>
          <w:color w:val="auto"/>
        </w:rPr>
        <w:t>: By executing this Agreement, Executive acknowledges that (a) Executive has had at least twenty-one (21) days, as applicable in accordance with the Age Discrimination in Employment Act, as amended, (the “</w:t>
      </w:r>
      <w:r>
        <w:rPr>
          <w:rFonts w:ascii="Arial" w:cs="Arial" w:eastAsia="Arial" w:hAnsi="Arial"/>
          <w:sz w:val="13"/>
          <w:szCs w:val="13"/>
          <w:b w:val="1"/>
          <w:bCs w:val="1"/>
          <w:i w:val="1"/>
          <w:iCs w:val="1"/>
          <w:color w:val="auto"/>
        </w:rPr>
        <w:t>ADEA</w:t>
      </w:r>
      <w:r>
        <w:rPr>
          <w:rFonts w:ascii="Arial" w:cs="Arial" w:eastAsia="Arial" w:hAnsi="Arial"/>
          <w:sz w:val="13"/>
          <w:szCs w:val="13"/>
          <w:color w:val="auto"/>
        </w:rPr>
        <w:t xml:space="preserve">”) to consider the terms of this Agreement </w:t>
      </w:r>
      <w:r>
        <w:rPr>
          <w:rFonts w:ascii="Arial" w:cs="Arial" w:eastAsia="Arial" w:hAnsi="Arial"/>
          <w:sz w:val="13"/>
          <w:szCs w:val="13"/>
          <w:b w:val="1"/>
          <w:bCs w:val="1"/>
          <w:color w:val="auto"/>
        </w:rPr>
        <w:t>(and any attachment necessary or desirable in accordance with the ADEA)</w:t>
      </w:r>
      <w:r>
        <w:rPr>
          <w:rFonts w:ascii="Arial" w:cs="Arial" w:eastAsia="Arial" w:hAnsi="Arial"/>
          <w:sz w:val="13"/>
          <w:szCs w:val="13"/>
          <w:color w:val="auto"/>
        </w:rPr>
        <w:t xml:space="preserve"> and has considered its terms for such a period of time or has knowingly and voluntarily waived Executive’s right to do so by executing this Agreement and returning it to Company; (b) Executive has been advised by Company to consult with an attorney regarding the terms of this Agreement; (c) Executive has consulted with, or has had sufficient opportunity to consult with, an attorney of Executive’s own choosing regarding the terms of this Agreement; (d) any and all questions regarding the terms of this Agreement have been asked and answered to Executive’s complete satisfaction; (e) Executive has read this Agreement and fully understands its terms and their import; (f) except as provided by this Agreement, Executive has no contractual right or claim to the benefits and payments described herein; (g) the consideration provided for herein is good and valuable; and (h) Executive is entering into this Agreement voluntarily, of Executive’s own free will, and without any coercion, undue influence, threat, or intimidation of any kind or type whatsoever.</w:t>
      </w:r>
    </w:p>
    <w:p>
      <w:pPr>
        <w:spacing w:after="0" w:line="187"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HAVING READ AND UNDERSTOOD THIS AGREEMENT, CONSULTED COUNSEL OR VOLUNTARILY ELECTED NOT TO CONSULT COUNSEL, AND HAVING HAD SUFFICIENT TIME TO CONSIDER WHETHER TO ENTER INTO THIS AGREEMENT, THE UNDERSIGNED HEREBY EXECUTE THIS AGREEMENT ON THE DATES SET FORTH BELOW.</w:t>
      </w:r>
    </w:p>
    <w:p>
      <w:pPr>
        <w:spacing w:after="0" w:line="211" w:lineRule="exact"/>
        <w:rPr>
          <w:sz w:val="20"/>
          <w:szCs w:val="20"/>
          <w:color w:val="auto"/>
        </w:rPr>
      </w:pPr>
    </w:p>
    <w:tbl>
      <w:tblPr>
        <w:tblLayout w:type="fixed"/>
        <w:tblInd w:w="160" w:type="dxa"/>
        <w:tblCellMar>
          <w:top w:w="0" w:type="dxa"/>
          <w:left w:w="0" w:type="dxa"/>
          <w:bottom w:w="0" w:type="dxa"/>
          <w:right w:w="0" w:type="dxa"/>
        </w:tblCellMar>
      </w:tblPr>
      <w:tr>
        <w:trPr>
          <w:trHeight w:val="173"/>
        </w:trPr>
        <w:tc>
          <w:tcPr>
            <w:tcW w:w="1000" w:type="dxa"/>
            <w:vAlign w:val="bottom"/>
          </w:tcPr>
          <w:p>
            <w:pPr>
              <w:spacing w:after="0"/>
              <w:rPr>
                <w:sz w:val="20"/>
                <w:szCs w:val="20"/>
                <w:color w:val="auto"/>
              </w:rPr>
            </w:pPr>
            <w:r>
              <w:rPr>
                <w:rFonts w:ascii="Arial" w:cs="Arial" w:eastAsia="Arial" w:hAnsi="Arial"/>
                <w:sz w:val="13"/>
                <w:szCs w:val="13"/>
                <w:b w:val="1"/>
                <w:bCs w:val="1"/>
                <w:color w:val="auto"/>
              </w:rPr>
              <w:t>EXECUTIVE</w:t>
            </w:r>
          </w:p>
        </w:tc>
        <w:tc>
          <w:tcPr>
            <w:tcW w:w="6320" w:type="dxa"/>
            <w:vAlign w:val="bottom"/>
          </w:tcPr>
          <w:p>
            <w:pPr>
              <w:ind w:left="3620"/>
              <w:spacing w:after="0"/>
              <w:rPr>
                <w:sz w:val="20"/>
                <w:szCs w:val="20"/>
                <w:color w:val="auto"/>
              </w:rPr>
            </w:pPr>
            <w:r>
              <w:rPr>
                <w:rFonts w:ascii="Arial" w:cs="Arial" w:eastAsia="Arial" w:hAnsi="Arial"/>
                <w:sz w:val="13"/>
                <w:szCs w:val="13"/>
                <w:b w:val="1"/>
                <w:bCs w:val="1"/>
                <w:color w:val="auto"/>
                <w:w w:val="99"/>
              </w:rPr>
              <w:t>WILLSCOT MOBILE MINI HOLDINGS CORP.</w:t>
            </w:r>
          </w:p>
        </w:tc>
      </w:tr>
      <w:tr>
        <w:trPr>
          <w:trHeight w:val="333"/>
        </w:trPr>
        <w:tc>
          <w:tcPr>
            <w:tcW w:w="1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Kelly Williams</w:t>
            </w:r>
          </w:p>
        </w:tc>
        <w:tc>
          <w:tcPr>
            <w:tcW w:w="6320" w:type="dxa"/>
            <w:vAlign w:val="bottom"/>
          </w:tcPr>
          <w:p>
            <w:pPr>
              <w:ind w:left="3620"/>
              <w:spacing w:after="0"/>
              <w:rPr>
                <w:sz w:val="20"/>
                <w:szCs w:val="20"/>
                <w:color w:val="auto"/>
              </w:rPr>
            </w:pPr>
            <w:r>
              <w:rPr>
                <w:rFonts w:ascii="Arial" w:cs="Arial" w:eastAsia="Arial" w:hAnsi="Arial"/>
                <w:sz w:val="13"/>
                <w:szCs w:val="13"/>
                <w:color w:val="auto"/>
              </w:rPr>
              <w:t>By: /s/ Bradley L. Soultz</w:t>
            </w:r>
          </w:p>
        </w:tc>
      </w:tr>
      <w:tr>
        <w:trPr>
          <w:trHeight w:val="193"/>
        </w:trPr>
        <w:tc>
          <w:tcPr>
            <w:tcW w:w="1000" w:type="dxa"/>
            <w:vAlign w:val="bottom"/>
          </w:tcPr>
          <w:p>
            <w:pPr>
              <w:spacing w:after="0"/>
              <w:rPr>
                <w:sz w:val="20"/>
                <w:szCs w:val="20"/>
                <w:color w:val="auto"/>
              </w:rPr>
            </w:pPr>
            <w:r>
              <w:rPr>
                <w:rFonts w:ascii="Arial" w:cs="Arial" w:eastAsia="Arial" w:hAnsi="Arial"/>
                <w:sz w:val="13"/>
                <w:szCs w:val="13"/>
                <w:color w:val="auto"/>
              </w:rPr>
              <w:t>Kelly Williams</w:t>
            </w:r>
          </w:p>
        </w:tc>
        <w:tc>
          <w:tcPr>
            <w:tcW w:w="6320" w:type="dxa"/>
            <w:vAlign w:val="bottom"/>
          </w:tcPr>
          <w:p>
            <w:pPr>
              <w:ind w:left="3620"/>
              <w:spacing w:after="0"/>
              <w:rPr>
                <w:sz w:val="20"/>
                <w:szCs w:val="20"/>
                <w:color w:val="auto"/>
              </w:rPr>
            </w:pPr>
            <w:r>
              <w:rPr>
                <w:rFonts w:ascii="Arial" w:cs="Arial" w:eastAsia="Arial" w:hAnsi="Arial"/>
                <w:sz w:val="13"/>
                <w:szCs w:val="13"/>
                <w:color w:val="auto"/>
              </w:rPr>
              <w:t>Name: Bradley L. Soultz</w:t>
            </w:r>
          </w:p>
        </w:tc>
      </w:tr>
      <w:tr>
        <w:trPr>
          <w:trHeight w:val="186"/>
        </w:trPr>
        <w:tc>
          <w:tcPr>
            <w:tcW w:w="1000" w:type="dxa"/>
            <w:vAlign w:val="bottom"/>
          </w:tcPr>
          <w:p>
            <w:pPr>
              <w:spacing w:after="0"/>
              <w:rPr>
                <w:sz w:val="20"/>
                <w:szCs w:val="20"/>
                <w:color w:val="auto"/>
              </w:rPr>
            </w:pPr>
            <w:r>
              <w:rPr>
                <w:rFonts w:ascii="Arial" w:cs="Arial" w:eastAsia="Arial" w:hAnsi="Arial"/>
                <w:sz w:val="13"/>
                <w:szCs w:val="13"/>
                <w:color w:val="auto"/>
              </w:rPr>
              <w:t>Date: 2/25/2021</w:t>
            </w:r>
          </w:p>
        </w:tc>
        <w:tc>
          <w:tcPr>
            <w:tcW w:w="6320" w:type="dxa"/>
            <w:vAlign w:val="bottom"/>
          </w:tcPr>
          <w:p>
            <w:pPr>
              <w:ind w:left="3620"/>
              <w:spacing w:after="0"/>
              <w:rPr>
                <w:sz w:val="20"/>
                <w:szCs w:val="20"/>
                <w:color w:val="auto"/>
              </w:rPr>
            </w:pPr>
            <w:r>
              <w:rPr>
                <w:rFonts w:ascii="Arial" w:cs="Arial" w:eastAsia="Arial" w:hAnsi="Arial"/>
                <w:sz w:val="13"/>
                <w:szCs w:val="13"/>
                <w:color w:val="auto"/>
              </w:rPr>
              <w:t>Title: Chief Executive Officer</w:t>
            </w:r>
          </w:p>
        </w:tc>
      </w:tr>
      <w:tr>
        <w:trPr>
          <w:trHeight w:val="186"/>
        </w:trPr>
        <w:tc>
          <w:tcPr>
            <w:tcW w:w="1000" w:type="dxa"/>
            <w:vAlign w:val="bottom"/>
          </w:tcPr>
          <w:p>
            <w:pPr>
              <w:spacing w:after="0"/>
              <w:rPr>
                <w:sz w:val="16"/>
                <w:szCs w:val="16"/>
                <w:color w:val="auto"/>
              </w:rPr>
            </w:pPr>
          </w:p>
        </w:tc>
        <w:tc>
          <w:tcPr>
            <w:tcW w:w="6320" w:type="dxa"/>
            <w:vAlign w:val="bottom"/>
          </w:tcPr>
          <w:p>
            <w:pPr>
              <w:ind w:left="3620"/>
              <w:spacing w:after="0"/>
              <w:rPr>
                <w:sz w:val="20"/>
                <w:szCs w:val="20"/>
                <w:color w:val="auto"/>
              </w:rPr>
            </w:pPr>
            <w:r>
              <w:rPr>
                <w:rFonts w:ascii="Arial" w:cs="Arial" w:eastAsia="Arial" w:hAnsi="Arial"/>
                <w:sz w:val="13"/>
                <w:szCs w:val="13"/>
                <w:color w:val="auto"/>
              </w:rPr>
              <w:t>Date: 2/25/2021</w:t>
            </w:r>
          </w:p>
        </w:tc>
      </w:tr>
    </w:tbl>
    <w:p>
      <w:pPr>
        <w:sectPr>
          <w:pgSz w:w="11900" w:h="16838" w:orient="portrait"/>
          <w:cols w:equalWidth="0" w:num="1">
            <w:col w:w="11280"/>
          </w:cols>
          <w:pgMar w:left="300" w:top="125" w:right="319" w:bottom="1440" w:gutter="0" w:footer="0" w:header="0"/>
        </w:sectPr>
      </w:pPr>
    </w:p>
    <w:bookmarkStart w:id="132" w:name="page133"/>
    <w:bookmarkEnd w:id="132"/>
    <w:p>
      <w:pPr>
        <w:jc w:val="right"/>
        <w:spacing w:after="0"/>
        <w:rPr>
          <w:sz w:val="20"/>
          <w:szCs w:val="20"/>
          <w:color w:val="auto"/>
        </w:rPr>
      </w:pPr>
      <w:r>
        <w:rPr>
          <w:rFonts w:ascii="Arial" w:cs="Arial" w:eastAsia="Arial" w:hAnsi="Arial"/>
          <w:sz w:val="13"/>
          <w:szCs w:val="13"/>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3"/>
          <w:szCs w:val="13"/>
          <w:b w:val="1"/>
          <w:bCs w:val="1"/>
          <w:i w:val="1"/>
          <w:iCs w:val="1"/>
          <w:color w:val="auto"/>
        </w:rPr>
        <w:t>EXECUTION VERSION</w:t>
      </w:r>
    </w:p>
    <w:p>
      <w:pPr>
        <w:spacing w:after="0" w:line="205" w:lineRule="exact"/>
        <w:rPr>
          <w:sz w:val="20"/>
          <w:szCs w:val="20"/>
          <w:color w:val="auto"/>
        </w:rPr>
      </w:pPr>
    </w:p>
    <w:p>
      <w:pPr>
        <w:ind w:left="2480"/>
        <w:spacing w:after="0"/>
        <w:rPr>
          <w:sz w:val="20"/>
          <w:szCs w:val="20"/>
          <w:color w:val="auto"/>
        </w:rPr>
      </w:pPr>
      <w:r>
        <w:rPr>
          <w:rFonts w:ascii="Arial" w:cs="Arial" w:eastAsia="Arial" w:hAnsi="Arial"/>
          <w:sz w:val="13"/>
          <w:szCs w:val="13"/>
          <w:color w:val="auto"/>
        </w:rPr>
        <w:t>FIRST AMENDMENT TO THE ABL CREDIT AGREEMENT</w:t>
      </w:r>
    </w:p>
    <w:p>
      <w:pPr>
        <w:spacing w:after="0" w:line="173" w:lineRule="exact"/>
        <w:rPr>
          <w:sz w:val="20"/>
          <w:szCs w:val="20"/>
          <w:color w:val="auto"/>
        </w:rPr>
      </w:pPr>
    </w:p>
    <w:p>
      <w:pPr>
        <w:jc w:val="both"/>
        <w:ind w:firstLine="524"/>
        <w:spacing w:after="0" w:line="246" w:lineRule="auto"/>
        <w:rPr>
          <w:sz w:val="20"/>
          <w:szCs w:val="20"/>
          <w:color w:val="auto"/>
        </w:rPr>
      </w:pPr>
      <w:r>
        <w:rPr>
          <w:rFonts w:ascii="Arial" w:cs="Arial" w:eastAsia="Arial" w:hAnsi="Arial"/>
          <w:sz w:val="13"/>
          <w:szCs w:val="13"/>
          <w:color w:val="auto"/>
        </w:rPr>
        <w:t>This First Amendment (this “</w:t>
      </w:r>
      <w:r>
        <w:rPr>
          <w:rFonts w:ascii="Arial" w:cs="Arial" w:eastAsia="Arial" w:hAnsi="Arial"/>
          <w:sz w:val="13"/>
          <w:szCs w:val="13"/>
          <w:b w:val="1"/>
          <w:bCs w:val="1"/>
          <w:color w:val="auto"/>
        </w:rPr>
        <w:t>Amendment</w:t>
      </w:r>
      <w:r>
        <w:rPr>
          <w:rFonts w:ascii="Arial" w:cs="Arial" w:eastAsia="Arial" w:hAnsi="Arial"/>
          <w:sz w:val="13"/>
          <w:szCs w:val="13"/>
          <w:color w:val="auto"/>
        </w:rPr>
        <w:t>”) to the Existing ABL Credit Agreement referred to below is dated as of December 2, 2020 and is entered into by and among Williams Scotsman International, Inc., a Delaware corporation (the “</w:t>
      </w:r>
      <w:r>
        <w:rPr>
          <w:rFonts w:ascii="Arial" w:cs="Arial" w:eastAsia="Arial" w:hAnsi="Arial"/>
          <w:sz w:val="13"/>
          <w:szCs w:val="13"/>
          <w:b w:val="1"/>
          <w:bCs w:val="1"/>
          <w:color w:val="auto"/>
        </w:rPr>
        <w:t>Administrative Borrower</w:t>
      </w:r>
      <w:r>
        <w:rPr>
          <w:rFonts w:ascii="Arial" w:cs="Arial" w:eastAsia="Arial" w:hAnsi="Arial"/>
          <w:sz w:val="13"/>
          <w:szCs w:val="13"/>
          <w:color w:val="auto"/>
        </w:rPr>
        <w:t>”) and Bank of America, N.A., as administrative agent and collateral agent for itself and the other Secured Parties (collectively, in such capacities, the “</w:t>
      </w:r>
      <w:r>
        <w:rPr>
          <w:rFonts w:ascii="Arial" w:cs="Arial" w:eastAsia="Arial" w:hAnsi="Arial"/>
          <w:sz w:val="13"/>
          <w:szCs w:val="13"/>
          <w:b w:val="1"/>
          <w:bCs w:val="1"/>
          <w:color w:val="auto"/>
        </w:rPr>
        <w:t>Agent</w:t>
      </w:r>
      <w:r>
        <w:rPr>
          <w:rFonts w:ascii="Arial" w:cs="Arial" w:eastAsia="Arial" w:hAnsi="Arial"/>
          <w:sz w:val="13"/>
          <w:szCs w:val="13"/>
          <w:color w:val="auto"/>
        </w:rPr>
        <w:t>”).</w:t>
      </w:r>
    </w:p>
    <w:p>
      <w:pPr>
        <w:spacing w:after="0" w:line="163" w:lineRule="exact"/>
        <w:rPr>
          <w:sz w:val="20"/>
          <w:szCs w:val="20"/>
          <w:color w:val="auto"/>
        </w:rPr>
      </w:pPr>
    </w:p>
    <w:p>
      <w:pPr>
        <w:ind w:left="6060"/>
        <w:spacing w:after="0"/>
        <w:rPr>
          <w:sz w:val="20"/>
          <w:szCs w:val="20"/>
          <w:color w:val="auto"/>
        </w:rPr>
      </w:pPr>
      <w:r>
        <w:rPr>
          <w:rFonts w:ascii="Arial" w:cs="Arial" w:eastAsia="Arial" w:hAnsi="Arial"/>
          <w:sz w:val="13"/>
          <w:szCs w:val="13"/>
          <w:b w:val="1"/>
          <w:bCs w:val="1"/>
          <w:u w:val="single" w:color="auto"/>
          <w:color w:val="auto"/>
        </w:rPr>
        <w:t>RECITALS</w:t>
      </w:r>
    </w:p>
    <w:p>
      <w:pPr>
        <w:spacing w:after="0" w:line="189" w:lineRule="exact"/>
        <w:rPr>
          <w:sz w:val="20"/>
          <w:szCs w:val="20"/>
          <w:color w:val="auto"/>
        </w:rPr>
      </w:pPr>
    </w:p>
    <w:p>
      <w:pPr>
        <w:jc w:val="both"/>
        <w:ind w:firstLine="524"/>
        <w:spacing w:after="0" w:line="246"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reference is made to the ABL Credit Agreement dated as of July 1, 2020 (as amended, amended and restated, supplemented or otherwise modified from time to time prior</w:t>
      </w:r>
      <w:r>
        <w:rPr>
          <w:rFonts w:ascii="Arial" w:cs="Arial" w:eastAsia="Arial" w:hAnsi="Arial"/>
          <w:sz w:val="13"/>
          <w:szCs w:val="13"/>
          <w:b w:val="1"/>
          <w:bCs w:val="1"/>
          <w:color w:val="auto"/>
        </w:rPr>
        <w:t xml:space="preserve"> </w:t>
      </w:r>
      <w:r>
        <w:rPr>
          <w:rFonts w:ascii="Arial" w:cs="Arial" w:eastAsia="Arial" w:hAnsi="Arial"/>
          <w:sz w:val="13"/>
          <w:szCs w:val="13"/>
          <w:color w:val="auto"/>
        </w:rPr>
        <w:t>to the date hereof, the “</w:t>
      </w:r>
      <w:r>
        <w:rPr>
          <w:rFonts w:ascii="Arial" w:cs="Arial" w:eastAsia="Arial" w:hAnsi="Arial"/>
          <w:sz w:val="13"/>
          <w:szCs w:val="13"/>
          <w:b w:val="1"/>
          <w:bCs w:val="1"/>
          <w:color w:val="auto"/>
        </w:rPr>
        <w:t>Existing ABL Credit Agreement</w:t>
      </w:r>
      <w:r>
        <w:rPr>
          <w:rFonts w:ascii="Arial" w:cs="Arial" w:eastAsia="Arial" w:hAnsi="Arial"/>
          <w:sz w:val="13"/>
          <w:szCs w:val="13"/>
          <w:color w:val="auto"/>
        </w:rPr>
        <w:t>” and, as amended by this Amendment, the “</w:t>
      </w:r>
      <w:r>
        <w:rPr>
          <w:rFonts w:ascii="Arial" w:cs="Arial" w:eastAsia="Arial" w:hAnsi="Arial"/>
          <w:sz w:val="13"/>
          <w:szCs w:val="13"/>
          <w:b w:val="1"/>
          <w:bCs w:val="1"/>
          <w:color w:val="auto"/>
        </w:rPr>
        <w:t>Amended ABL Credit Agreement</w:t>
      </w:r>
      <w:r>
        <w:rPr>
          <w:rFonts w:ascii="Arial" w:cs="Arial" w:eastAsia="Arial" w:hAnsi="Arial"/>
          <w:sz w:val="13"/>
          <w:szCs w:val="13"/>
          <w:color w:val="auto"/>
        </w:rPr>
        <w:t>”), among the Borrowers, Holdings, the Lenders and Fronting Banks party thereto from time to time and Bank of America, N.A. as Agent;</w:t>
      </w:r>
    </w:p>
    <w:p>
      <w:pPr>
        <w:spacing w:after="0" w:line="163" w:lineRule="exact"/>
        <w:rPr>
          <w:sz w:val="20"/>
          <w:szCs w:val="20"/>
          <w:color w:val="auto"/>
        </w:rPr>
      </w:pPr>
    </w:p>
    <w:p>
      <w:pPr>
        <w:jc w:val="both"/>
        <w:ind w:firstLine="524"/>
        <w:spacing w:after="0" w:line="265"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pursuant to</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13.1.1(f)</w:t>
      </w:r>
      <w:r>
        <w:rPr>
          <w:rFonts w:ascii="Arial" w:cs="Arial" w:eastAsia="Arial" w:hAnsi="Arial"/>
          <w:sz w:val="13"/>
          <w:szCs w:val="13"/>
          <w:b w:val="1"/>
          <w:bCs w:val="1"/>
          <w:color w:val="auto"/>
        </w:rPr>
        <w:t xml:space="preserve"> </w:t>
      </w:r>
      <w:r>
        <w:rPr>
          <w:rFonts w:ascii="Arial" w:cs="Arial" w:eastAsia="Arial" w:hAnsi="Arial"/>
          <w:sz w:val="13"/>
          <w:szCs w:val="13"/>
          <w:color w:val="auto"/>
        </w:rPr>
        <w:t>of the Existing ABL Credit Agreement, the Agent and the Administrative Borrower have jointly identified certain obvious errors or errors or</w:t>
      </w:r>
      <w:r>
        <w:rPr>
          <w:rFonts w:ascii="Arial" w:cs="Arial" w:eastAsia="Arial" w:hAnsi="Arial"/>
          <w:sz w:val="13"/>
          <w:szCs w:val="13"/>
          <w:b w:val="1"/>
          <w:bCs w:val="1"/>
          <w:color w:val="auto"/>
        </w:rPr>
        <w:t xml:space="preserve"> </w:t>
      </w:r>
      <w:r>
        <w:rPr>
          <w:rFonts w:ascii="Arial" w:cs="Arial" w:eastAsia="Arial" w:hAnsi="Arial"/>
          <w:sz w:val="13"/>
          <w:szCs w:val="13"/>
          <w:color w:val="auto"/>
        </w:rPr>
        <w:t>omissions of a technical nature in certain provisions of the Existing ABL Credit Agreement and hereby agree to amend such provisions as described, and on the terms set forth, herein; and</w:t>
      </w:r>
    </w:p>
    <w:p>
      <w:pPr>
        <w:spacing w:after="0" w:line="151" w:lineRule="exact"/>
        <w:rPr>
          <w:sz w:val="20"/>
          <w:szCs w:val="20"/>
          <w:color w:val="auto"/>
        </w:rPr>
      </w:pPr>
    </w:p>
    <w:p>
      <w:pPr>
        <w:jc w:val="both"/>
        <w:ind w:firstLine="524"/>
        <w:spacing w:after="0" w:line="265"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this Amendment shall become effective without any further action or consent of any other party to any Loan Document if this Amendment is not objected to in writing by the</w:t>
      </w:r>
      <w:r>
        <w:rPr>
          <w:rFonts w:ascii="Arial" w:cs="Arial" w:eastAsia="Arial" w:hAnsi="Arial"/>
          <w:sz w:val="13"/>
          <w:szCs w:val="13"/>
          <w:b w:val="1"/>
          <w:bCs w:val="1"/>
          <w:color w:val="auto"/>
        </w:rPr>
        <w:t xml:space="preserve"> </w:t>
      </w:r>
      <w:r>
        <w:rPr>
          <w:rFonts w:ascii="Arial" w:cs="Arial" w:eastAsia="Arial" w:hAnsi="Arial"/>
          <w:sz w:val="13"/>
          <w:szCs w:val="13"/>
          <w:color w:val="auto"/>
        </w:rPr>
        <w:t>Required Lenders to the Agent within five (5) Business Days following receipt of notice hereof.</w:t>
      </w:r>
    </w:p>
    <w:p>
      <w:pPr>
        <w:spacing w:after="0" w:line="151" w:lineRule="exact"/>
        <w:rPr>
          <w:sz w:val="20"/>
          <w:szCs w:val="20"/>
          <w:color w:val="auto"/>
        </w:rPr>
      </w:pPr>
    </w:p>
    <w:p>
      <w:pPr>
        <w:jc w:val="both"/>
        <w:ind w:firstLine="524"/>
        <w:spacing w:after="0" w:line="265" w:lineRule="auto"/>
        <w:rPr>
          <w:sz w:val="20"/>
          <w:szCs w:val="20"/>
          <w:color w:val="auto"/>
        </w:rPr>
      </w:pPr>
      <w:r>
        <w:rPr>
          <w:rFonts w:ascii="Arial" w:cs="Arial" w:eastAsia="Arial" w:hAnsi="Arial"/>
          <w:sz w:val="13"/>
          <w:szCs w:val="13"/>
          <w:b w:val="1"/>
          <w:bCs w:val="1"/>
          <w:color w:val="auto"/>
        </w:rPr>
        <w:t>NOW</w:t>
      </w:r>
      <w:r>
        <w:rPr>
          <w:rFonts w:ascii="Arial" w:cs="Arial" w:eastAsia="Arial" w:hAnsi="Arial"/>
          <w:sz w:val="13"/>
          <w:szCs w:val="13"/>
          <w:color w:val="auto"/>
        </w:rPr>
        <w:t>,</w:t>
      </w:r>
      <w:r>
        <w:rPr>
          <w:rFonts w:ascii="Arial" w:cs="Arial" w:eastAsia="Arial" w:hAnsi="Arial"/>
          <w:sz w:val="13"/>
          <w:szCs w:val="13"/>
          <w:b w:val="1"/>
          <w:bCs w:val="1"/>
          <w:color w:val="auto"/>
        </w:rPr>
        <w:t xml:space="preserve"> THEREFORE</w:t>
      </w:r>
      <w:r>
        <w:rPr>
          <w:rFonts w:ascii="Arial" w:cs="Arial" w:eastAsia="Arial" w:hAnsi="Arial"/>
          <w:sz w:val="13"/>
          <w:szCs w:val="13"/>
          <w:color w:val="auto"/>
        </w:rPr>
        <w:t>, in consideration of the covenants and agreements contained herein, as well as other good and valuable consideration, the receipt and sufficiency of which are</w:t>
      </w:r>
      <w:r>
        <w:rPr>
          <w:rFonts w:ascii="Arial" w:cs="Arial" w:eastAsia="Arial" w:hAnsi="Arial"/>
          <w:sz w:val="13"/>
          <w:szCs w:val="13"/>
          <w:b w:val="1"/>
          <w:bCs w:val="1"/>
          <w:color w:val="auto"/>
        </w:rPr>
        <w:t xml:space="preserve"> </w:t>
      </w:r>
      <w:r>
        <w:rPr>
          <w:rFonts w:ascii="Arial" w:cs="Arial" w:eastAsia="Arial" w:hAnsi="Arial"/>
          <w:sz w:val="13"/>
          <w:szCs w:val="13"/>
          <w:color w:val="auto"/>
        </w:rPr>
        <w:t>hereby acknowledged, the parties hereto agree as follows:</w:t>
      </w:r>
    </w:p>
    <w:p>
      <w:pPr>
        <w:spacing w:after="0" w:line="167" w:lineRule="exact"/>
        <w:rPr>
          <w:sz w:val="20"/>
          <w:szCs w:val="20"/>
          <w:color w:val="auto"/>
        </w:rPr>
      </w:pPr>
    </w:p>
    <w:p>
      <w:pPr>
        <w:jc w:val="both"/>
        <w:ind w:firstLine="87"/>
        <w:spacing w:after="0" w:line="239" w:lineRule="auto"/>
        <w:rPr>
          <w:sz w:val="20"/>
          <w:szCs w:val="20"/>
          <w:color w:val="auto"/>
        </w:rPr>
      </w:pPr>
      <w:r>
        <w:rPr>
          <w:rFonts w:ascii="Arial" w:cs="Arial" w:eastAsia="Arial" w:hAnsi="Arial"/>
          <w:sz w:val="13"/>
          <w:szCs w:val="13"/>
          <w:u w:val="single" w:color="auto"/>
          <w:color w:val="auto"/>
        </w:rPr>
        <w:t>Section 1. Defined Terms</w:t>
      </w:r>
      <w:r>
        <w:rPr>
          <w:rFonts w:ascii="Arial" w:cs="Arial" w:eastAsia="Arial" w:hAnsi="Arial"/>
          <w:sz w:val="13"/>
          <w:szCs w:val="13"/>
          <w:color w:val="auto"/>
        </w:rPr>
        <w:t>. Capitalized terms used but not defined herein (including in the introductory paragraph hereof and the recitals hereto) shall have the meanings assigned to such terms in the Existing ABL Credit Agreement.</w:t>
      </w:r>
    </w:p>
    <w:p>
      <w:pPr>
        <w:spacing w:after="0" w:line="183"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Section 2. Amended ABL Credit Agreement</w:t>
      </w:r>
      <w:r>
        <w:rPr>
          <w:rFonts w:ascii="Arial" w:cs="Arial" w:eastAsia="Arial" w:hAnsi="Arial"/>
          <w:sz w:val="13"/>
          <w:szCs w:val="13"/>
          <w:color w:val="auto"/>
        </w:rPr>
        <w:t>.</w:t>
      </w:r>
    </w:p>
    <w:p>
      <w:pPr>
        <w:spacing w:after="0" w:line="189" w:lineRule="exact"/>
        <w:rPr>
          <w:sz w:val="20"/>
          <w:szCs w:val="20"/>
          <w:color w:val="auto"/>
        </w:rPr>
      </w:pPr>
    </w:p>
    <w:p>
      <w:pPr>
        <w:ind w:left="540"/>
        <w:spacing w:after="0"/>
        <w:rPr>
          <w:sz w:val="20"/>
          <w:szCs w:val="20"/>
          <w:color w:val="auto"/>
        </w:rPr>
      </w:pPr>
      <w:r>
        <w:rPr>
          <w:rFonts w:ascii="Arial" w:cs="Arial" w:eastAsia="Arial" w:hAnsi="Arial"/>
          <w:sz w:val="13"/>
          <w:szCs w:val="13"/>
          <w:color w:val="auto"/>
        </w:rPr>
        <w:t>Subject to the occurrence of the First Amendment Effective Date, each of the Loan Parties and the Agent agree that the Existing ABL Credit Agreement is hereby amended as follows:</w:t>
      </w:r>
    </w:p>
    <w:p>
      <w:pPr>
        <w:spacing w:after="0" w:line="386" w:lineRule="exact"/>
        <w:rPr>
          <w:sz w:val="20"/>
          <w:szCs w:val="20"/>
          <w:color w:val="auto"/>
        </w:rPr>
      </w:pPr>
    </w:p>
    <w:p>
      <w:pPr>
        <w:ind w:left="540" w:firstLine="713"/>
        <w:spacing w:after="0" w:line="239" w:lineRule="auto"/>
        <w:tabs>
          <w:tab w:leader="none" w:pos="1597" w:val="left"/>
        </w:tabs>
        <w:numPr>
          <w:ilvl w:val="0"/>
          <w:numId w:val="46"/>
        </w:numPr>
        <w:rPr>
          <w:rFonts w:ascii="Arial" w:cs="Arial" w:eastAsia="Arial" w:hAnsi="Arial"/>
          <w:sz w:val="13"/>
          <w:szCs w:val="13"/>
          <w:color w:val="auto"/>
        </w:rPr>
      </w:pPr>
      <w:r>
        <w:rPr>
          <w:rFonts w:ascii="Arial" w:cs="Arial" w:eastAsia="Arial" w:hAnsi="Arial"/>
          <w:sz w:val="13"/>
          <w:szCs w:val="13"/>
          <w:color w:val="auto"/>
        </w:rPr>
        <w:t xml:space="preserve">The definition of “Canadian Borrowing Base” appearing in </w:t>
      </w:r>
      <w:r>
        <w:rPr>
          <w:rFonts w:ascii="Arial" w:cs="Arial" w:eastAsia="Arial" w:hAnsi="Arial"/>
          <w:sz w:val="13"/>
          <w:szCs w:val="13"/>
          <w:u w:val="single" w:color="auto"/>
          <w:color w:val="auto"/>
        </w:rPr>
        <w:t>Section 1.1</w:t>
      </w:r>
      <w:r>
        <w:rPr>
          <w:rFonts w:ascii="Arial" w:cs="Arial" w:eastAsia="Arial" w:hAnsi="Arial"/>
          <w:sz w:val="13"/>
          <w:szCs w:val="13"/>
          <w:color w:val="auto"/>
        </w:rPr>
        <w:t xml:space="preserve"> of the Existing ABL Credit Agreement is hereby amended by replacing any references to “any Canadian Loan Party” or “any Canadian Loan Parties” in such definition with a reference to “the Canadian Loan Parties”.</w:t>
      </w:r>
    </w:p>
    <w:p>
      <w:pPr>
        <w:spacing w:after="0" w:line="182" w:lineRule="exact"/>
        <w:rPr>
          <w:rFonts w:ascii="Arial" w:cs="Arial" w:eastAsia="Arial" w:hAnsi="Arial"/>
          <w:sz w:val="13"/>
          <w:szCs w:val="13"/>
          <w:color w:val="auto"/>
        </w:rPr>
      </w:pPr>
    </w:p>
    <w:p>
      <w:pPr>
        <w:ind w:left="540" w:firstLine="713"/>
        <w:spacing w:after="0" w:line="239" w:lineRule="auto"/>
        <w:tabs>
          <w:tab w:leader="none" w:pos="1575" w:val="left"/>
        </w:tabs>
        <w:numPr>
          <w:ilvl w:val="0"/>
          <w:numId w:val="46"/>
        </w:numPr>
        <w:rPr>
          <w:rFonts w:ascii="Arial" w:cs="Arial" w:eastAsia="Arial" w:hAnsi="Arial"/>
          <w:sz w:val="13"/>
          <w:szCs w:val="13"/>
          <w:color w:val="auto"/>
        </w:rPr>
      </w:pPr>
      <w:r>
        <w:rPr>
          <w:rFonts w:ascii="Arial" w:cs="Arial" w:eastAsia="Arial" w:hAnsi="Arial"/>
          <w:sz w:val="13"/>
          <w:szCs w:val="13"/>
          <w:color w:val="auto"/>
        </w:rPr>
        <w:t xml:space="preserve">The definition of “UK Borrowing Base” appearing in </w:t>
      </w:r>
      <w:r>
        <w:rPr>
          <w:rFonts w:ascii="Arial" w:cs="Arial" w:eastAsia="Arial" w:hAnsi="Arial"/>
          <w:sz w:val="13"/>
          <w:szCs w:val="13"/>
          <w:u w:val="single" w:color="auto"/>
          <w:color w:val="auto"/>
        </w:rPr>
        <w:t>Section 1.1</w:t>
      </w:r>
      <w:r>
        <w:rPr>
          <w:rFonts w:ascii="Arial" w:cs="Arial" w:eastAsia="Arial" w:hAnsi="Arial"/>
          <w:sz w:val="13"/>
          <w:szCs w:val="13"/>
          <w:color w:val="auto"/>
        </w:rPr>
        <w:t xml:space="preserve"> of the Existing ABL Credit Agreement is hereby amended by replacing any references to “any UK Loan Party” or “any UK Loan Parties” in such definition with a reference to “the UK Loan Parties”.</w:t>
      </w:r>
    </w:p>
    <w:p>
      <w:pPr>
        <w:spacing w:after="0" w:line="182" w:lineRule="exact"/>
        <w:rPr>
          <w:rFonts w:ascii="Arial" w:cs="Arial" w:eastAsia="Arial" w:hAnsi="Arial"/>
          <w:sz w:val="13"/>
          <w:szCs w:val="13"/>
          <w:color w:val="auto"/>
        </w:rPr>
      </w:pPr>
    </w:p>
    <w:p>
      <w:pPr>
        <w:ind w:left="540" w:firstLine="713"/>
        <w:spacing w:after="0" w:line="239" w:lineRule="auto"/>
        <w:tabs>
          <w:tab w:leader="none" w:pos="1568" w:val="left"/>
        </w:tabs>
        <w:numPr>
          <w:ilvl w:val="0"/>
          <w:numId w:val="46"/>
        </w:numPr>
        <w:rPr>
          <w:rFonts w:ascii="Arial" w:cs="Arial" w:eastAsia="Arial" w:hAnsi="Arial"/>
          <w:sz w:val="13"/>
          <w:szCs w:val="13"/>
          <w:color w:val="auto"/>
        </w:rPr>
      </w:pPr>
      <w:r>
        <w:rPr>
          <w:rFonts w:ascii="Arial" w:cs="Arial" w:eastAsia="Arial" w:hAnsi="Arial"/>
          <w:sz w:val="13"/>
          <w:szCs w:val="13"/>
          <w:color w:val="auto"/>
        </w:rPr>
        <w:t xml:space="preserve">The definition of “US Borrowing Base” appearing in </w:t>
      </w:r>
      <w:r>
        <w:rPr>
          <w:rFonts w:ascii="Arial" w:cs="Arial" w:eastAsia="Arial" w:hAnsi="Arial"/>
          <w:sz w:val="13"/>
          <w:szCs w:val="13"/>
          <w:u w:val="single" w:color="auto"/>
          <w:color w:val="auto"/>
        </w:rPr>
        <w:t>Section 1.1</w:t>
      </w:r>
      <w:r>
        <w:rPr>
          <w:rFonts w:ascii="Arial" w:cs="Arial" w:eastAsia="Arial" w:hAnsi="Arial"/>
          <w:sz w:val="13"/>
          <w:szCs w:val="13"/>
          <w:color w:val="auto"/>
        </w:rPr>
        <w:t xml:space="preserve"> of the Existing ABL Credit Agreement is hereby amended by replacing any references to “any US Loan Party” or “any US Loan Parties” in such definition with a reference to “the US Loan Parties”.</w:t>
      </w:r>
    </w:p>
    <w:p>
      <w:pPr>
        <w:spacing w:after="0" w:line="183"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Section 3. Conditions to Effectiveness of Amendment</w:t>
      </w:r>
      <w:r>
        <w:rPr>
          <w:rFonts w:ascii="Arial" w:cs="Arial" w:eastAsia="Arial" w:hAnsi="Arial"/>
          <w:sz w:val="13"/>
          <w:szCs w:val="13"/>
          <w:color w:val="auto"/>
        </w:rPr>
        <w:t>.</w:t>
      </w:r>
    </w:p>
    <w:p>
      <w:pPr>
        <w:spacing w:after="0" w:line="189" w:lineRule="exact"/>
        <w:rPr>
          <w:sz w:val="20"/>
          <w:szCs w:val="20"/>
          <w:color w:val="auto"/>
        </w:rPr>
      </w:pPr>
    </w:p>
    <w:p>
      <w:pPr>
        <w:jc w:val="both"/>
        <w:ind w:firstLine="524"/>
        <w:spacing w:after="0" w:line="232" w:lineRule="auto"/>
        <w:rPr>
          <w:sz w:val="20"/>
          <w:szCs w:val="20"/>
          <w:color w:val="auto"/>
        </w:rPr>
      </w:pPr>
      <w:r>
        <w:rPr>
          <w:rFonts w:ascii="Arial" w:cs="Arial" w:eastAsia="Arial" w:hAnsi="Arial"/>
          <w:sz w:val="13"/>
          <w:szCs w:val="13"/>
          <w:color w:val="auto"/>
        </w:rPr>
        <w:t>The effectiveness of this Amendment is subject to (a) the Agent executing this Amendment and receiving a duly executed counterpart of this Amendment from the Administrative Borrower, and this Amendment shall not have been objected to in writing by the Required Lenders to the Agent within five (5) Business Days following receipt of notice hereof (such date being the “</w:t>
      </w:r>
      <w:r>
        <w:rPr>
          <w:rFonts w:ascii="Arial" w:cs="Arial" w:eastAsia="Arial" w:hAnsi="Arial"/>
          <w:sz w:val="13"/>
          <w:szCs w:val="13"/>
          <w:b w:val="1"/>
          <w:bCs w:val="1"/>
          <w:color w:val="auto"/>
        </w:rPr>
        <w:t>First Amendment Effective Date</w:t>
      </w:r>
      <w:r>
        <w:rPr>
          <w:rFonts w:ascii="Arial" w:cs="Arial" w:eastAsia="Arial" w:hAnsi="Arial"/>
          <w:sz w:val="13"/>
          <w:szCs w:val="13"/>
          <w:color w:val="auto"/>
        </w:rPr>
        <w:t>”) and (b) all reasonable out-of-pocket expenses required to be paid on the First Amendment Effective Date pursuant to the Existing Credit Agreement, to the extent invoiced at least two Business Days prior to the First Amendment Effective Date (except as otherwise agreed to by the Borrowers) having been paid prior to or substantially concurrently with the effectiveness of this Amendment.</w:t>
      </w:r>
    </w:p>
    <w:p>
      <w:pPr>
        <w:spacing w:after="0" w:line="184"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Section 4. Effect on the Loan Documents</w:t>
      </w:r>
      <w:r>
        <w:rPr>
          <w:rFonts w:ascii="Arial" w:cs="Arial" w:eastAsia="Arial" w:hAnsi="Arial"/>
          <w:sz w:val="13"/>
          <w:szCs w:val="13"/>
          <w:color w:val="auto"/>
        </w:rPr>
        <w:t>.</w:t>
      </w:r>
    </w:p>
    <w:p>
      <w:pPr>
        <w:spacing w:after="0" w:line="189" w:lineRule="exact"/>
        <w:rPr>
          <w:sz w:val="20"/>
          <w:szCs w:val="20"/>
          <w:color w:val="auto"/>
        </w:rPr>
      </w:pPr>
    </w:p>
    <w:p>
      <w:pPr>
        <w:jc w:val="both"/>
        <w:ind w:left="80" w:firstLine="845"/>
        <w:spacing w:after="0" w:line="235" w:lineRule="auto"/>
        <w:tabs>
          <w:tab w:leader="none" w:pos="1269" w:val="left"/>
        </w:tabs>
        <w:numPr>
          <w:ilvl w:val="0"/>
          <w:numId w:val="47"/>
        </w:numPr>
        <w:rPr>
          <w:rFonts w:ascii="Arial" w:cs="Arial" w:eastAsia="Arial" w:hAnsi="Arial"/>
          <w:sz w:val="13"/>
          <w:szCs w:val="13"/>
          <w:color w:val="auto"/>
        </w:rPr>
      </w:pPr>
      <w:r>
        <w:rPr>
          <w:rFonts w:ascii="Arial" w:cs="Arial" w:eastAsia="Arial" w:hAnsi="Arial"/>
          <w:sz w:val="13"/>
          <w:szCs w:val="13"/>
          <w:color w:val="auto"/>
        </w:rPr>
        <w:t>As of the First Amendment Effective Date, each reference in the Amended ABL Credit Agreement to “this Agreement,” “hereunder,” “hereof,” “herein,” or words of like import, and each reference in the other Loan Documents to the “Credit Agreement” (including, without limitation, by means of words like “thereunder”, “thereof” and words of like import), shall mean and be a reference to the Amended ABL Credit Agreement.</w:t>
      </w:r>
    </w:p>
    <w:p>
      <w:pPr>
        <w:sectPr>
          <w:pgSz w:w="11900" w:h="16838" w:orient="portrait"/>
          <w:cols w:equalWidth="0" w:num="1">
            <w:col w:w="11280"/>
          </w:cols>
          <w:pgMar w:left="300" w:top="125" w:right="319" w:bottom="1440" w:gutter="0" w:footer="0" w:header="0"/>
        </w:sectPr>
      </w:pPr>
    </w:p>
    <w:bookmarkStart w:id="133" w:name="page134"/>
    <w:bookmarkEnd w:id="133"/>
    <w:p>
      <w:pPr>
        <w:jc w:val="right"/>
        <w:spacing w:after="0"/>
        <w:rPr>
          <w:sz w:val="20"/>
          <w:szCs w:val="20"/>
          <w:color w:val="auto"/>
        </w:rPr>
      </w:pPr>
      <w:r>
        <w:rPr>
          <w:rFonts w:ascii="Arial" w:cs="Arial" w:eastAsia="Arial" w:hAnsi="Arial"/>
          <w:sz w:val="13"/>
          <w:szCs w:val="13"/>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hanging="335"/>
        <w:spacing w:after="0"/>
        <w:tabs>
          <w:tab w:leader="none" w:pos="1260" w:val="left"/>
        </w:tabs>
        <w:numPr>
          <w:ilvl w:val="0"/>
          <w:numId w:val="48"/>
        </w:numPr>
        <w:rPr>
          <w:rFonts w:ascii="Arial" w:cs="Arial" w:eastAsia="Arial" w:hAnsi="Arial"/>
          <w:sz w:val="13"/>
          <w:szCs w:val="13"/>
          <w:color w:val="auto"/>
        </w:rPr>
      </w:pPr>
      <w:r>
        <w:rPr>
          <w:rFonts w:ascii="Arial" w:cs="Arial" w:eastAsia="Arial" w:hAnsi="Arial"/>
          <w:sz w:val="13"/>
          <w:szCs w:val="13"/>
          <w:color w:val="auto"/>
        </w:rPr>
        <w:t>Except as specifically amended herein, all Loan Documents shall continue to be in full force and effect and are hereby in all respects ratified and confirmed.</w:t>
      </w:r>
    </w:p>
    <w:p>
      <w:pPr>
        <w:spacing w:after="0" w:line="189" w:lineRule="exact"/>
        <w:rPr>
          <w:rFonts w:ascii="Arial" w:cs="Arial" w:eastAsia="Arial" w:hAnsi="Arial"/>
          <w:sz w:val="13"/>
          <w:szCs w:val="13"/>
          <w:color w:val="auto"/>
        </w:rPr>
      </w:pPr>
    </w:p>
    <w:p>
      <w:pPr>
        <w:ind w:left="80" w:firstLine="845"/>
        <w:spacing w:after="0" w:line="239" w:lineRule="auto"/>
        <w:tabs>
          <w:tab w:leader="none" w:pos="1273"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execution, delivery and effectiveness of this Amendment shall not operate as a waiver of any right, power or remedy of any Lender, any Fronting Bank or the Agent under any of the Loan Documents, nor constitute a waiver of any provision of the Loan Documents, except as expressly contemplated hereby.</w:t>
      </w:r>
    </w:p>
    <w:p>
      <w:pPr>
        <w:spacing w:after="0" w:line="182" w:lineRule="exact"/>
        <w:rPr>
          <w:rFonts w:ascii="Arial" w:cs="Arial" w:eastAsia="Arial" w:hAnsi="Arial"/>
          <w:sz w:val="13"/>
          <w:szCs w:val="13"/>
          <w:color w:val="auto"/>
        </w:rPr>
      </w:pPr>
    </w:p>
    <w:p>
      <w:pPr>
        <w:ind w:left="80" w:firstLine="845"/>
        <w:spacing w:after="0" w:line="239" w:lineRule="auto"/>
        <w:tabs>
          <w:tab w:leader="none" w:pos="1288"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parties hereto acknowledge and agree that, on and after the First Amendment Effective Date, this Amendment shall constitute a Loan Document for all purposes of the Amended ABL Credit Agreement.</w:t>
      </w:r>
    </w:p>
    <w:p>
      <w:pPr>
        <w:spacing w:after="0" w:line="167" w:lineRule="exact"/>
        <w:rPr>
          <w:sz w:val="20"/>
          <w:szCs w:val="20"/>
          <w:color w:val="auto"/>
        </w:rPr>
      </w:pPr>
    </w:p>
    <w:p>
      <w:pPr>
        <w:ind w:firstLine="87"/>
        <w:spacing w:after="0" w:line="265" w:lineRule="auto"/>
        <w:rPr>
          <w:sz w:val="20"/>
          <w:szCs w:val="20"/>
          <w:color w:val="auto"/>
        </w:rPr>
      </w:pPr>
      <w:r>
        <w:rPr>
          <w:rFonts w:ascii="Arial" w:cs="Arial" w:eastAsia="Arial" w:hAnsi="Arial"/>
          <w:sz w:val="13"/>
          <w:szCs w:val="13"/>
          <w:u w:val="single" w:color="auto"/>
          <w:color w:val="auto"/>
        </w:rPr>
        <w:t>Section 5.</w:t>
      </w:r>
      <w:r>
        <w:rPr>
          <w:rFonts w:ascii="Arial" w:cs="Arial" w:eastAsia="Arial" w:hAnsi="Arial"/>
          <w:sz w:val="13"/>
          <w:szCs w:val="13"/>
          <w:color w:val="auto"/>
        </w:rPr>
        <w:t xml:space="preserve"> </w:t>
      </w:r>
      <w:r>
        <w:rPr>
          <w:rFonts w:ascii="Arial" w:cs="Arial" w:eastAsia="Arial" w:hAnsi="Arial"/>
          <w:sz w:val="13"/>
          <w:szCs w:val="13"/>
          <w:b w:val="1"/>
          <w:bCs w:val="1"/>
          <w:u w:val="single" w:color="auto"/>
          <w:color w:val="auto"/>
        </w:rPr>
        <w:t>GOVERNING LAW</w:t>
      </w:r>
      <w:r>
        <w:rPr>
          <w:rFonts w:ascii="Arial" w:cs="Arial" w:eastAsia="Arial" w:hAnsi="Arial"/>
          <w:sz w:val="13"/>
          <w:szCs w:val="13"/>
          <w:b w:val="1"/>
          <w:bCs w:val="1"/>
          <w:color w:val="auto"/>
        </w:rPr>
        <w:t>. THIS AMENDMENT AND ANY DISPUTE, CLAIM OR CONTROVERSY ARISING OUT OF OR RELATING TO THIS AMENDMENT (WHETHER ARISING IN</w:t>
      </w:r>
      <w:r>
        <w:rPr>
          <w:rFonts w:ascii="Arial" w:cs="Arial" w:eastAsia="Arial" w:hAnsi="Arial"/>
          <w:sz w:val="13"/>
          <w:szCs w:val="13"/>
          <w:color w:val="auto"/>
        </w:rPr>
        <w:t xml:space="preserve"> </w:t>
      </w:r>
      <w:r>
        <w:rPr>
          <w:rFonts w:ascii="Arial" w:cs="Arial" w:eastAsia="Arial" w:hAnsi="Arial"/>
          <w:sz w:val="13"/>
          <w:szCs w:val="13"/>
          <w:b w:val="1"/>
          <w:bCs w:val="1"/>
          <w:color w:val="auto"/>
        </w:rPr>
        <w:t>CONTRACT, TORT OR OTHERWISE) SHALL BE GOVERNED BY, AND CONSTRUED AND INTERPRETED IN ACCORDANCE WITH, THE LAW OF THE STATE OF NEW YORK.</w:t>
      </w:r>
    </w:p>
    <w:p>
      <w:pPr>
        <w:spacing w:after="0" w:line="167" w:lineRule="exact"/>
        <w:rPr>
          <w:sz w:val="20"/>
          <w:szCs w:val="20"/>
          <w:color w:val="auto"/>
        </w:rPr>
      </w:pPr>
    </w:p>
    <w:p>
      <w:pPr>
        <w:ind w:left="100"/>
        <w:spacing w:after="0"/>
        <w:rPr>
          <w:sz w:val="20"/>
          <w:szCs w:val="20"/>
          <w:color w:val="auto"/>
        </w:rPr>
      </w:pPr>
      <w:r>
        <w:rPr>
          <w:rFonts w:ascii="Arial" w:cs="Arial" w:eastAsia="Arial" w:hAnsi="Arial"/>
          <w:sz w:val="13"/>
          <w:szCs w:val="13"/>
          <w:u w:val="single" w:color="auto"/>
          <w:color w:val="auto"/>
        </w:rPr>
        <w:t>Section 6. Miscellaneous</w:t>
      </w:r>
      <w:r>
        <w:rPr>
          <w:rFonts w:ascii="Arial" w:cs="Arial" w:eastAsia="Arial" w:hAnsi="Arial"/>
          <w:sz w:val="13"/>
          <w:szCs w:val="13"/>
          <w:color w:val="auto"/>
        </w:rPr>
        <w:t>.</w:t>
      </w:r>
    </w:p>
    <w:p>
      <w:pPr>
        <w:spacing w:after="0" w:line="189" w:lineRule="exact"/>
        <w:rPr>
          <w:sz w:val="20"/>
          <w:szCs w:val="20"/>
          <w:color w:val="auto"/>
        </w:rPr>
      </w:pPr>
    </w:p>
    <w:p>
      <w:pPr>
        <w:ind w:left="80" w:firstLine="845"/>
        <w:spacing w:after="0" w:line="239" w:lineRule="auto"/>
        <w:tabs>
          <w:tab w:leader="none" w:pos="115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This Amendment is binding and enforceable as of the First Amendment Effective Date against each party hereto, the Lenders, the Fronting Banks and their respective successors and permitted assigns.</w:t>
      </w:r>
    </w:p>
    <w:p>
      <w:pPr>
        <w:spacing w:after="0" w:line="175" w:lineRule="exact"/>
        <w:rPr>
          <w:rFonts w:ascii="Arial" w:cs="Arial" w:eastAsia="Arial" w:hAnsi="Arial"/>
          <w:sz w:val="13"/>
          <w:szCs w:val="13"/>
          <w:color w:val="auto"/>
        </w:rPr>
      </w:pPr>
    </w:p>
    <w:p>
      <w:pPr>
        <w:ind w:left="1120" w:hanging="195"/>
        <w:spacing w:after="0"/>
        <w:tabs>
          <w:tab w:leader="none" w:pos="1120" w:val="left"/>
        </w:tabs>
        <w:numPr>
          <w:ilvl w:val="0"/>
          <w:numId w:val="49"/>
        </w:numPr>
        <w:rPr>
          <w:rFonts w:ascii="Arial" w:cs="Arial" w:eastAsia="Arial" w:hAnsi="Arial"/>
          <w:sz w:val="13"/>
          <w:szCs w:val="13"/>
          <w:color w:val="auto"/>
        </w:rPr>
      </w:pPr>
      <w:r>
        <w:rPr>
          <w:rFonts w:ascii="Arial" w:cs="Arial" w:eastAsia="Arial" w:hAnsi="Arial"/>
          <w:sz w:val="13"/>
          <w:szCs w:val="13"/>
          <w:color w:val="auto"/>
        </w:rPr>
        <w:t>Section headings used in this Agreement are for convenience of reference only and are not to affect the construction hereof or be taken into consideration in the interpretation</w:t>
      </w:r>
    </w:p>
    <w:p>
      <w:pPr>
        <w:ind w:left="80"/>
        <w:spacing w:after="0"/>
        <w:rPr>
          <w:rFonts w:ascii="Arial" w:cs="Arial" w:eastAsia="Arial" w:hAnsi="Arial"/>
          <w:sz w:val="13"/>
          <w:szCs w:val="13"/>
          <w:color w:val="auto"/>
        </w:rPr>
      </w:pPr>
      <w:r>
        <w:rPr>
          <w:rFonts w:ascii="Arial" w:cs="Arial" w:eastAsia="Arial" w:hAnsi="Arial"/>
          <w:sz w:val="13"/>
          <w:szCs w:val="13"/>
          <w:color w:val="auto"/>
        </w:rPr>
        <w:t>hereof.</w:t>
      </w:r>
    </w:p>
    <w:p>
      <w:pPr>
        <w:spacing w:after="0" w:line="175" w:lineRule="exact"/>
        <w:rPr>
          <w:rFonts w:ascii="Arial" w:cs="Arial" w:eastAsia="Arial" w:hAnsi="Arial"/>
          <w:sz w:val="13"/>
          <w:szCs w:val="13"/>
          <w:color w:val="auto"/>
        </w:rPr>
      </w:pPr>
    </w:p>
    <w:p>
      <w:pPr>
        <w:ind w:left="80" w:firstLine="845"/>
        <w:spacing w:after="0" w:line="261" w:lineRule="auto"/>
        <w:tabs>
          <w:tab w:leader="none" w:pos="1121" w:val="left"/>
        </w:tabs>
        <w:numPr>
          <w:ilvl w:val="0"/>
          <w:numId w:val="49"/>
        </w:numPr>
        <w:rPr>
          <w:rFonts w:ascii="Arial" w:cs="Arial" w:eastAsia="Arial" w:hAnsi="Arial"/>
          <w:sz w:val="13"/>
          <w:szCs w:val="13"/>
          <w:color w:val="auto"/>
        </w:rPr>
      </w:pPr>
      <w:r>
        <w:rPr>
          <w:rFonts w:ascii="Arial" w:cs="Arial" w:eastAsia="Arial" w:hAnsi="Arial"/>
          <w:sz w:val="13"/>
          <w:szCs w:val="13"/>
          <w:color w:val="auto"/>
        </w:rPr>
        <w:t xml:space="preserve">Each of the parties hereto hereby agrees that </w:t>
      </w:r>
      <w:r>
        <w:rPr>
          <w:rFonts w:ascii="Arial" w:cs="Arial" w:eastAsia="Arial" w:hAnsi="Arial"/>
          <w:sz w:val="13"/>
          <w:szCs w:val="13"/>
          <w:u w:val="single" w:color="auto"/>
          <w:color w:val="auto"/>
        </w:rPr>
        <w:t>Sections 13.6</w:t>
      </w:r>
      <w:r>
        <w:rPr>
          <w:rFonts w:ascii="Arial" w:cs="Arial" w:eastAsia="Arial" w:hAnsi="Arial"/>
          <w:sz w:val="13"/>
          <w:szCs w:val="13"/>
          <w:color w:val="auto"/>
        </w:rPr>
        <w:t xml:space="preserve">, </w:t>
      </w:r>
      <w:r>
        <w:rPr>
          <w:rFonts w:ascii="Arial" w:cs="Arial" w:eastAsia="Arial" w:hAnsi="Arial"/>
          <w:sz w:val="13"/>
          <w:szCs w:val="13"/>
          <w:u w:val="single" w:color="auto"/>
          <w:color w:val="auto"/>
        </w:rPr>
        <w:t>13.8</w:t>
      </w:r>
      <w:r>
        <w:rPr>
          <w:rFonts w:ascii="Arial" w:cs="Arial" w:eastAsia="Arial" w:hAnsi="Arial"/>
          <w:sz w:val="13"/>
          <w:szCs w:val="13"/>
          <w:color w:val="auto"/>
        </w:rPr>
        <w:t xml:space="preserve">, </w:t>
      </w:r>
      <w:r>
        <w:rPr>
          <w:rFonts w:ascii="Arial" w:cs="Arial" w:eastAsia="Arial" w:hAnsi="Arial"/>
          <w:sz w:val="13"/>
          <w:szCs w:val="13"/>
          <w:u w:val="single" w:color="auto"/>
          <w:color w:val="auto"/>
        </w:rPr>
        <w:t>13.14</w:t>
      </w:r>
      <w:r>
        <w:rPr>
          <w:rFonts w:ascii="Arial" w:cs="Arial" w:eastAsia="Arial" w:hAnsi="Arial"/>
          <w:sz w:val="13"/>
          <w:szCs w:val="13"/>
          <w:color w:val="auto"/>
        </w:rPr>
        <w:t xml:space="preserve">, </w:t>
      </w:r>
      <w:r>
        <w:rPr>
          <w:rFonts w:ascii="Arial" w:cs="Arial" w:eastAsia="Arial" w:hAnsi="Arial"/>
          <w:sz w:val="13"/>
          <w:szCs w:val="13"/>
          <w:u w:val="single" w:color="auto"/>
          <w:color w:val="auto"/>
        </w:rPr>
        <w:t>13.15</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13.16</w:t>
      </w:r>
      <w:r>
        <w:rPr>
          <w:rFonts w:ascii="Arial" w:cs="Arial" w:eastAsia="Arial" w:hAnsi="Arial"/>
          <w:sz w:val="13"/>
          <w:szCs w:val="13"/>
          <w:color w:val="auto"/>
        </w:rPr>
        <w:t xml:space="preserve"> of the Existing ABL Credit Agreement are incorporated by reference herein, </w:t>
      </w:r>
      <w:r>
        <w:rPr>
          <w:rFonts w:ascii="Arial" w:cs="Arial" w:eastAsia="Arial" w:hAnsi="Arial"/>
          <w:sz w:val="13"/>
          <w:szCs w:val="13"/>
          <w:i w:val="1"/>
          <w:iCs w:val="1"/>
          <w:color w:val="auto"/>
        </w:rPr>
        <w:t>mutatis</w:t>
      </w:r>
      <w:r>
        <w:rPr>
          <w:rFonts w:ascii="Arial" w:cs="Arial" w:eastAsia="Arial" w:hAnsi="Arial"/>
          <w:sz w:val="13"/>
          <w:szCs w:val="13"/>
          <w:color w:val="auto"/>
        </w:rPr>
        <w:t xml:space="preserve"> </w:t>
      </w:r>
      <w:r>
        <w:rPr>
          <w:rFonts w:ascii="Arial" w:cs="Arial" w:eastAsia="Arial" w:hAnsi="Arial"/>
          <w:sz w:val="13"/>
          <w:szCs w:val="13"/>
          <w:i w:val="1"/>
          <w:iCs w:val="1"/>
          <w:color w:val="auto"/>
        </w:rPr>
        <w:t>mutandis</w:t>
      </w:r>
      <w:r>
        <w:rPr>
          <w:rFonts w:ascii="Arial" w:cs="Arial" w:eastAsia="Arial" w:hAnsi="Arial"/>
          <w:sz w:val="13"/>
          <w:szCs w:val="13"/>
          <w:color w:val="auto"/>
        </w:rPr>
        <w:t>, and shall have the same force and effect with respect to this Amendment as if originally set forth herein.</w:t>
      </w:r>
    </w:p>
    <w:p>
      <w:pPr>
        <w:spacing w:after="0" w:line="169"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[SIGNATURE PAGES FOLLOW]</w:t>
      </w:r>
    </w:p>
    <w:p>
      <w:pPr>
        <w:sectPr>
          <w:pgSz w:w="11900" w:h="16838" w:orient="portrait"/>
          <w:cols w:equalWidth="0" w:num="1">
            <w:col w:w="11280"/>
          </w:cols>
          <w:pgMar w:left="300" w:top="125" w:right="319" w:bottom="1440" w:gutter="0" w:footer="0" w:header="0"/>
        </w:sectPr>
      </w:pPr>
    </w:p>
    <w:bookmarkStart w:id="134" w:name="page135"/>
    <w:bookmarkEnd w:id="134"/>
    <w:p>
      <w:pPr>
        <w:jc w:val="right"/>
        <w:spacing w:after="0"/>
        <w:rPr>
          <w:sz w:val="20"/>
          <w:szCs w:val="20"/>
          <w:color w:val="auto"/>
        </w:rPr>
      </w:pPr>
      <w:r>
        <w:rPr>
          <w:rFonts w:ascii="Arial" w:cs="Arial" w:eastAsia="Arial" w:hAnsi="Arial"/>
          <w:sz w:val="13"/>
          <w:szCs w:val="13"/>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520" w:firstLine="1145"/>
        <w:spacing w:after="0" w:line="247" w:lineRule="auto"/>
        <w:rPr>
          <w:sz w:val="20"/>
          <w:szCs w:val="20"/>
          <w:color w:val="auto"/>
        </w:rPr>
      </w:pPr>
      <w:r>
        <w:rPr>
          <w:rFonts w:ascii="Arial" w:cs="Arial" w:eastAsia="Arial" w:hAnsi="Arial"/>
          <w:sz w:val="13"/>
          <w:szCs w:val="13"/>
          <w:b w:val="1"/>
          <w:bCs w:val="1"/>
          <w:color w:val="2A2A2A"/>
        </w:rPr>
        <w:t xml:space="preserve">IN WITNESS WHEREOF, </w:t>
      </w:r>
      <w:r>
        <w:rPr>
          <w:rFonts w:ascii="Arial" w:cs="Arial" w:eastAsia="Arial" w:hAnsi="Arial"/>
          <w:sz w:val="13"/>
          <w:szCs w:val="13"/>
          <w:color w:val="2A2A2A"/>
        </w:rPr>
        <w:t>the parties hereto have caused this Amendment to be duly executed and delivered by</w:t>
      </w:r>
      <w:r>
        <w:rPr>
          <w:rFonts w:ascii="Arial" w:cs="Arial" w:eastAsia="Arial" w:hAnsi="Arial"/>
          <w:sz w:val="13"/>
          <w:szCs w:val="13"/>
          <w:b w:val="1"/>
          <w:bCs w:val="1"/>
          <w:color w:val="2A2A2A"/>
        </w:rPr>
        <w:t xml:space="preserve"> </w:t>
      </w:r>
      <w:r>
        <w:rPr>
          <w:rFonts w:ascii="Arial" w:cs="Arial" w:eastAsia="Arial" w:hAnsi="Arial"/>
          <w:sz w:val="13"/>
          <w:szCs w:val="13"/>
          <w:color w:val="3A3A3A"/>
        </w:rPr>
        <w:t>their</w:t>
      </w:r>
      <w:r>
        <w:rPr>
          <w:rFonts w:ascii="Arial" w:cs="Arial" w:eastAsia="Arial" w:hAnsi="Arial"/>
          <w:sz w:val="13"/>
          <w:szCs w:val="13"/>
          <w:b w:val="1"/>
          <w:bCs w:val="1"/>
          <w:color w:val="2A2A2A"/>
        </w:rPr>
        <w:t xml:space="preserve"> </w:t>
      </w:r>
      <w:r>
        <w:rPr>
          <w:rFonts w:ascii="Arial" w:cs="Arial" w:eastAsia="Arial" w:hAnsi="Arial"/>
          <w:sz w:val="13"/>
          <w:szCs w:val="13"/>
          <w:color w:val="181818"/>
        </w:rPr>
        <w:t>respective</w:t>
      </w:r>
      <w:r>
        <w:rPr>
          <w:rFonts w:ascii="Arial" w:cs="Arial" w:eastAsia="Arial" w:hAnsi="Arial"/>
          <w:sz w:val="13"/>
          <w:szCs w:val="13"/>
          <w:b w:val="1"/>
          <w:bCs w:val="1"/>
          <w:color w:val="2A2A2A"/>
        </w:rPr>
        <w:t xml:space="preserve"> </w:t>
      </w:r>
      <w:r>
        <w:rPr>
          <w:rFonts w:ascii="Arial" w:cs="Arial" w:eastAsia="Arial" w:hAnsi="Arial"/>
          <w:sz w:val="13"/>
          <w:szCs w:val="13"/>
          <w:color w:val="2A2A2A"/>
        </w:rPr>
        <w:t>proper and duly authorized officers or</w:t>
      </w:r>
      <w:r>
        <w:rPr>
          <w:rFonts w:ascii="Arial" w:cs="Arial" w:eastAsia="Arial" w:hAnsi="Arial"/>
          <w:sz w:val="13"/>
          <w:szCs w:val="13"/>
          <w:b w:val="1"/>
          <w:bCs w:val="1"/>
          <w:color w:val="2A2A2A"/>
        </w:rPr>
        <w:t xml:space="preserve"> </w:t>
      </w:r>
      <w:r>
        <w:rPr>
          <w:rFonts w:ascii="Arial" w:cs="Arial" w:eastAsia="Arial" w:hAnsi="Arial"/>
          <w:sz w:val="13"/>
          <w:szCs w:val="13"/>
          <w:color w:val="2A2A2A"/>
        </w:rPr>
        <w:t>representatives as of the day and year first above written.</w:t>
      </w:r>
    </w:p>
    <w:p>
      <w:pPr>
        <w:spacing w:after="0" w:line="200" w:lineRule="exact"/>
        <w:rPr>
          <w:sz w:val="20"/>
          <w:szCs w:val="20"/>
          <w:color w:val="auto"/>
        </w:rPr>
      </w:pPr>
    </w:p>
    <w:p>
      <w:pPr>
        <w:spacing w:after="0" w:line="344" w:lineRule="exact"/>
        <w:rPr>
          <w:sz w:val="20"/>
          <w:szCs w:val="20"/>
          <w:color w:val="auto"/>
        </w:rPr>
      </w:pPr>
    </w:p>
    <w:p>
      <w:pPr>
        <w:ind w:left="3180"/>
        <w:spacing w:after="0"/>
        <w:rPr>
          <w:sz w:val="20"/>
          <w:szCs w:val="20"/>
          <w:color w:val="auto"/>
        </w:rPr>
      </w:pPr>
      <w:r>
        <w:rPr>
          <w:rFonts w:ascii="Arial" w:cs="Arial" w:eastAsia="Arial" w:hAnsi="Arial"/>
          <w:sz w:val="13"/>
          <w:szCs w:val="13"/>
          <w:b w:val="1"/>
          <w:bCs w:val="1"/>
          <w:color w:val="2A2A2A"/>
        </w:rPr>
        <w:t>WILLIAMS SCOTSMAN INTERNATIONAL,</w:t>
      </w:r>
    </w:p>
    <w:p>
      <w:pPr>
        <w:spacing w:after="0" w:line="9" w:lineRule="exact"/>
        <w:rPr>
          <w:sz w:val="20"/>
          <w:szCs w:val="20"/>
          <w:color w:val="auto"/>
        </w:rPr>
      </w:pPr>
    </w:p>
    <w:p>
      <w:pPr>
        <w:ind w:left="3180"/>
        <w:spacing w:after="0"/>
        <w:rPr>
          <w:sz w:val="20"/>
          <w:szCs w:val="20"/>
          <w:color w:val="auto"/>
        </w:rPr>
      </w:pPr>
      <w:r>
        <w:rPr>
          <w:rFonts w:ascii="Arial" w:cs="Arial" w:eastAsia="Arial" w:hAnsi="Arial"/>
          <w:sz w:val="13"/>
          <w:szCs w:val="13"/>
          <w:b w:val="1"/>
          <w:bCs w:val="1"/>
          <w:color w:val="3A3A3A"/>
        </w:rPr>
        <w:t xml:space="preserve">INC., </w:t>
      </w:r>
      <w:r>
        <w:rPr>
          <w:rFonts w:ascii="Arial" w:cs="Arial" w:eastAsia="Arial" w:hAnsi="Arial"/>
          <w:sz w:val="13"/>
          <w:szCs w:val="13"/>
          <w:color w:val="2A2A2A"/>
        </w:rPr>
        <w:t>as Administrative Borrower</w:t>
      </w:r>
    </w:p>
    <w:p>
      <w:pPr>
        <w:spacing w:after="0" w:line="200" w:lineRule="exact"/>
        <w:rPr>
          <w:sz w:val="20"/>
          <w:szCs w:val="20"/>
          <w:color w:val="auto"/>
        </w:rPr>
      </w:pPr>
    </w:p>
    <w:p>
      <w:pPr>
        <w:spacing w:after="0" w:line="211" w:lineRule="exact"/>
        <w:rPr>
          <w:sz w:val="20"/>
          <w:szCs w:val="20"/>
          <w:color w:val="auto"/>
        </w:rPr>
      </w:pPr>
    </w:p>
    <w:p>
      <w:pPr>
        <w:ind w:left="6940"/>
        <w:spacing w:after="0"/>
        <w:rPr>
          <w:sz w:val="20"/>
          <w:szCs w:val="20"/>
          <w:color w:val="auto"/>
        </w:rPr>
      </w:pPr>
      <w:r>
        <w:rPr>
          <w:rFonts w:ascii="Arial" w:cs="Arial" w:eastAsia="Arial" w:hAnsi="Arial"/>
          <w:sz w:val="13"/>
          <w:szCs w:val="13"/>
          <w:b w:val="1"/>
          <w:bCs w:val="1"/>
          <w:color w:val="auto"/>
        </w:rPr>
        <w:t>WILLIAMS SCOTSMAN INTERNATIONAL,</w:t>
      </w:r>
    </w:p>
    <w:p>
      <w:pPr>
        <w:ind w:left="6940"/>
        <w:spacing w:after="0"/>
        <w:rPr>
          <w:sz w:val="20"/>
          <w:szCs w:val="20"/>
          <w:color w:val="auto"/>
        </w:rPr>
      </w:pPr>
      <w:r>
        <w:rPr>
          <w:rFonts w:ascii="Arial" w:cs="Arial" w:eastAsia="Arial" w:hAnsi="Arial"/>
          <w:sz w:val="13"/>
          <w:szCs w:val="13"/>
          <w:b w:val="1"/>
          <w:bCs w:val="1"/>
          <w:color w:val="auto"/>
        </w:rPr>
        <w:t>INC.</w:t>
      </w:r>
      <w:r>
        <w:rPr>
          <w:rFonts w:ascii="Arial" w:cs="Arial" w:eastAsia="Arial" w:hAnsi="Arial"/>
          <w:sz w:val="13"/>
          <w:szCs w:val="13"/>
          <w:color w:val="auto"/>
        </w:rPr>
        <w:t>, as Administrative Borrower</w:t>
      </w:r>
    </w:p>
    <w:p>
      <w:pPr>
        <w:spacing w:after="0" w:line="23" w:lineRule="exact"/>
        <w:rPr>
          <w:sz w:val="20"/>
          <w:szCs w:val="20"/>
          <w:color w:val="auto"/>
        </w:rPr>
      </w:pPr>
    </w:p>
    <w:p>
      <w:pPr>
        <w:ind w:left="6640"/>
        <w:spacing w:after="0"/>
        <w:tabs>
          <w:tab w:leader="none" w:pos="6920" w:val="left"/>
        </w:tabs>
        <w:rPr>
          <w:sz w:val="20"/>
          <w:szCs w:val="20"/>
          <w:color w:val="auto"/>
        </w:rPr>
      </w:pPr>
      <w:r>
        <w:rPr>
          <w:rFonts w:ascii="Arial" w:cs="Arial" w:eastAsia="Arial" w:hAnsi="Arial"/>
          <w:sz w:val="13"/>
          <w:szCs w:val="13"/>
          <w:color w:val="auto"/>
        </w:rPr>
        <w:t>By:</w:t>
        <w:tab/>
        <w:t xml:space="preserve">/s/ </w:t>
      </w:r>
      <w:r>
        <w:rPr>
          <w:rFonts w:ascii="Arial" w:cs="Arial" w:eastAsia="Arial" w:hAnsi="Arial"/>
          <w:sz w:val="14"/>
          <w:szCs w:val="14"/>
          <w:color w:val="auto"/>
        </w:rPr>
        <w:t>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8890</wp:posOffset>
            </wp:positionV>
            <wp:extent cx="276098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2">
                      <a:extLst>
                        <a:ext uri="{28A0092B-C50C-407E-A947-70E740481C1C}"/>
                      </a:extLst>
                    </a:blip>
                    <a:srcRect/>
                    <a:stretch>
                      <a:fillRect/>
                    </a:stretch>
                  </pic:blipFill>
                  <pic:spPr bwMode="auto">
                    <a:xfrm>
                      <a:off x="0" y="0"/>
                      <a:ext cx="2760980" cy="6985"/>
                    </a:xfrm>
                    <a:prstGeom prst="rect">
                      <a:avLst/>
                    </a:prstGeom>
                    <a:noFill/>
                  </pic:spPr>
                </pic:pic>
              </a:graphicData>
            </a:graphic>
          </wp:anchor>
        </w:drawing>
      </w:r>
    </w:p>
    <w:p>
      <w:pPr>
        <w:spacing w:after="0" w:line="18" w:lineRule="exact"/>
        <w:rPr>
          <w:sz w:val="20"/>
          <w:szCs w:val="20"/>
          <w:color w:val="auto"/>
        </w:rPr>
      </w:pPr>
    </w:p>
    <w:p>
      <w:pPr>
        <w:ind w:left="6940"/>
        <w:spacing w:after="0"/>
        <w:rPr>
          <w:sz w:val="20"/>
          <w:szCs w:val="20"/>
          <w:color w:val="auto"/>
        </w:rPr>
      </w:pPr>
      <w:r>
        <w:rPr>
          <w:rFonts w:ascii="Arial" w:cs="Arial" w:eastAsia="Arial" w:hAnsi="Arial"/>
          <w:sz w:val="13"/>
          <w:szCs w:val="13"/>
          <w:color w:val="auto"/>
        </w:rPr>
        <w:t>Timothy D. Boswell</w:t>
      </w:r>
    </w:p>
    <w:p>
      <w:pPr>
        <w:spacing w:after="0" w:line="11" w:lineRule="exact"/>
        <w:rPr>
          <w:sz w:val="20"/>
          <w:szCs w:val="20"/>
          <w:color w:val="auto"/>
        </w:rPr>
      </w:pPr>
    </w:p>
    <w:p>
      <w:pPr>
        <w:ind w:left="6940"/>
        <w:spacing w:after="0"/>
        <w:rPr>
          <w:sz w:val="20"/>
          <w:szCs w:val="20"/>
          <w:color w:val="auto"/>
        </w:rPr>
      </w:pPr>
      <w:r>
        <w:rPr>
          <w:rFonts w:ascii="Arial" w:cs="Arial" w:eastAsia="Arial" w:hAnsi="Arial"/>
          <w:sz w:val="13"/>
          <w:szCs w:val="13"/>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420"/>
        <w:spacing w:after="0"/>
        <w:rPr>
          <w:sz w:val="20"/>
          <w:szCs w:val="20"/>
          <w:color w:val="auto"/>
        </w:rPr>
      </w:pPr>
      <w:r>
        <w:rPr>
          <w:rFonts w:ascii="Arial" w:cs="Arial" w:eastAsia="Arial" w:hAnsi="Arial"/>
          <w:sz w:val="13"/>
          <w:szCs w:val="13"/>
          <w:color w:val="2A2A2A"/>
        </w:rPr>
        <w:t xml:space="preserve">[Signature Page to First Amendment to the </w:t>
      </w:r>
      <w:r>
        <w:rPr>
          <w:rFonts w:ascii="Arial" w:cs="Arial" w:eastAsia="Arial" w:hAnsi="Arial"/>
          <w:sz w:val="13"/>
          <w:szCs w:val="13"/>
          <w:color w:val="3A3A3A"/>
        </w:rPr>
        <w:t>ABL Credit Agreement]</w:t>
      </w:r>
    </w:p>
    <w:p>
      <w:pPr>
        <w:sectPr>
          <w:pgSz w:w="11900" w:h="16838" w:orient="portrait"/>
          <w:cols w:equalWidth="0" w:num="1">
            <w:col w:w="11280"/>
          </w:cols>
          <w:pgMar w:left="300" w:top="125" w:right="319" w:bottom="1440" w:gutter="0" w:footer="0" w:header="0"/>
        </w:sectPr>
      </w:pPr>
    </w:p>
    <w:bookmarkStart w:id="135" w:name="page136"/>
    <w:bookmarkEnd w:id="135"/>
    <w:p>
      <w:pPr>
        <w:jc w:val="right"/>
        <w:spacing w:after="0"/>
        <w:rPr>
          <w:sz w:val="20"/>
          <w:szCs w:val="20"/>
          <w:color w:val="auto"/>
        </w:rPr>
      </w:pPr>
      <w:r>
        <w:rPr>
          <w:rFonts w:ascii="Arial" w:cs="Arial" w:eastAsia="Arial" w:hAnsi="Arial"/>
          <w:sz w:val="13"/>
          <w:szCs w:val="13"/>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800"/>
        <w:spacing w:after="0"/>
        <w:rPr>
          <w:sz w:val="20"/>
          <w:szCs w:val="20"/>
          <w:color w:val="auto"/>
        </w:rPr>
      </w:pPr>
      <w:r>
        <w:rPr>
          <w:rFonts w:ascii="Arial" w:cs="Arial" w:eastAsia="Arial" w:hAnsi="Arial"/>
          <w:sz w:val="13"/>
          <w:szCs w:val="13"/>
          <w:b w:val="1"/>
          <w:bCs w:val="1"/>
          <w:u w:val="single" w:color="auto"/>
          <w:color w:val="auto"/>
        </w:rPr>
        <w:t>AGENT:</w:t>
      </w:r>
    </w:p>
    <w:p>
      <w:pPr>
        <w:ind w:left="5800"/>
        <w:spacing w:after="0"/>
        <w:rPr>
          <w:sz w:val="20"/>
          <w:szCs w:val="20"/>
          <w:color w:val="auto"/>
        </w:rPr>
      </w:pPr>
      <w:r>
        <w:rPr>
          <w:rFonts w:ascii="Arial" w:cs="Arial" w:eastAsia="Arial" w:hAnsi="Arial"/>
          <w:sz w:val="13"/>
          <w:szCs w:val="13"/>
          <w:b w:val="1"/>
          <w:bCs w:val="1"/>
          <w:u w:val="single" w:color="auto"/>
          <w:color w:val="auto"/>
        </w:rPr>
        <w:t xml:space="preserve">BANK OF AMERICA, N.A., </w:t>
      </w:r>
      <w:r>
        <w:rPr>
          <w:rFonts w:ascii="Arial" w:cs="Arial" w:eastAsia="Arial" w:hAnsi="Arial"/>
          <w:sz w:val="13"/>
          <w:szCs w:val="13"/>
          <w:u w:val="single" w:color="auto"/>
          <w:color w:val="auto"/>
        </w:rPr>
        <w:t>as Agent</w:t>
      </w:r>
    </w:p>
    <w:p>
      <w:pPr>
        <w:spacing w:after="0" w:line="23" w:lineRule="exact"/>
        <w:rPr>
          <w:sz w:val="20"/>
          <w:szCs w:val="20"/>
          <w:color w:val="auto"/>
        </w:rPr>
      </w:pPr>
    </w:p>
    <w:p>
      <w:pPr>
        <w:ind w:left="5480"/>
        <w:spacing w:after="0"/>
        <w:tabs>
          <w:tab w:leader="none" w:pos="578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 xml:space="preserve">/s/ </w:t>
      </w:r>
      <w:r>
        <w:rPr>
          <w:rFonts w:ascii="Arial" w:cs="Arial" w:eastAsia="Arial" w:hAnsi="Arial"/>
          <w:sz w:val="14"/>
          <w:szCs w:val="14"/>
          <w:color w:val="auto"/>
        </w:rPr>
        <w:t>GREGORY KRESS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3678555</wp:posOffset>
            </wp:positionH>
            <wp:positionV relativeFrom="paragraph">
              <wp:posOffset>1905</wp:posOffset>
            </wp:positionV>
            <wp:extent cx="276098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3">
                      <a:extLst>
                        <a:ext uri="{28A0092B-C50C-407E-A947-70E740481C1C}"/>
                      </a:extLst>
                    </a:blip>
                    <a:srcRect/>
                    <a:stretch>
                      <a:fillRect/>
                    </a:stretch>
                  </pic:blipFill>
                  <pic:spPr bwMode="auto">
                    <a:xfrm>
                      <a:off x="0" y="0"/>
                      <a:ext cx="2760980" cy="6985"/>
                    </a:xfrm>
                    <a:prstGeom prst="rect">
                      <a:avLst/>
                    </a:prstGeom>
                    <a:noFill/>
                  </pic:spPr>
                </pic:pic>
              </a:graphicData>
            </a:graphic>
          </wp:anchor>
        </w:drawing>
      </w:r>
    </w:p>
    <w:p>
      <w:pPr>
        <w:spacing w:after="0" w:line="6" w:lineRule="exact"/>
        <w:rPr>
          <w:sz w:val="20"/>
          <w:szCs w:val="20"/>
          <w:color w:val="auto"/>
        </w:rPr>
      </w:pPr>
    </w:p>
    <w:p>
      <w:pPr>
        <w:ind w:left="5800"/>
        <w:spacing w:after="0"/>
        <w:rPr>
          <w:sz w:val="20"/>
          <w:szCs w:val="20"/>
          <w:color w:val="auto"/>
        </w:rPr>
      </w:pPr>
      <w:r>
        <w:rPr>
          <w:rFonts w:ascii="Arial" w:cs="Arial" w:eastAsia="Arial" w:hAnsi="Arial"/>
          <w:sz w:val="13"/>
          <w:szCs w:val="13"/>
          <w:color w:val="auto"/>
        </w:rPr>
        <w:t>Gregory Kress</w:t>
      </w:r>
    </w:p>
    <w:p>
      <w:pPr>
        <w:spacing w:after="0" w:line="11" w:lineRule="exact"/>
        <w:rPr>
          <w:sz w:val="20"/>
          <w:szCs w:val="20"/>
          <w:color w:val="auto"/>
        </w:rPr>
      </w:pPr>
    </w:p>
    <w:p>
      <w:pPr>
        <w:ind w:left="5800"/>
        <w:spacing w:after="0"/>
        <w:rPr>
          <w:sz w:val="20"/>
          <w:szCs w:val="20"/>
          <w:color w:val="auto"/>
        </w:rPr>
      </w:pPr>
      <w:r>
        <w:rPr>
          <w:rFonts w:ascii="Arial" w:cs="Arial" w:eastAsia="Arial" w:hAnsi="Arial"/>
          <w:sz w:val="13"/>
          <w:szCs w:val="13"/>
          <w:i w:val="1"/>
          <w:iCs w:val="1"/>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520"/>
        <w:spacing w:after="0"/>
        <w:rPr>
          <w:sz w:val="20"/>
          <w:szCs w:val="20"/>
          <w:color w:val="auto"/>
        </w:rPr>
      </w:pPr>
      <w:r>
        <w:rPr>
          <w:rFonts w:ascii="Arial" w:cs="Arial" w:eastAsia="Arial" w:hAnsi="Arial"/>
          <w:sz w:val="13"/>
          <w:szCs w:val="13"/>
          <w:color w:val="2A2A2A"/>
        </w:rPr>
        <w:t xml:space="preserve">[Signature Page to First Amendment to the </w:t>
      </w:r>
      <w:r>
        <w:rPr>
          <w:rFonts w:ascii="Arial" w:cs="Arial" w:eastAsia="Arial" w:hAnsi="Arial"/>
          <w:sz w:val="13"/>
          <w:szCs w:val="13"/>
          <w:color w:val="3A3A3A"/>
        </w:rPr>
        <w:t>ABL Credit Agreement]</w:t>
      </w:r>
    </w:p>
    <w:p>
      <w:pPr>
        <w:sectPr>
          <w:pgSz w:w="11900" w:h="16838" w:orient="portrait"/>
          <w:cols w:equalWidth="0" w:num="1">
            <w:col w:w="10140"/>
          </w:cols>
          <w:pgMar w:left="1440" w:top="125" w:right="319" w:bottom="1440" w:gutter="0" w:footer="0" w:header="0"/>
        </w:sectPr>
      </w:pPr>
    </w:p>
    <w:bookmarkStart w:id="136" w:name="page137"/>
    <w:bookmarkEnd w:id="136"/>
    <w:p>
      <w:pPr>
        <w:jc w:val="right"/>
        <w:spacing w:after="0"/>
        <w:rPr>
          <w:sz w:val="20"/>
          <w:szCs w:val="20"/>
          <w:color w:val="auto"/>
        </w:rPr>
      </w:pPr>
      <w:r>
        <w:rPr>
          <w:rFonts w:ascii="Arial" w:cs="Arial" w:eastAsia="Arial" w:hAnsi="Arial"/>
          <w:sz w:val="13"/>
          <w:szCs w:val="13"/>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 xml:space="preserve">Subsidiaries of </w:t>
      </w:r>
      <w:r>
        <w:rPr>
          <w:rFonts w:ascii="Arial" w:cs="Arial" w:eastAsia="Arial" w:hAnsi="Arial"/>
          <w:sz w:val="13"/>
          <w:szCs w:val="13"/>
          <w:b w:val="1"/>
          <w:bCs w:val="1"/>
          <w:color w:val="333333"/>
        </w:rPr>
        <w:t>WillScot Mobile Mini Holdings Corp.</w:t>
      </w: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 following is a listing of Subsidiaries of </w:t>
      </w:r>
      <w:r>
        <w:rPr>
          <w:rFonts w:ascii="Arial" w:cs="Arial" w:eastAsia="Arial" w:hAnsi="Arial"/>
          <w:sz w:val="13"/>
          <w:szCs w:val="13"/>
          <w:color w:val="333333"/>
        </w:rPr>
        <w:t>WillScot Mobile Mini Holdings Corp.</w:t>
      </w:r>
      <w:r>
        <w:rPr>
          <w:rFonts w:ascii="Arial" w:cs="Arial" w:eastAsia="Arial" w:hAnsi="Arial"/>
          <w:sz w:val="13"/>
          <w:szCs w:val="13"/>
          <w:color w:val="auto"/>
        </w:rPr>
        <w:t>, including the name under which they do business and their jurisdictions of incorporation, as of December 31,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Company Name</w:t>
            </w:r>
          </w:p>
        </w:tc>
        <w:tc>
          <w:tcPr>
            <w:tcW w:w="6160" w:type="dxa"/>
            <w:vAlign w:val="bottom"/>
            <w:tcBorders>
              <w:bottom w:val="single" w:sz="8" w:color="auto"/>
            </w:tcBorders>
          </w:tcPr>
          <w:p>
            <w:pPr>
              <w:ind w:left="1440"/>
              <w:spacing w:after="0"/>
              <w:rPr>
                <w:sz w:val="20"/>
                <w:szCs w:val="20"/>
                <w:color w:val="auto"/>
              </w:rPr>
            </w:pPr>
            <w:r>
              <w:rPr>
                <w:rFonts w:ascii="Arial" w:cs="Arial" w:eastAsia="Arial" w:hAnsi="Arial"/>
                <w:sz w:val="13"/>
                <w:szCs w:val="13"/>
                <w:b w:val="1"/>
                <w:bCs w:val="1"/>
                <w:color w:val="auto"/>
              </w:rPr>
              <w:t>Jurisdiction of Incorporation</w:t>
            </w:r>
          </w:p>
        </w:tc>
      </w:tr>
      <w:tr>
        <w:trPr>
          <w:trHeight w:val="163"/>
        </w:trPr>
        <w:tc>
          <w:tcPr>
            <w:tcW w:w="4680" w:type="dxa"/>
            <w:vAlign w:val="bottom"/>
          </w:tcPr>
          <w:p>
            <w:pPr>
              <w:ind w:left="20"/>
              <w:spacing w:after="0"/>
              <w:rPr>
                <w:sz w:val="20"/>
                <w:szCs w:val="20"/>
                <w:color w:val="auto"/>
              </w:rPr>
            </w:pPr>
            <w:r>
              <w:rPr>
                <w:rFonts w:ascii="Arial" w:cs="Arial" w:eastAsia="Arial" w:hAnsi="Arial"/>
                <w:sz w:val="13"/>
                <w:szCs w:val="13"/>
                <w:color w:val="auto"/>
              </w:rPr>
              <w:t>Modular Space, LLC (f/k/a Modular Space Corporation)</w:t>
            </w:r>
          </w:p>
        </w:tc>
        <w:tc>
          <w:tcPr>
            <w:tcW w:w="6160" w:type="dxa"/>
            <w:vAlign w:val="bottom"/>
          </w:tcPr>
          <w:p>
            <w:pPr>
              <w:ind w:left="1440"/>
              <w:spacing w:after="0"/>
              <w:rPr>
                <w:sz w:val="20"/>
                <w:szCs w:val="20"/>
                <w:color w:val="auto"/>
              </w:rPr>
            </w:pPr>
            <w:r>
              <w:rPr>
                <w:rFonts w:ascii="Arial" w:cs="Arial" w:eastAsia="Arial" w:hAnsi="Arial"/>
                <w:sz w:val="13"/>
                <w:szCs w:val="13"/>
                <w:color w:val="auto"/>
              </w:rPr>
              <w:t>Delaware</w:t>
            </w:r>
          </w:p>
        </w:tc>
      </w:tr>
      <w:tr>
        <w:trPr>
          <w:trHeight w:val="175"/>
        </w:trPr>
        <w:tc>
          <w:tcPr>
            <w:tcW w:w="4680" w:type="dxa"/>
            <w:vAlign w:val="bottom"/>
          </w:tcPr>
          <w:p>
            <w:pPr>
              <w:ind w:left="20"/>
              <w:spacing w:after="0"/>
              <w:rPr>
                <w:sz w:val="20"/>
                <w:szCs w:val="20"/>
                <w:color w:val="auto"/>
              </w:rPr>
            </w:pPr>
            <w:r>
              <w:rPr>
                <w:rFonts w:ascii="Arial" w:cs="Arial" w:eastAsia="Arial" w:hAnsi="Arial"/>
                <w:sz w:val="13"/>
                <w:szCs w:val="13"/>
                <w:color w:val="auto"/>
              </w:rPr>
              <w:t>Resun ModSpace, LLC</w:t>
            </w:r>
          </w:p>
        </w:tc>
        <w:tc>
          <w:tcPr>
            <w:tcW w:w="6160" w:type="dxa"/>
            <w:vAlign w:val="bottom"/>
          </w:tcPr>
          <w:p>
            <w:pPr>
              <w:ind w:left="1440"/>
              <w:spacing w:after="0"/>
              <w:rPr>
                <w:sz w:val="20"/>
                <w:szCs w:val="20"/>
                <w:color w:val="auto"/>
              </w:rPr>
            </w:pPr>
            <w:r>
              <w:rPr>
                <w:rFonts w:ascii="Arial" w:cs="Arial" w:eastAsia="Arial" w:hAnsi="Arial"/>
                <w:sz w:val="13"/>
                <w:szCs w:val="13"/>
                <w:color w:val="auto"/>
              </w:rPr>
              <w:t>Delaware</w:t>
            </w:r>
          </w:p>
        </w:tc>
      </w:tr>
      <w:tr>
        <w:trPr>
          <w:trHeight w:val="175"/>
        </w:trPr>
        <w:tc>
          <w:tcPr>
            <w:tcW w:w="4680" w:type="dxa"/>
            <w:vAlign w:val="bottom"/>
          </w:tcPr>
          <w:p>
            <w:pPr>
              <w:ind w:left="20"/>
              <w:spacing w:after="0"/>
              <w:rPr>
                <w:sz w:val="20"/>
                <w:szCs w:val="20"/>
                <w:color w:val="auto"/>
              </w:rPr>
            </w:pPr>
            <w:r>
              <w:rPr>
                <w:rFonts w:ascii="Arial" w:cs="Arial" w:eastAsia="Arial" w:hAnsi="Arial"/>
                <w:sz w:val="13"/>
                <w:szCs w:val="13"/>
                <w:color w:val="auto"/>
              </w:rPr>
              <w:t>Williams Scotsman Holdings Corp.</w:t>
            </w:r>
          </w:p>
        </w:tc>
        <w:tc>
          <w:tcPr>
            <w:tcW w:w="6160" w:type="dxa"/>
            <w:vAlign w:val="bottom"/>
          </w:tcPr>
          <w:p>
            <w:pPr>
              <w:ind w:left="1440"/>
              <w:spacing w:after="0"/>
              <w:rPr>
                <w:sz w:val="20"/>
                <w:szCs w:val="20"/>
                <w:color w:val="auto"/>
              </w:rPr>
            </w:pPr>
            <w:r>
              <w:rPr>
                <w:rFonts w:ascii="Arial" w:cs="Arial" w:eastAsia="Arial" w:hAnsi="Arial"/>
                <w:sz w:val="13"/>
                <w:szCs w:val="13"/>
                <w:color w:val="auto"/>
              </w:rPr>
              <w:t>Delaware</w:t>
            </w:r>
          </w:p>
        </w:tc>
      </w:tr>
      <w:tr>
        <w:trPr>
          <w:trHeight w:val="175"/>
        </w:trPr>
        <w:tc>
          <w:tcPr>
            <w:tcW w:w="4680" w:type="dxa"/>
            <w:vAlign w:val="bottom"/>
          </w:tcPr>
          <w:p>
            <w:pPr>
              <w:ind w:left="20"/>
              <w:spacing w:after="0"/>
              <w:rPr>
                <w:sz w:val="20"/>
                <w:szCs w:val="20"/>
                <w:color w:val="auto"/>
              </w:rPr>
            </w:pPr>
            <w:r>
              <w:rPr>
                <w:rFonts w:ascii="Arial" w:cs="Arial" w:eastAsia="Arial" w:hAnsi="Arial"/>
                <w:sz w:val="13"/>
                <w:szCs w:val="13"/>
                <w:color w:val="auto"/>
              </w:rPr>
              <w:t>WillScot Equipment II, LLC</w:t>
            </w:r>
          </w:p>
        </w:tc>
        <w:tc>
          <w:tcPr>
            <w:tcW w:w="6160" w:type="dxa"/>
            <w:vAlign w:val="bottom"/>
          </w:tcPr>
          <w:p>
            <w:pPr>
              <w:ind w:left="1440"/>
              <w:spacing w:after="0"/>
              <w:rPr>
                <w:sz w:val="20"/>
                <w:szCs w:val="20"/>
                <w:color w:val="auto"/>
              </w:rPr>
            </w:pPr>
            <w:r>
              <w:rPr>
                <w:rFonts w:ascii="Arial" w:cs="Arial" w:eastAsia="Arial" w:hAnsi="Arial"/>
                <w:sz w:val="13"/>
                <w:szCs w:val="13"/>
                <w:color w:val="auto"/>
              </w:rPr>
              <w:t>Delaware</w:t>
            </w:r>
          </w:p>
        </w:tc>
      </w:tr>
      <w:tr>
        <w:trPr>
          <w:trHeight w:val="175"/>
        </w:trPr>
        <w:tc>
          <w:tcPr>
            <w:tcW w:w="4680" w:type="dxa"/>
            <w:vAlign w:val="bottom"/>
          </w:tcPr>
          <w:p>
            <w:pPr>
              <w:ind w:left="20"/>
              <w:spacing w:after="0"/>
              <w:rPr>
                <w:sz w:val="20"/>
                <w:szCs w:val="20"/>
                <w:color w:val="auto"/>
              </w:rPr>
            </w:pPr>
            <w:r>
              <w:rPr>
                <w:rFonts w:ascii="Arial" w:cs="Arial" w:eastAsia="Arial" w:hAnsi="Arial"/>
                <w:sz w:val="13"/>
                <w:szCs w:val="13"/>
                <w:color w:val="auto"/>
              </w:rPr>
              <w:t>Williams Scotsman, Inc.</w:t>
            </w:r>
          </w:p>
        </w:tc>
        <w:tc>
          <w:tcPr>
            <w:tcW w:w="6160" w:type="dxa"/>
            <w:vAlign w:val="bottom"/>
          </w:tcPr>
          <w:p>
            <w:pPr>
              <w:ind w:left="1440"/>
              <w:spacing w:after="0"/>
              <w:rPr>
                <w:sz w:val="20"/>
                <w:szCs w:val="20"/>
                <w:color w:val="auto"/>
              </w:rPr>
            </w:pPr>
            <w:r>
              <w:rPr>
                <w:rFonts w:ascii="Arial" w:cs="Arial" w:eastAsia="Arial" w:hAnsi="Arial"/>
                <w:sz w:val="13"/>
                <w:szCs w:val="13"/>
                <w:color w:val="auto"/>
              </w:rPr>
              <w:t>Maryland</w:t>
            </w:r>
          </w:p>
        </w:tc>
      </w:tr>
      <w:tr>
        <w:trPr>
          <w:trHeight w:val="175"/>
        </w:trPr>
        <w:tc>
          <w:tcPr>
            <w:tcW w:w="4680" w:type="dxa"/>
            <w:vAlign w:val="bottom"/>
          </w:tcPr>
          <w:p>
            <w:pPr>
              <w:ind w:left="20"/>
              <w:spacing w:after="0"/>
              <w:rPr>
                <w:sz w:val="20"/>
                <w:szCs w:val="20"/>
                <w:color w:val="auto"/>
              </w:rPr>
            </w:pPr>
            <w:r>
              <w:rPr>
                <w:rFonts w:ascii="Arial" w:cs="Arial" w:eastAsia="Arial" w:hAnsi="Arial"/>
                <w:sz w:val="13"/>
                <w:szCs w:val="13"/>
                <w:color w:val="auto"/>
              </w:rPr>
              <w:t>Williams Scotsman Mexico S. de R. L. de C.V.</w:t>
            </w:r>
          </w:p>
        </w:tc>
        <w:tc>
          <w:tcPr>
            <w:tcW w:w="6160" w:type="dxa"/>
            <w:vAlign w:val="bottom"/>
          </w:tcPr>
          <w:p>
            <w:pPr>
              <w:ind w:left="1440"/>
              <w:spacing w:after="0"/>
              <w:rPr>
                <w:sz w:val="20"/>
                <w:szCs w:val="20"/>
                <w:color w:val="auto"/>
              </w:rPr>
            </w:pPr>
            <w:r>
              <w:rPr>
                <w:rFonts w:ascii="Arial" w:cs="Arial" w:eastAsia="Arial" w:hAnsi="Arial"/>
                <w:sz w:val="13"/>
                <w:szCs w:val="13"/>
                <w:color w:val="auto"/>
              </w:rPr>
              <w:t>The Federal District (Mexico City)</w:t>
            </w:r>
          </w:p>
        </w:tc>
      </w:tr>
      <w:tr>
        <w:trPr>
          <w:trHeight w:val="175"/>
        </w:trPr>
        <w:tc>
          <w:tcPr>
            <w:tcW w:w="4680" w:type="dxa"/>
            <w:vAlign w:val="bottom"/>
          </w:tcPr>
          <w:p>
            <w:pPr>
              <w:ind w:left="20"/>
              <w:spacing w:after="0"/>
              <w:rPr>
                <w:sz w:val="20"/>
                <w:szCs w:val="20"/>
                <w:color w:val="auto"/>
              </w:rPr>
            </w:pPr>
            <w:r>
              <w:rPr>
                <w:rFonts w:ascii="Arial" w:cs="Arial" w:eastAsia="Arial" w:hAnsi="Arial"/>
                <w:sz w:val="13"/>
                <w:szCs w:val="13"/>
                <w:color w:val="auto"/>
              </w:rPr>
              <w:t>Williams Scotsman of Canada, Inc.</w:t>
            </w:r>
          </w:p>
        </w:tc>
        <w:tc>
          <w:tcPr>
            <w:tcW w:w="6160" w:type="dxa"/>
            <w:vAlign w:val="bottom"/>
          </w:tcPr>
          <w:p>
            <w:pPr>
              <w:ind w:left="1440"/>
              <w:spacing w:after="0"/>
              <w:rPr>
                <w:sz w:val="20"/>
                <w:szCs w:val="20"/>
                <w:color w:val="auto"/>
              </w:rPr>
            </w:pPr>
            <w:r>
              <w:rPr>
                <w:rFonts w:ascii="Arial" w:cs="Arial" w:eastAsia="Arial" w:hAnsi="Arial"/>
                <w:sz w:val="13"/>
                <w:szCs w:val="13"/>
                <w:color w:val="auto"/>
              </w:rPr>
              <w:t>Ontario, Canada</w:t>
            </w:r>
          </w:p>
        </w:tc>
      </w:tr>
      <w:tr>
        <w:trPr>
          <w:trHeight w:val="175"/>
        </w:trPr>
        <w:tc>
          <w:tcPr>
            <w:tcW w:w="4680" w:type="dxa"/>
            <w:vAlign w:val="bottom"/>
          </w:tcPr>
          <w:p>
            <w:pPr>
              <w:ind w:left="20"/>
              <w:spacing w:after="0"/>
              <w:rPr>
                <w:sz w:val="20"/>
                <w:szCs w:val="20"/>
                <w:color w:val="auto"/>
              </w:rPr>
            </w:pPr>
            <w:r>
              <w:rPr>
                <w:rFonts w:ascii="Arial" w:cs="Arial" w:eastAsia="Arial" w:hAnsi="Arial"/>
                <w:sz w:val="13"/>
                <w:szCs w:val="13"/>
                <w:color w:val="auto"/>
              </w:rPr>
              <w:t>Mobile Mini, Inc.</w:t>
            </w:r>
          </w:p>
        </w:tc>
        <w:tc>
          <w:tcPr>
            <w:tcW w:w="6160" w:type="dxa"/>
            <w:vAlign w:val="bottom"/>
          </w:tcPr>
          <w:p>
            <w:pPr>
              <w:ind w:left="1440"/>
              <w:spacing w:after="0"/>
              <w:rPr>
                <w:sz w:val="20"/>
                <w:szCs w:val="20"/>
                <w:color w:val="auto"/>
              </w:rPr>
            </w:pPr>
            <w:r>
              <w:rPr>
                <w:rFonts w:ascii="Arial" w:cs="Arial" w:eastAsia="Arial" w:hAnsi="Arial"/>
                <w:sz w:val="13"/>
                <w:szCs w:val="13"/>
                <w:color w:val="auto"/>
              </w:rPr>
              <w:t>Delaware</w:t>
            </w:r>
          </w:p>
        </w:tc>
      </w:tr>
      <w:tr>
        <w:trPr>
          <w:trHeight w:val="175"/>
        </w:trPr>
        <w:tc>
          <w:tcPr>
            <w:tcW w:w="4680" w:type="dxa"/>
            <w:vAlign w:val="bottom"/>
          </w:tcPr>
          <w:p>
            <w:pPr>
              <w:ind w:left="20"/>
              <w:spacing w:after="0"/>
              <w:rPr>
                <w:sz w:val="20"/>
                <w:szCs w:val="20"/>
                <w:color w:val="auto"/>
              </w:rPr>
            </w:pPr>
            <w:r>
              <w:rPr>
                <w:rFonts w:ascii="Arial" w:cs="Arial" w:eastAsia="Arial" w:hAnsi="Arial"/>
                <w:sz w:val="13"/>
                <w:szCs w:val="13"/>
                <w:color w:val="auto"/>
              </w:rPr>
              <w:t>Mobile Mini I, Inc. (CA)</w:t>
            </w:r>
          </w:p>
        </w:tc>
        <w:tc>
          <w:tcPr>
            <w:tcW w:w="6160" w:type="dxa"/>
            <w:vAlign w:val="bottom"/>
          </w:tcPr>
          <w:p>
            <w:pPr>
              <w:ind w:left="1440"/>
              <w:spacing w:after="0"/>
              <w:rPr>
                <w:sz w:val="20"/>
                <w:szCs w:val="20"/>
                <w:color w:val="auto"/>
              </w:rPr>
            </w:pPr>
            <w:r>
              <w:rPr>
                <w:rFonts w:ascii="Arial" w:cs="Arial" w:eastAsia="Arial" w:hAnsi="Arial"/>
                <w:sz w:val="13"/>
                <w:szCs w:val="13"/>
                <w:color w:val="auto"/>
              </w:rPr>
              <w:t>California</w:t>
            </w:r>
          </w:p>
        </w:tc>
      </w:tr>
      <w:tr>
        <w:trPr>
          <w:trHeight w:val="175"/>
        </w:trPr>
        <w:tc>
          <w:tcPr>
            <w:tcW w:w="4680" w:type="dxa"/>
            <w:vAlign w:val="bottom"/>
          </w:tcPr>
          <w:p>
            <w:pPr>
              <w:ind w:left="20"/>
              <w:spacing w:after="0"/>
              <w:rPr>
                <w:sz w:val="20"/>
                <w:szCs w:val="20"/>
                <w:color w:val="auto"/>
              </w:rPr>
            </w:pPr>
            <w:r>
              <w:rPr>
                <w:rFonts w:ascii="Arial" w:cs="Arial" w:eastAsia="Arial" w:hAnsi="Arial"/>
                <w:sz w:val="13"/>
                <w:szCs w:val="13"/>
                <w:color w:val="auto"/>
              </w:rPr>
              <w:t>Gulf Tanks Holdings, Inc.</w:t>
            </w:r>
          </w:p>
        </w:tc>
        <w:tc>
          <w:tcPr>
            <w:tcW w:w="6160" w:type="dxa"/>
            <w:vAlign w:val="bottom"/>
          </w:tcPr>
          <w:p>
            <w:pPr>
              <w:ind w:left="1440"/>
              <w:spacing w:after="0"/>
              <w:rPr>
                <w:sz w:val="20"/>
                <w:szCs w:val="20"/>
                <w:color w:val="auto"/>
              </w:rPr>
            </w:pPr>
            <w:r>
              <w:rPr>
                <w:rFonts w:ascii="Arial" w:cs="Arial" w:eastAsia="Arial" w:hAnsi="Arial"/>
                <w:sz w:val="13"/>
                <w:szCs w:val="13"/>
                <w:color w:val="auto"/>
              </w:rPr>
              <w:t>Delaware</w:t>
            </w:r>
          </w:p>
        </w:tc>
      </w:tr>
      <w:tr>
        <w:trPr>
          <w:trHeight w:val="175"/>
        </w:trPr>
        <w:tc>
          <w:tcPr>
            <w:tcW w:w="4680" w:type="dxa"/>
            <w:vAlign w:val="bottom"/>
          </w:tcPr>
          <w:p>
            <w:pPr>
              <w:ind w:left="20"/>
              <w:spacing w:after="0"/>
              <w:rPr>
                <w:sz w:val="20"/>
                <w:szCs w:val="20"/>
                <w:color w:val="auto"/>
              </w:rPr>
            </w:pPr>
            <w:r>
              <w:rPr>
                <w:rFonts w:ascii="Arial" w:cs="Arial" w:eastAsia="Arial" w:hAnsi="Arial"/>
                <w:sz w:val="13"/>
                <w:szCs w:val="13"/>
                <w:color w:val="auto"/>
              </w:rPr>
              <w:t>Mobile Mini Tank and Pump Solutions, Inc.</w:t>
            </w:r>
          </w:p>
        </w:tc>
        <w:tc>
          <w:tcPr>
            <w:tcW w:w="6160" w:type="dxa"/>
            <w:vAlign w:val="bottom"/>
          </w:tcPr>
          <w:p>
            <w:pPr>
              <w:ind w:left="1440"/>
              <w:spacing w:after="0"/>
              <w:rPr>
                <w:sz w:val="20"/>
                <w:szCs w:val="20"/>
                <w:color w:val="auto"/>
              </w:rPr>
            </w:pPr>
            <w:r>
              <w:rPr>
                <w:rFonts w:ascii="Arial" w:cs="Arial" w:eastAsia="Arial" w:hAnsi="Arial"/>
                <w:sz w:val="13"/>
                <w:szCs w:val="13"/>
                <w:color w:val="auto"/>
              </w:rPr>
              <w:t>Delaware</w:t>
            </w:r>
          </w:p>
        </w:tc>
      </w:tr>
      <w:tr>
        <w:trPr>
          <w:trHeight w:val="175"/>
        </w:trPr>
        <w:tc>
          <w:tcPr>
            <w:tcW w:w="4680" w:type="dxa"/>
            <w:vAlign w:val="bottom"/>
          </w:tcPr>
          <w:p>
            <w:pPr>
              <w:ind w:left="20"/>
              <w:spacing w:after="0"/>
              <w:rPr>
                <w:sz w:val="20"/>
                <w:szCs w:val="20"/>
                <w:color w:val="auto"/>
              </w:rPr>
            </w:pPr>
            <w:r>
              <w:rPr>
                <w:rFonts w:ascii="Arial" w:cs="Arial" w:eastAsia="Arial" w:hAnsi="Arial"/>
                <w:sz w:val="13"/>
                <w:szCs w:val="13"/>
                <w:color w:val="auto"/>
              </w:rPr>
              <w:t>Water Movers Contracting, LLC</w:t>
            </w:r>
          </w:p>
        </w:tc>
        <w:tc>
          <w:tcPr>
            <w:tcW w:w="6160" w:type="dxa"/>
            <w:vAlign w:val="bottom"/>
          </w:tcPr>
          <w:p>
            <w:pPr>
              <w:ind w:left="1440"/>
              <w:spacing w:after="0"/>
              <w:rPr>
                <w:sz w:val="20"/>
                <w:szCs w:val="20"/>
                <w:color w:val="auto"/>
              </w:rPr>
            </w:pPr>
            <w:r>
              <w:rPr>
                <w:rFonts w:ascii="Arial" w:cs="Arial" w:eastAsia="Arial" w:hAnsi="Arial"/>
                <w:sz w:val="13"/>
                <w:szCs w:val="13"/>
                <w:color w:val="auto"/>
              </w:rPr>
              <w:t>Arizona</w:t>
            </w:r>
          </w:p>
        </w:tc>
      </w:tr>
      <w:tr>
        <w:trPr>
          <w:trHeight w:val="175"/>
        </w:trPr>
        <w:tc>
          <w:tcPr>
            <w:tcW w:w="4680" w:type="dxa"/>
            <w:vAlign w:val="bottom"/>
          </w:tcPr>
          <w:p>
            <w:pPr>
              <w:ind w:left="20"/>
              <w:spacing w:after="0"/>
              <w:rPr>
                <w:sz w:val="20"/>
                <w:szCs w:val="20"/>
                <w:color w:val="auto"/>
              </w:rPr>
            </w:pPr>
            <w:r>
              <w:rPr>
                <w:rFonts w:ascii="Arial" w:cs="Arial" w:eastAsia="Arial" w:hAnsi="Arial"/>
                <w:sz w:val="13"/>
                <w:szCs w:val="13"/>
                <w:color w:val="auto"/>
              </w:rPr>
              <w:t>Mobile Mini Canada, ULC</w:t>
            </w:r>
          </w:p>
        </w:tc>
        <w:tc>
          <w:tcPr>
            <w:tcW w:w="6160" w:type="dxa"/>
            <w:vAlign w:val="bottom"/>
          </w:tcPr>
          <w:p>
            <w:pPr>
              <w:ind w:left="1440"/>
              <w:spacing w:after="0"/>
              <w:rPr>
                <w:sz w:val="20"/>
                <w:szCs w:val="20"/>
                <w:color w:val="auto"/>
              </w:rPr>
            </w:pPr>
            <w:r>
              <w:rPr>
                <w:rFonts w:ascii="Arial" w:cs="Arial" w:eastAsia="Arial" w:hAnsi="Arial"/>
                <w:sz w:val="13"/>
                <w:szCs w:val="13"/>
                <w:color w:val="auto"/>
              </w:rPr>
              <w:t>British Columbia, Canada</w:t>
            </w:r>
          </w:p>
        </w:tc>
      </w:tr>
      <w:tr>
        <w:trPr>
          <w:trHeight w:val="175"/>
        </w:trPr>
        <w:tc>
          <w:tcPr>
            <w:tcW w:w="4680" w:type="dxa"/>
            <w:vAlign w:val="bottom"/>
          </w:tcPr>
          <w:p>
            <w:pPr>
              <w:ind w:left="20"/>
              <w:spacing w:after="0"/>
              <w:rPr>
                <w:sz w:val="20"/>
                <w:szCs w:val="20"/>
                <w:color w:val="auto"/>
              </w:rPr>
            </w:pPr>
            <w:r>
              <w:rPr>
                <w:rFonts w:ascii="Arial" w:cs="Arial" w:eastAsia="Arial" w:hAnsi="Arial"/>
                <w:sz w:val="13"/>
                <w:szCs w:val="13"/>
                <w:color w:val="auto"/>
              </w:rPr>
              <w:t>Mobile Mini UK Holdings Limited</w:t>
            </w:r>
          </w:p>
        </w:tc>
        <w:tc>
          <w:tcPr>
            <w:tcW w:w="6160" w:type="dxa"/>
            <w:vAlign w:val="bottom"/>
          </w:tcPr>
          <w:p>
            <w:pPr>
              <w:ind w:left="1440"/>
              <w:spacing w:after="0"/>
              <w:rPr>
                <w:sz w:val="20"/>
                <w:szCs w:val="20"/>
                <w:color w:val="auto"/>
              </w:rPr>
            </w:pPr>
            <w:r>
              <w:rPr>
                <w:rFonts w:ascii="Arial" w:cs="Arial" w:eastAsia="Arial" w:hAnsi="Arial"/>
                <w:sz w:val="13"/>
                <w:szCs w:val="13"/>
                <w:color w:val="auto"/>
              </w:rPr>
              <w:t>England and Wales</w:t>
            </w:r>
          </w:p>
        </w:tc>
      </w:tr>
      <w:tr>
        <w:trPr>
          <w:trHeight w:val="175"/>
        </w:trPr>
        <w:tc>
          <w:tcPr>
            <w:tcW w:w="4680" w:type="dxa"/>
            <w:vAlign w:val="bottom"/>
          </w:tcPr>
          <w:p>
            <w:pPr>
              <w:ind w:left="20"/>
              <w:spacing w:after="0"/>
              <w:rPr>
                <w:sz w:val="20"/>
                <w:szCs w:val="20"/>
                <w:color w:val="auto"/>
              </w:rPr>
            </w:pPr>
            <w:r>
              <w:rPr>
                <w:rFonts w:ascii="Arial" w:cs="Arial" w:eastAsia="Arial" w:hAnsi="Arial"/>
                <w:sz w:val="13"/>
                <w:szCs w:val="13"/>
                <w:color w:val="auto"/>
              </w:rPr>
              <w:t>Ravenstock MSG Limited</w:t>
            </w:r>
          </w:p>
        </w:tc>
        <w:tc>
          <w:tcPr>
            <w:tcW w:w="6160" w:type="dxa"/>
            <w:vAlign w:val="bottom"/>
          </w:tcPr>
          <w:p>
            <w:pPr>
              <w:ind w:left="1440"/>
              <w:spacing w:after="0"/>
              <w:rPr>
                <w:sz w:val="20"/>
                <w:szCs w:val="20"/>
                <w:color w:val="auto"/>
              </w:rPr>
            </w:pPr>
            <w:r>
              <w:rPr>
                <w:rFonts w:ascii="Arial" w:cs="Arial" w:eastAsia="Arial" w:hAnsi="Arial"/>
                <w:sz w:val="13"/>
                <w:szCs w:val="13"/>
                <w:color w:val="auto"/>
              </w:rPr>
              <w:t>England and Wales</w:t>
            </w:r>
          </w:p>
        </w:tc>
      </w:tr>
      <w:tr>
        <w:trPr>
          <w:trHeight w:val="175"/>
        </w:trPr>
        <w:tc>
          <w:tcPr>
            <w:tcW w:w="4680" w:type="dxa"/>
            <w:vAlign w:val="bottom"/>
          </w:tcPr>
          <w:p>
            <w:pPr>
              <w:ind w:left="20"/>
              <w:spacing w:after="0"/>
              <w:rPr>
                <w:sz w:val="20"/>
                <w:szCs w:val="20"/>
                <w:color w:val="auto"/>
              </w:rPr>
            </w:pPr>
            <w:r>
              <w:rPr>
                <w:rFonts w:ascii="Arial" w:cs="Arial" w:eastAsia="Arial" w:hAnsi="Arial"/>
                <w:sz w:val="13"/>
                <w:szCs w:val="13"/>
                <w:color w:val="auto"/>
              </w:rPr>
              <w:t>Mobile Mini UK Limited</w:t>
            </w:r>
          </w:p>
        </w:tc>
        <w:tc>
          <w:tcPr>
            <w:tcW w:w="6160" w:type="dxa"/>
            <w:vAlign w:val="bottom"/>
          </w:tcPr>
          <w:p>
            <w:pPr>
              <w:ind w:left="1440"/>
              <w:spacing w:after="0"/>
              <w:rPr>
                <w:sz w:val="20"/>
                <w:szCs w:val="20"/>
                <w:color w:val="auto"/>
              </w:rPr>
            </w:pPr>
            <w:r>
              <w:rPr>
                <w:rFonts w:ascii="Arial" w:cs="Arial" w:eastAsia="Arial" w:hAnsi="Arial"/>
                <w:sz w:val="13"/>
                <w:szCs w:val="13"/>
                <w:color w:val="auto"/>
              </w:rPr>
              <w:t>England and Wales</w:t>
            </w:r>
          </w:p>
        </w:tc>
      </w:tr>
      <w:tr>
        <w:trPr>
          <w:trHeight w:val="175"/>
        </w:trPr>
        <w:tc>
          <w:tcPr>
            <w:tcW w:w="4680" w:type="dxa"/>
            <w:vAlign w:val="bottom"/>
          </w:tcPr>
          <w:p>
            <w:pPr>
              <w:ind w:left="20"/>
              <w:spacing w:after="0"/>
              <w:rPr>
                <w:sz w:val="20"/>
                <w:szCs w:val="20"/>
                <w:color w:val="auto"/>
              </w:rPr>
            </w:pPr>
            <w:r>
              <w:rPr>
                <w:rFonts w:ascii="Arial" w:cs="Arial" w:eastAsia="Arial" w:hAnsi="Arial"/>
                <w:sz w:val="13"/>
                <w:szCs w:val="13"/>
                <w:color w:val="auto"/>
              </w:rPr>
              <w:t>Mobile Storage (UK) Limited</w:t>
            </w:r>
          </w:p>
        </w:tc>
        <w:tc>
          <w:tcPr>
            <w:tcW w:w="6160" w:type="dxa"/>
            <w:vAlign w:val="bottom"/>
          </w:tcPr>
          <w:p>
            <w:pPr>
              <w:ind w:left="1440"/>
              <w:spacing w:after="0"/>
              <w:rPr>
                <w:sz w:val="20"/>
                <w:szCs w:val="20"/>
                <w:color w:val="auto"/>
              </w:rPr>
            </w:pPr>
            <w:r>
              <w:rPr>
                <w:rFonts w:ascii="Arial" w:cs="Arial" w:eastAsia="Arial" w:hAnsi="Arial"/>
                <w:sz w:val="13"/>
                <w:szCs w:val="13"/>
                <w:color w:val="auto"/>
              </w:rPr>
              <w:t>England and Wales</w:t>
            </w:r>
          </w:p>
        </w:tc>
      </w:tr>
      <w:tr>
        <w:trPr>
          <w:trHeight w:val="175"/>
        </w:trPr>
        <w:tc>
          <w:tcPr>
            <w:tcW w:w="4680" w:type="dxa"/>
            <w:vAlign w:val="bottom"/>
          </w:tcPr>
          <w:p>
            <w:pPr>
              <w:ind w:left="20"/>
              <w:spacing w:after="0"/>
              <w:rPr>
                <w:sz w:val="20"/>
                <w:szCs w:val="20"/>
                <w:color w:val="auto"/>
              </w:rPr>
            </w:pPr>
            <w:r>
              <w:rPr>
                <w:rFonts w:ascii="Arial" w:cs="Arial" w:eastAsia="Arial" w:hAnsi="Arial"/>
                <w:sz w:val="13"/>
                <w:szCs w:val="13"/>
                <w:color w:val="auto"/>
              </w:rPr>
              <w:t>Ravenstock TAM (Hire) Limited</w:t>
            </w:r>
          </w:p>
        </w:tc>
        <w:tc>
          <w:tcPr>
            <w:tcW w:w="6160" w:type="dxa"/>
            <w:vAlign w:val="bottom"/>
          </w:tcPr>
          <w:p>
            <w:pPr>
              <w:ind w:left="1440"/>
              <w:spacing w:after="0"/>
              <w:rPr>
                <w:sz w:val="20"/>
                <w:szCs w:val="20"/>
                <w:color w:val="auto"/>
              </w:rPr>
            </w:pPr>
            <w:r>
              <w:rPr>
                <w:rFonts w:ascii="Arial" w:cs="Arial" w:eastAsia="Arial" w:hAnsi="Arial"/>
                <w:sz w:val="13"/>
                <w:szCs w:val="13"/>
                <w:color w:val="auto"/>
              </w:rPr>
              <w:t>England and Wales</w:t>
            </w:r>
          </w:p>
        </w:tc>
      </w:tr>
      <w:tr>
        <w:trPr>
          <w:trHeight w:val="175"/>
        </w:trPr>
        <w:tc>
          <w:tcPr>
            <w:tcW w:w="4680" w:type="dxa"/>
            <w:vAlign w:val="bottom"/>
          </w:tcPr>
          <w:p>
            <w:pPr>
              <w:ind w:left="20"/>
              <w:spacing w:after="0"/>
              <w:rPr>
                <w:sz w:val="20"/>
                <w:szCs w:val="20"/>
                <w:color w:val="auto"/>
              </w:rPr>
            </w:pPr>
            <w:r>
              <w:rPr>
                <w:rFonts w:ascii="Arial" w:cs="Arial" w:eastAsia="Arial" w:hAnsi="Arial"/>
                <w:sz w:val="13"/>
                <w:szCs w:val="13"/>
                <w:color w:val="auto"/>
              </w:rPr>
              <w:t>Sommer’s Mobile Leasing, Inc.</w:t>
            </w:r>
          </w:p>
        </w:tc>
        <w:tc>
          <w:tcPr>
            <w:tcW w:w="6160" w:type="dxa"/>
            <w:vAlign w:val="bottom"/>
          </w:tcPr>
          <w:p>
            <w:pPr>
              <w:ind w:left="1440"/>
              <w:spacing w:after="0"/>
              <w:rPr>
                <w:sz w:val="20"/>
                <w:szCs w:val="20"/>
                <w:color w:val="auto"/>
              </w:rPr>
            </w:pPr>
            <w:r>
              <w:rPr>
                <w:rFonts w:ascii="Arial" w:cs="Arial" w:eastAsia="Arial" w:hAnsi="Arial"/>
                <w:sz w:val="13"/>
                <w:szCs w:val="13"/>
                <w:color w:val="auto"/>
              </w:rPr>
              <w:t>Ohio</w:t>
            </w:r>
          </w:p>
        </w:tc>
      </w:tr>
      <w:tr>
        <w:trPr>
          <w:trHeight w:val="175"/>
        </w:trPr>
        <w:tc>
          <w:tcPr>
            <w:tcW w:w="4680" w:type="dxa"/>
            <w:vAlign w:val="bottom"/>
          </w:tcPr>
          <w:p>
            <w:pPr>
              <w:ind w:left="20"/>
              <w:spacing w:after="0"/>
              <w:rPr>
                <w:sz w:val="20"/>
                <w:szCs w:val="20"/>
                <w:color w:val="auto"/>
              </w:rPr>
            </w:pPr>
            <w:r>
              <w:rPr>
                <w:rFonts w:ascii="Arial" w:cs="Arial" w:eastAsia="Arial" w:hAnsi="Arial"/>
                <w:sz w:val="13"/>
                <w:szCs w:val="13"/>
                <w:color w:val="auto"/>
              </w:rPr>
              <w:t>Modular Building Consultants, Inc.</w:t>
            </w:r>
          </w:p>
        </w:tc>
        <w:tc>
          <w:tcPr>
            <w:tcW w:w="6160" w:type="dxa"/>
            <w:vAlign w:val="bottom"/>
          </w:tcPr>
          <w:p>
            <w:pPr>
              <w:ind w:left="1440"/>
              <w:spacing w:after="0"/>
              <w:rPr>
                <w:sz w:val="20"/>
                <w:szCs w:val="20"/>
                <w:color w:val="auto"/>
              </w:rPr>
            </w:pPr>
            <w:r>
              <w:rPr>
                <w:rFonts w:ascii="Arial" w:cs="Arial" w:eastAsia="Arial" w:hAnsi="Arial"/>
                <w:sz w:val="13"/>
                <w:szCs w:val="13"/>
                <w:color w:val="auto"/>
              </w:rPr>
              <w:t>Ohio</w:t>
            </w:r>
          </w:p>
        </w:tc>
      </w:tr>
      <w:tr>
        <w:trPr>
          <w:trHeight w:val="175"/>
        </w:trPr>
        <w:tc>
          <w:tcPr>
            <w:tcW w:w="4680" w:type="dxa"/>
            <w:vAlign w:val="bottom"/>
          </w:tcPr>
          <w:p>
            <w:pPr>
              <w:ind w:left="20"/>
              <w:spacing w:after="0"/>
              <w:rPr>
                <w:sz w:val="20"/>
                <w:szCs w:val="20"/>
                <w:color w:val="auto"/>
              </w:rPr>
            </w:pPr>
            <w:r>
              <w:rPr>
                <w:rFonts w:ascii="Arial" w:cs="Arial" w:eastAsia="Arial" w:hAnsi="Arial"/>
                <w:sz w:val="13"/>
                <w:szCs w:val="13"/>
                <w:color w:val="auto"/>
              </w:rPr>
              <w:t>Modular Building Consultants of West Virginia, Inc.</w:t>
            </w:r>
          </w:p>
        </w:tc>
        <w:tc>
          <w:tcPr>
            <w:tcW w:w="6160" w:type="dxa"/>
            <w:vAlign w:val="bottom"/>
          </w:tcPr>
          <w:p>
            <w:pPr>
              <w:ind w:left="1440"/>
              <w:spacing w:after="0"/>
              <w:rPr>
                <w:sz w:val="20"/>
                <w:szCs w:val="20"/>
                <w:color w:val="auto"/>
              </w:rPr>
            </w:pPr>
            <w:r>
              <w:rPr>
                <w:rFonts w:ascii="Arial" w:cs="Arial" w:eastAsia="Arial" w:hAnsi="Arial"/>
                <w:sz w:val="13"/>
                <w:szCs w:val="13"/>
                <w:color w:val="auto"/>
              </w:rPr>
              <w:t>West Virginia</w:t>
            </w:r>
          </w:p>
        </w:tc>
      </w:tr>
      <w:tr>
        <w:trPr>
          <w:trHeight w:val="175"/>
        </w:trPr>
        <w:tc>
          <w:tcPr>
            <w:tcW w:w="4680" w:type="dxa"/>
            <w:vAlign w:val="bottom"/>
          </w:tcPr>
          <w:p>
            <w:pPr>
              <w:ind w:left="20"/>
              <w:spacing w:after="0"/>
              <w:rPr>
                <w:sz w:val="20"/>
                <w:szCs w:val="20"/>
                <w:color w:val="auto"/>
              </w:rPr>
            </w:pPr>
            <w:r>
              <w:rPr>
                <w:rFonts w:ascii="Arial" w:cs="Arial" w:eastAsia="Arial" w:hAnsi="Arial"/>
                <w:sz w:val="13"/>
                <w:szCs w:val="13"/>
                <w:color w:val="auto"/>
              </w:rPr>
              <w:t>Williams Scotsman Metis Services, Inc.</w:t>
            </w:r>
          </w:p>
        </w:tc>
        <w:tc>
          <w:tcPr>
            <w:tcW w:w="6160" w:type="dxa"/>
            <w:vAlign w:val="bottom"/>
          </w:tcPr>
          <w:p>
            <w:pPr>
              <w:ind w:left="1440"/>
              <w:spacing w:after="0"/>
              <w:rPr>
                <w:sz w:val="20"/>
                <w:szCs w:val="20"/>
                <w:color w:val="auto"/>
              </w:rPr>
            </w:pPr>
            <w:r>
              <w:rPr>
                <w:rFonts w:ascii="Arial" w:cs="Arial" w:eastAsia="Arial" w:hAnsi="Arial"/>
                <w:sz w:val="13"/>
                <w:szCs w:val="13"/>
                <w:color w:val="auto"/>
              </w:rPr>
              <w:t>British Columbia, Canada</w:t>
            </w:r>
          </w:p>
        </w:tc>
      </w:tr>
    </w:tbl>
    <w:p>
      <w:pPr>
        <w:sectPr>
          <w:pgSz w:w="11900" w:h="16838" w:orient="portrait"/>
          <w:cols w:equalWidth="0" w:num="1">
            <w:col w:w="11280"/>
          </w:cols>
          <w:pgMar w:left="300" w:top="125" w:right="319" w:bottom="1440" w:gutter="0" w:footer="0" w:header="0"/>
        </w:sectPr>
      </w:pPr>
    </w:p>
    <w:bookmarkStart w:id="137" w:name="page138"/>
    <w:bookmarkEnd w:id="137"/>
    <w:p>
      <w:pPr>
        <w:jc w:val="right"/>
        <w:spacing w:after="0"/>
        <w:rPr>
          <w:sz w:val="20"/>
          <w:szCs w:val="20"/>
          <w:color w:val="auto"/>
        </w:rPr>
      </w:pPr>
      <w:r>
        <w:rPr>
          <w:rFonts w:ascii="Arial" w:cs="Arial" w:eastAsia="Arial" w:hAnsi="Arial"/>
          <w:sz w:val="13"/>
          <w:szCs w:val="13"/>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780"/>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color w:val="auto"/>
        </w:rPr>
        <w:t>We consent to the incorporation by reference in the following Registration Statements:</w:t>
      </w:r>
    </w:p>
    <w:p>
      <w:pPr>
        <w:spacing w:after="0" w:line="397" w:lineRule="exact"/>
        <w:rPr>
          <w:sz w:val="20"/>
          <w:szCs w:val="20"/>
          <w:color w:val="auto"/>
        </w:rPr>
      </w:pPr>
    </w:p>
    <w:p>
      <w:pPr>
        <w:ind w:left="840" w:hanging="308"/>
        <w:spacing w:after="0"/>
        <w:tabs>
          <w:tab w:leader="none" w:pos="840" w:val="left"/>
        </w:tabs>
        <w:numPr>
          <w:ilvl w:val="0"/>
          <w:numId w:val="50"/>
        </w:numPr>
        <w:rPr>
          <w:rFonts w:ascii="Arial" w:cs="Arial" w:eastAsia="Arial" w:hAnsi="Arial"/>
          <w:sz w:val="13"/>
          <w:szCs w:val="13"/>
          <w:color w:val="auto"/>
        </w:rPr>
      </w:pPr>
      <w:r>
        <w:rPr>
          <w:rFonts w:ascii="Arial" w:cs="Arial" w:eastAsia="Arial" w:hAnsi="Arial"/>
          <w:sz w:val="13"/>
          <w:szCs w:val="13"/>
          <w:color w:val="auto"/>
        </w:rPr>
        <w:t>Registration Statement (Form S-3 No. 333-227480) of WillScot Mobile Mini Holdings Corp.,</w:t>
      </w:r>
    </w:p>
    <w:p>
      <w:pPr>
        <w:spacing w:after="0" w:line="200" w:lineRule="exact"/>
        <w:rPr>
          <w:rFonts w:ascii="Arial" w:cs="Arial" w:eastAsia="Arial" w:hAnsi="Arial"/>
          <w:sz w:val="13"/>
          <w:szCs w:val="13"/>
          <w:color w:val="auto"/>
        </w:rPr>
      </w:pPr>
    </w:p>
    <w:p>
      <w:pPr>
        <w:ind w:left="840" w:hanging="308"/>
        <w:spacing w:after="0"/>
        <w:tabs>
          <w:tab w:leader="none" w:pos="840" w:val="left"/>
        </w:tabs>
        <w:numPr>
          <w:ilvl w:val="0"/>
          <w:numId w:val="50"/>
        </w:numPr>
        <w:rPr>
          <w:rFonts w:ascii="Arial" w:cs="Arial" w:eastAsia="Arial" w:hAnsi="Arial"/>
          <w:sz w:val="13"/>
          <w:szCs w:val="13"/>
          <w:color w:val="auto"/>
        </w:rPr>
      </w:pPr>
      <w:r>
        <w:rPr>
          <w:rFonts w:ascii="Arial" w:cs="Arial" w:eastAsia="Arial" w:hAnsi="Arial"/>
          <w:sz w:val="13"/>
          <w:szCs w:val="13"/>
          <w:color w:val="auto"/>
        </w:rPr>
        <w:t>Registration Statement (Form S-3 No. 333-229339) of WillScot Mobile Mini Holdings Corp., and</w:t>
      </w:r>
    </w:p>
    <w:p>
      <w:pPr>
        <w:spacing w:after="0" w:line="200" w:lineRule="exact"/>
        <w:rPr>
          <w:rFonts w:ascii="Arial" w:cs="Arial" w:eastAsia="Arial" w:hAnsi="Arial"/>
          <w:sz w:val="13"/>
          <w:szCs w:val="13"/>
          <w:color w:val="auto"/>
        </w:rPr>
      </w:pPr>
    </w:p>
    <w:p>
      <w:pPr>
        <w:ind w:left="300" w:right="4820" w:firstLine="232"/>
        <w:spacing w:after="0" w:line="256" w:lineRule="auto"/>
        <w:tabs>
          <w:tab w:leader="none" w:pos="839" w:val="left"/>
        </w:tabs>
        <w:numPr>
          <w:ilvl w:val="0"/>
          <w:numId w:val="50"/>
        </w:numPr>
        <w:rPr>
          <w:rFonts w:ascii="Arial" w:cs="Arial" w:eastAsia="Arial" w:hAnsi="Arial"/>
          <w:sz w:val="13"/>
          <w:szCs w:val="13"/>
          <w:color w:val="auto"/>
        </w:rPr>
      </w:pPr>
      <w:r>
        <w:rPr>
          <w:rFonts w:ascii="Arial" w:cs="Arial" w:eastAsia="Arial" w:hAnsi="Arial"/>
          <w:sz w:val="13"/>
          <w:szCs w:val="13"/>
          <w:color w:val="auto"/>
        </w:rPr>
        <w:t>Registration Statement (Form S-8 No. 333-239626) pertaining to the Employees' Savings Plan of WillScot Mobile Mini Holdings Corp.;</w:t>
      </w:r>
    </w:p>
    <w:p>
      <w:pPr>
        <w:spacing w:after="0" w:line="184" w:lineRule="exact"/>
        <w:rPr>
          <w:sz w:val="20"/>
          <w:szCs w:val="20"/>
          <w:color w:val="auto"/>
        </w:rPr>
      </w:pPr>
    </w:p>
    <w:p>
      <w:pPr>
        <w:spacing w:after="0" w:line="256" w:lineRule="auto"/>
        <w:rPr>
          <w:sz w:val="20"/>
          <w:szCs w:val="20"/>
          <w:color w:val="auto"/>
        </w:rPr>
      </w:pPr>
      <w:r>
        <w:rPr>
          <w:rFonts w:ascii="Arial" w:cs="Arial" w:eastAsia="Arial" w:hAnsi="Arial"/>
          <w:sz w:val="13"/>
          <w:szCs w:val="13"/>
          <w:color w:val="auto"/>
        </w:rPr>
        <w:t>of our reports dated February 25, 2022</w:t>
      </w:r>
      <w:r>
        <w:rPr>
          <w:rFonts w:ascii="Arial" w:cs="Arial" w:eastAsia="Arial" w:hAnsi="Arial"/>
          <w:sz w:val="13"/>
          <w:szCs w:val="13"/>
          <w:color w:val="333333"/>
        </w:rPr>
        <w:t>,</w:t>
      </w:r>
      <w:r>
        <w:rPr>
          <w:rFonts w:ascii="Arial" w:cs="Arial" w:eastAsia="Arial" w:hAnsi="Arial"/>
          <w:sz w:val="13"/>
          <w:szCs w:val="13"/>
          <w:color w:val="auto"/>
        </w:rPr>
        <w:t xml:space="preserve"> with respect to the consolidated financial statements of WillScot Mobile Mini Holdings Corp. and the effectiveness of internal control over financial reporting of WillScot Mobile Mini Holdings Corp. included in this Annual Report (Form 10-K) of WillScot Mobile Mini Holdings Corp. for the year ended December 31, 2021.</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333333"/>
        </w:rPr>
        <w:t>/s/ Ernst &amp; Young LLP</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color w:val="auto"/>
        </w:rPr>
        <w:t>Baltimore, Maryland</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February 25, 2022</w:t>
      </w:r>
    </w:p>
    <w:p>
      <w:pPr>
        <w:sectPr>
          <w:pgSz w:w="11900" w:h="16838" w:orient="portrait"/>
          <w:cols w:equalWidth="0" w:num="1">
            <w:col w:w="11280"/>
          </w:cols>
          <w:pgMar w:left="300" w:top="125" w:right="319" w:bottom="1440" w:gutter="0" w:footer="0" w:header="0"/>
        </w:sectPr>
      </w:pPr>
    </w:p>
    <w:bookmarkStart w:id="138" w:name="page139"/>
    <w:bookmarkEnd w:id="138"/>
    <w:p>
      <w:pPr>
        <w:jc w:val="right"/>
        <w:spacing w:after="0"/>
        <w:rPr>
          <w:sz w:val="20"/>
          <w:szCs w:val="20"/>
          <w:color w:val="auto"/>
        </w:rPr>
      </w:pPr>
      <w:r>
        <w:rPr>
          <w:rFonts w:ascii="Arial" w:cs="Arial" w:eastAsia="Arial" w:hAnsi="Arial"/>
          <w:sz w:val="13"/>
          <w:szCs w:val="13"/>
          <w:b w:val="1"/>
          <w:bCs w:val="1"/>
          <w:color w:val="auto"/>
        </w:rPr>
        <w:t>Exhibit 31.1</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Executive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 Section 302 of 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color w:val="auto"/>
        </w:rPr>
        <w:t>I, Bradley L. Soultz, certify that:</w:t>
      </w:r>
    </w:p>
    <w:p>
      <w:pPr>
        <w:spacing w:after="0" w:line="233" w:lineRule="exact"/>
        <w:rPr>
          <w:sz w:val="20"/>
          <w:szCs w:val="20"/>
          <w:color w:val="auto"/>
        </w:rPr>
      </w:pPr>
    </w:p>
    <w:p>
      <w:pPr>
        <w:ind w:left="160" w:hanging="153"/>
        <w:spacing w:after="0"/>
        <w:tabs>
          <w:tab w:leader="none" w:pos="160" w:val="left"/>
        </w:tabs>
        <w:numPr>
          <w:ilvl w:val="0"/>
          <w:numId w:val="51"/>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WillScot Mobile Mini Corp.;</w:t>
      </w:r>
    </w:p>
    <w:p>
      <w:pPr>
        <w:spacing w:after="0" w:line="68" w:lineRule="exact"/>
        <w:rPr>
          <w:rFonts w:ascii="Arial" w:cs="Arial" w:eastAsia="Arial" w:hAnsi="Arial"/>
          <w:sz w:val="13"/>
          <w:szCs w:val="13"/>
          <w:color w:val="auto"/>
        </w:rPr>
      </w:pPr>
    </w:p>
    <w:p>
      <w:pPr>
        <w:ind w:firstLine="7"/>
        <w:spacing w:after="0" w:line="350" w:lineRule="auto"/>
        <w:tabs>
          <w:tab w:leader="none" w:pos="170" w:val="left"/>
        </w:tabs>
        <w:numPr>
          <w:ilvl w:val="0"/>
          <w:numId w:val="51"/>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firstLine="7"/>
        <w:spacing w:after="0" w:line="350" w:lineRule="auto"/>
        <w:tabs>
          <w:tab w:leader="none" w:pos="152" w:val="left"/>
        </w:tabs>
        <w:numPr>
          <w:ilvl w:val="0"/>
          <w:numId w:val="51"/>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firstLine="7"/>
        <w:spacing w:after="0" w:line="350" w:lineRule="auto"/>
        <w:tabs>
          <w:tab w:leader="none" w:pos="15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540" w:hanging="8"/>
        <w:spacing w:after="0" w:line="350" w:lineRule="auto"/>
        <w:tabs>
          <w:tab w:leader="none" w:pos="709" w:val="left"/>
        </w:tabs>
        <w:numPr>
          <w:ilvl w:val="1"/>
          <w:numId w:val="51"/>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540" w:hanging="8"/>
        <w:spacing w:after="0" w:line="350" w:lineRule="auto"/>
        <w:tabs>
          <w:tab w:leader="none" w:pos="697" w:val="left"/>
        </w:tabs>
        <w:numPr>
          <w:ilvl w:val="1"/>
          <w:numId w:val="51"/>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540" w:hanging="8"/>
        <w:spacing w:after="0" w:line="350" w:lineRule="auto"/>
        <w:tabs>
          <w:tab w:leader="none" w:pos="693" w:val="left"/>
        </w:tabs>
        <w:numPr>
          <w:ilvl w:val="1"/>
          <w:numId w:val="51"/>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40" w:right="20" w:hanging="8"/>
        <w:spacing w:after="0" w:line="350" w:lineRule="auto"/>
        <w:tabs>
          <w:tab w:leader="none" w:pos="694" w:val="left"/>
        </w:tabs>
        <w:numPr>
          <w:ilvl w:val="1"/>
          <w:numId w:val="51"/>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firstLine="7"/>
        <w:spacing w:after="0" w:line="350" w:lineRule="auto"/>
        <w:tabs>
          <w:tab w:leader="none" w:pos="147"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540" w:hanging="8"/>
        <w:spacing w:after="0" w:line="350" w:lineRule="auto"/>
        <w:tabs>
          <w:tab w:leader="none" w:pos="696" w:val="left"/>
        </w:tabs>
        <w:numPr>
          <w:ilvl w:val="1"/>
          <w:numId w:val="51"/>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80" w:hanging="148"/>
        <w:spacing w:after="0"/>
        <w:tabs>
          <w:tab w:leader="none" w:pos="680" w:val="left"/>
        </w:tabs>
        <w:numPr>
          <w:ilvl w:val="1"/>
          <w:numId w:val="51"/>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color w:val="auto"/>
        </w:rPr>
        <w:t>Date: February 25, 2022</w:t>
      </w:r>
    </w:p>
    <w:p>
      <w:pPr>
        <w:spacing w:after="0" w:line="34" w:lineRule="exact"/>
        <w:rPr>
          <w:sz w:val="20"/>
          <w:szCs w:val="20"/>
          <w:color w:val="auto"/>
        </w:rPr>
      </w:pPr>
    </w:p>
    <w:p>
      <w:pPr>
        <w:ind w:left="6780"/>
        <w:spacing w:after="0"/>
        <w:rPr>
          <w:sz w:val="20"/>
          <w:szCs w:val="20"/>
          <w:color w:val="auto"/>
        </w:rPr>
      </w:pPr>
      <w:r>
        <w:rPr>
          <w:rFonts w:ascii="Arial" w:cs="Arial" w:eastAsia="Arial" w:hAnsi="Arial"/>
          <w:sz w:val="15"/>
          <w:szCs w:val="15"/>
          <w:color w:val="auto"/>
        </w:rPr>
        <w:t>/s/ BRADLEY L.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1905</wp:posOffset>
            </wp:positionV>
            <wp:extent cx="2844165"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4">
                      <a:extLst>
                        <a:ext uri="{28A0092B-C50C-407E-A947-70E740481C1C}"/>
                      </a:extLst>
                    </a:blip>
                    <a:srcRect/>
                    <a:stretch>
                      <a:fillRect/>
                    </a:stretch>
                  </pic:blipFill>
                  <pic:spPr bwMode="auto">
                    <a:xfrm>
                      <a:off x="0" y="0"/>
                      <a:ext cx="2844165" cy="6985"/>
                    </a:xfrm>
                    <a:prstGeom prst="rect">
                      <a:avLst/>
                    </a:prstGeom>
                    <a:noFill/>
                  </pic:spPr>
                </pic:pic>
              </a:graphicData>
            </a:graphic>
          </wp:anchor>
        </w:drawing>
      </w:r>
    </w:p>
    <w:p>
      <w:pPr>
        <w:spacing w:after="0" w:line="6" w:lineRule="exact"/>
        <w:rPr>
          <w:sz w:val="20"/>
          <w:szCs w:val="20"/>
          <w:color w:val="auto"/>
        </w:rPr>
      </w:pPr>
    </w:p>
    <w:p>
      <w:pPr>
        <w:ind w:left="6780"/>
        <w:spacing w:after="0"/>
        <w:rPr>
          <w:sz w:val="20"/>
          <w:szCs w:val="20"/>
          <w:color w:val="auto"/>
        </w:rPr>
      </w:pPr>
      <w:r>
        <w:rPr>
          <w:rFonts w:ascii="Arial" w:cs="Arial" w:eastAsia="Arial" w:hAnsi="Arial"/>
          <w:sz w:val="13"/>
          <w:szCs w:val="13"/>
          <w:color w:val="auto"/>
        </w:rPr>
        <w:t>Bradley L. Soultz</w:t>
      </w:r>
    </w:p>
    <w:p>
      <w:pPr>
        <w:spacing w:after="0" w:line="7" w:lineRule="exact"/>
        <w:rPr>
          <w:sz w:val="20"/>
          <w:szCs w:val="20"/>
          <w:color w:val="auto"/>
        </w:rPr>
      </w:pPr>
    </w:p>
    <w:p>
      <w:pPr>
        <w:ind w:left="6780"/>
        <w:spacing w:after="0"/>
        <w:rPr>
          <w:sz w:val="20"/>
          <w:szCs w:val="20"/>
          <w:color w:val="auto"/>
        </w:rPr>
      </w:pPr>
      <w:r>
        <w:rPr>
          <w:rFonts w:ascii="Arial" w:cs="Arial" w:eastAsia="Arial" w:hAnsi="Arial"/>
          <w:sz w:val="13"/>
          <w:szCs w:val="13"/>
          <w:i w:val="1"/>
          <w:iCs w:val="1"/>
          <w:color w:val="auto"/>
        </w:rPr>
        <w:t>Chief Executive Officer and Director</w:t>
      </w:r>
    </w:p>
    <w:p>
      <w:pPr>
        <w:ind w:left="6780"/>
        <w:spacing w:after="0"/>
        <w:rPr>
          <w:sz w:val="20"/>
          <w:szCs w:val="20"/>
          <w:color w:val="auto"/>
        </w:rPr>
      </w:pPr>
      <w:r>
        <w:rPr>
          <w:rFonts w:ascii="Arial" w:cs="Arial" w:eastAsia="Arial" w:hAnsi="Arial"/>
          <w:sz w:val="13"/>
          <w:szCs w:val="13"/>
          <w:i w:val="1"/>
          <w:iCs w:val="1"/>
          <w:color w:val="auto"/>
        </w:rPr>
        <w:t>(Principal Executive Officer)</w:t>
      </w:r>
    </w:p>
    <w:p>
      <w:pPr>
        <w:sectPr>
          <w:pgSz w:w="11900" w:h="16838" w:orient="portrait"/>
          <w:cols w:equalWidth="0" w:num="1">
            <w:col w:w="11280"/>
          </w:cols>
          <w:pgMar w:left="300" w:top="125" w:right="319" w:bottom="1440" w:gutter="0" w:footer="0" w:header="0"/>
        </w:sectPr>
      </w:pPr>
    </w:p>
    <w:bookmarkStart w:id="139" w:name="page140"/>
    <w:bookmarkEnd w:id="139"/>
    <w:p>
      <w:pPr>
        <w:jc w:val="right"/>
        <w:spacing w:after="0"/>
        <w:rPr>
          <w:sz w:val="20"/>
          <w:szCs w:val="20"/>
          <w:color w:val="auto"/>
        </w:rPr>
      </w:pPr>
      <w:r>
        <w:rPr>
          <w:rFonts w:ascii="Arial" w:cs="Arial" w:eastAsia="Arial" w:hAnsi="Arial"/>
          <w:sz w:val="13"/>
          <w:szCs w:val="13"/>
          <w:b w:val="1"/>
          <w:bCs w:val="1"/>
          <w:color w:val="auto"/>
        </w:rPr>
        <w:t>Exhibit 31.2</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Financial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 Section 302 of 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color w:val="auto"/>
        </w:rPr>
        <w:t>I, Timothy D. Boswell, certify that:</w:t>
      </w:r>
    </w:p>
    <w:p>
      <w:pPr>
        <w:spacing w:after="0" w:line="233" w:lineRule="exact"/>
        <w:rPr>
          <w:sz w:val="20"/>
          <w:szCs w:val="20"/>
          <w:color w:val="auto"/>
        </w:rPr>
      </w:pPr>
    </w:p>
    <w:p>
      <w:pPr>
        <w:ind w:left="160" w:hanging="153"/>
        <w:spacing w:after="0"/>
        <w:tabs>
          <w:tab w:leader="none" w:pos="160" w:val="left"/>
        </w:tabs>
        <w:numPr>
          <w:ilvl w:val="0"/>
          <w:numId w:val="52"/>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WillScot Mobile Mini Corp.;</w:t>
      </w:r>
    </w:p>
    <w:p>
      <w:pPr>
        <w:spacing w:after="0" w:line="68" w:lineRule="exact"/>
        <w:rPr>
          <w:rFonts w:ascii="Arial" w:cs="Arial" w:eastAsia="Arial" w:hAnsi="Arial"/>
          <w:sz w:val="13"/>
          <w:szCs w:val="13"/>
          <w:color w:val="auto"/>
        </w:rPr>
      </w:pPr>
    </w:p>
    <w:p>
      <w:pPr>
        <w:ind w:firstLine="7"/>
        <w:spacing w:after="0" w:line="350" w:lineRule="auto"/>
        <w:tabs>
          <w:tab w:leader="none" w:pos="170" w:val="left"/>
        </w:tabs>
        <w:numPr>
          <w:ilvl w:val="0"/>
          <w:numId w:val="52"/>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firstLine="7"/>
        <w:spacing w:after="0" w:line="350" w:lineRule="auto"/>
        <w:tabs>
          <w:tab w:leader="none" w:pos="152" w:val="left"/>
        </w:tabs>
        <w:numPr>
          <w:ilvl w:val="0"/>
          <w:numId w:val="52"/>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firstLine="7"/>
        <w:spacing w:after="0" w:line="350" w:lineRule="auto"/>
        <w:tabs>
          <w:tab w:leader="none" w:pos="150"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540" w:hanging="8"/>
        <w:spacing w:after="0" w:line="350" w:lineRule="auto"/>
        <w:tabs>
          <w:tab w:leader="none" w:pos="709" w:val="left"/>
        </w:tabs>
        <w:numPr>
          <w:ilvl w:val="1"/>
          <w:numId w:val="52"/>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540" w:hanging="8"/>
        <w:spacing w:after="0" w:line="350" w:lineRule="auto"/>
        <w:tabs>
          <w:tab w:leader="none" w:pos="697" w:val="left"/>
        </w:tabs>
        <w:numPr>
          <w:ilvl w:val="1"/>
          <w:numId w:val="52"/>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540" w:hanging="8"/>
        <w:spacing w:after="0" w:line="350" w:lineRule="auto"/>
        <w:tabs>
          <w:tab w:leader="none" w:pos="693" w:val="left"/>
        </w:tabs>
        <w:numPr>
          <w:ilvl w:val="1"/>
          <w:numId w:val="52"/>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40" w:right="20" w:hanging="8"/>
        <w:spacing w:after="0" w:line="350" w:lineRule="auto"/>
        <w:tabs>
          <w:tab w:leader="none" w:pos="694" w:val="left"/>
        </w:tabs>
        <w:numPr>
          <w:ilvl w:val="1"/>
          <w:numId w:val="52"/>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firstLine="7"/>
        <w:spacing w:after="0" w:line="350" w:lineRule="auto"/>
        <w:tabs>
          <w:tab w:leader="none" w:pos="147"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540" w:hanging="8"/>
        <w:spacing w:after="0" w:line="350" w:lineRule="auto"/>
        <w:tabs>
          <w:tab w:leader="none" w:pos="696" w:val="left"/>
        </w:tabs>
        <w:numPr>
          <w:ilvl w:val="1"/>
          <w:numId w:val="52"/>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80" w:hanging="148"/>
        <w:spacing w:after="0"/>
        <w:tabs>
          <w:tab w:leader="none" w:pos="680" w:val="left"/>
        </w:tabs>
        <w:numPr>
          <w:ilvl w:val="1"/>
          <w:numId w:val="5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color w:val="auto"/>
        </w:rPr>
        <w:t>Date: February 25, 2022</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3"/>
          <w:szCs w:val="13"/>
          <w:color w:val="auto"/>
        </w:rPr>
        <w:t>/s/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8255</wp:posOffset>
            </wp:positionV>
            <wp:extent cx="2844165"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5">
                      <a:extLst>
                        <a:ext uri="{28A0092B-C50C-407E-A947-70E740481C1C}"/>
                      </a:extLst>
                    </a:blip>
                    <a:srcRect/>
                    <a:stretch>
                      <a:fillRect/>
                    </a:stretch>
                  </pic:blipFill>
                  <pic:spPr bwMode="auto">
                    <a:xfrm>
                      <a:off x="0" y="0"/>
                      <a:ext cx="2844165" cy="698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3"/>
          <w:szCs w:val="13"/>
          <w:color w:val="auto"/>
        </w:rPr>
        <w:t>Timothy D. Boswell</w:t>
      </w:r>
    </w:p>
    <w:p>
      <w:pPr>
        <w:spacing w:after="0" w:line="7" w:lineRule="exact"/>
        <w:rPr>
          <w:sz w:val="20"/>
          <w:szCs w:val="20"/>
          <w:color w:val="auto"/>
        </w:rPr>
      </w:pPr>
    </w:p>
    <w:p>
      <w:pPr>
        <w:ind w:left="6780"/>
        <w:spacing w:after="0"/>
        <w:rPr>
          <w:sz w:val="20"/>
          <w:szCs w:val="20"/>
          <w:color w:val="auto"/>
        </w:rPr>
      </w:pPr>
      <w:r>
        <w:rPr>
          <w:rFonts w:ascii="Arial" w:cs="Arial" w:eastAsia="Arial" w:hAnsi="Arial"/>
          <w:sz w:val="13"/>
          <w:szCs w:val="13"/>
          <w:i w:val="1"/>
          <w:iCs w:val="1"/>
          <w:color w:val="auto"/>
        </w:rPr>
        <w:t>President and Chief Financial Officer</w:t>
      </w:r>
    </w:p>
    <w:p>
      <w:pPr>
        <w:ind w:left="6780"/>
        <w:spacing w:after="0"/>
        <w:rPr>
          <w:sz w:val="20"/>
          <w:szCs w:val="20"/>
          <w:color w:val="auto"/>
        </w:rPr>
      </w:pPr>
      <w:r>
        <w:rPr>
          <w:rFonts w:ascii="Arial" w:cs="Arial" w:eastAsia="Arial" w:hAnsi="Arial"/>
          <w:sz w:val="13"/>
          <w:szCs w:val="13"/>
          <w:i w:val="1"/>
          <w:iCs w:val="1"/>
          <w:color w:val="auto"/>
        </w:rPr>
        <w:t>(Principal Financial Officer)</w:t>
      </w:r>
    </w:p>
    <w:p>
      <w:pPr>
        <w:sectPr>
          <w:pgSz w:w="11900" w:h="16838" w:orient="portrait"/>
          <w:cols w:equalWidth="0" w:num="1">
            <w:col w:w="11280"/>
          </w:cols>
          <w:pgMar w:left="300" w:top="125" w:right="319" w:bottom="1440" w:gutter="0" w:footer="0" w:header="0"/>
        </w:sectPr>
      </w:pPr>
    </w:p>
    <w:bookmarkStart w:id="140" w:name="page141"/>
    <w:bookmarkEnd w:id="140"/>
    <w:p>
      <w:pPr>
        <w:jc w:val="right"/>
        <w:spacing w:after="0"/>
        <w:rPr>
          <w:sz w:val="20"/>
          <w:szCs w:val="20"/>
          <w:color w:val="auto"/>
        </w:rPr>
      </w:pPr>
      <w:r>
        <w:rPr>
          <w:rFonts w:ascii="Arial" w:cs="Arial" w:eastAsia="Arial" w:hAnsi="Arial"/>
          <w:sz w:val="13"/>
          <w:szCs w:val="13"/>
          <w:b w:val="1"/>
          <w:bCs w:val="1"/>
          <w:color w:val="auto"/>
        </w:rPr>
        <w:t>Exhibit 32.1</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Executive Officer</w:t>
      </w:r>
    </w:p>
    <w:p>
      <w:pPr>
        <w:spacing w:after="0" w:line="336" w:lineRule="exact"/>
        <w:rPr>
          <w:sz w:val="20"/>
          <w:szCs w:val="20"/>
          <w:color w:val="auto"/>
        </w:rPr>
      </w:pPr>
    </w:p>
    <w:p>
      <w:pPr>
        <w:ind w:firstLine="262"/>
        <w:spacing w:after="0" w:line="350" w:lineRule="auto"/>
        <w:rPr>
          <w:sz w:val="20"/>
          <w:szCs w:val="20"/>
          <w:color w:val="auto"/>
        </w:rPr>
      </w:pPr>
      <w:r>
        <w:rPr>
          <w:rFonts w:ascii="Arial" w:cs="Arial" w:eastAsia="Arial" w:hAnsi="Arial"/>
          <w:sz w:val="13"/>
          <w:szCs w:val="13"/>
          <w:color w:val="auto"/>
        </w:rPr>
        <w:t>Pursuant to 18 U.S.C. Section 1350, as created by Section 906 of the Sarbanes-Oxley Act of 2002, the undersigned officer of WillScot Mobile Mini Corp. (the “Company”) hereby certifies, to such officer's knowledge, that:</w:t>
      </w:r>
    </w:p>
    <w:p>
      <w:pPr>
        <w:spacing w:after="0" w:line="1" w:lineRule="exact"/>
        <w:rPr>
          <w:sz w:val="20"/>
          <w:szCs w:val="20"/>
          <w:color w:val="auto"/>
        </w:rPr>
      </w:pPr>
    </w:p>
    <w:p>
      <w:pPr>
        <w:ind w:left="540" w:hanging="8"/>
        <w:spacing w:after="0" w:line="350" w:lineRule="auto"/>
        <w:tabs>
          <w:tab w:leader="none" w:pos="704"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annual report on Form 10-K of the Company for the period ended December 31, 2021 (the “Report”) fully complies with the requirements of Section 13(a) or Section 15(d), as applicable, of the Securities Exchange Act of 1934, as amended; and</w:t>
      </w:r>
    </w:p>
    <w:p>
      <w:pPr>
        <w:ind w:left="720" w:hanging="188"/>
        <w:spacing w:after="0"/>
        <w:tabs>
          <w:tab w:leader="none" w:pos="72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 February 25, 2022</w:t>
      </w:r>
    </w:p>
    <w:p>
      <w:pPr>
        <w:spacing w:after="0" w:line="69" w:lineRule="exact"/>
        <w:rPr>
          <w:sz w:val="20"/>
          <w:szCs w:val="20"/>
          <w:color w:val="auto"/>
        </w:rPr>
      </w:pPr>
    </w:p>
    <w:p>
      <w:pPr>
        <w:ind w:left="7260"/>
        <w:spacing w:after="0"/>
        <w:rPr>
          <w:sz w:val="20"/>
          <w:szCs w:val="20"/>
          <w:color w:val="auto"/>
        </w:rPr>
      </w:pPr>
      <w:r>
        <w:rPr>
          <w:rFonts w:ascii="Arial" w:cs="Arial" w:eastAsia="Arial" w:hAnsi="Arial"/>
          <w:sz w:val="13"/>
          <w:szCs w:val="13"/>
          <w:color w:val="auto"/>
        </w:rPr>
        <w:t>/s/ BRADLEY L.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4603750</wp:posOffset>
            </wp:positionH>
            <wp:positionV relativeFrom="paragraph">
              <wp:posOffset>8255</wp:posOffset>
            </wp:positionV>
            <wp:extent cx="2531745"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6">
                      <a:extLst>
                        <a:ext uri="{28A0092B-C50C-407E-A947-70E740481C1C}"/>
                      </a:extLst>
                    </a:blip>
                    <a:srcRect/>
                    <a:stretch>
                      <a:fillRect/>
                    </a:stretch>
                  </pic:blipFill>
                  <pic:spPr bwMode="auto">
                    <a:xfrm>
                      <a:off x="0" y="0"/>
                      <a:ext cx="2531745" cy="6985"/>
                    </a:xfrm>
                    <a:prstGeom prst="rect">
                      <a:avLst/>
                    </a:prstGeom>
                    <a:noFill/>
                  </pic:spPr>
                </pic:pic>
              </a:graphicData>
            </a:graphic>
          </wp:anchor>
        </w:drawing>
      </w:r>
    </w:p>
    <w:p>
      <w:pPr>
        <w:spacing w:after="0" w:line="16" w:lineRule="exact"/>
        <w:rPr>
          <w:sz w:val="20"/>
          <w:szCs w:val="20"/>
          <w:color w:val="auto"/>
        </w:rPr>
      </w:pPr>
    </w:p>
    <w:p>
      <w:pPr>
        <w:ind w:left="7260"/>
        <w:spacing w:after="0"/>
        <w:rPr>
          <w:sz w:val="20"/>
          <w:szCs w:val="20"/>
          <w:color w:val="auto"/>
        </w:rPr>
      </w:pPr>
      <w:r>
        <w:rPr>
          <w:rFonts w:ascii="Arial" w:cs="Arial" w:eastAsia="Arial" w:hAnsi="Arial"/>
          <w:sz w:val="13"/>
          <w:szCs w:val="13"/>
          <w:color w:val="auto"/>
        </w:rPr>
        <w:t>Bradley L. Soultz</w:t>
      </w:r>
    </w:p>
    <w:p>
      <w:pPr>
        <w:spacing w:after="0" w:line="11" w:lineRule="exact"/>
        <w:rPr>
          <w:sz w:val="20"/>
          <w:szCs w:val="20"/>
          <w:color w:val="auto"/>
        </w:rPr>
      </w:pPr>
    </w:p>
    <w:p>
      <w:pPr>
        <w:ind w:left="7260"/>
        <w:spacing w:after="0"/>
        <w:rPr>
          <w:sz w:val="20"/>
          <w:szCs w:val="20"/>
          <w:color w:val="auto"/>
        </w:rPr>
      </w:pPr>
      <w:r>
        <w:rPr>
          <w:rFonts w:ascii="Arial" w:cs="Arial" w:eastAsia="Arial" w:hAnsi="Arial"/>
          <w:sz w:val="13"/>
          <w:szCs w:val="13"/>
          <w:i w:val="1"/>
          <w:iCs w:val="1"/>
          <w:color w:val="auto"/>
        </w:rPr>
        <w:t>Chief Executive Officer and Director (Principal Executive Officer)</w:t>
      </w:r>
    </w:p>
    <w:p>
      <w:pPr>
        <w:sectPr>
          <w:pgSz w:w="11900" w:h="16838" w:orient="portrait"/>
          <w:cols w:equalWidth="0" w:num="1">
            <w:col w:w="11280"/>
          </w:cols>
          <w:pgMar w:left="300" w:top="125" w:right="319" w:bottom="1440" w:gutter="0" w:footer="0" w:header="0"/>
        </w:sectPr>
      </w:pPr>
    </w:p>
    <w:bookmarkStart w:id="141" w:name="page142"/>
    <w:bookmarkEnd w:id="141"/>
    <w:p>
      <w:pPr>
        <w:jc w:val="right"/>
        <w:spacing w:after="0"/>
        <w:rPr>
          <w:sz w:val="20"/>
          <w:szCs w:val="20"/>
          <w:color w:val="auto"/>
        </w:rPr>
      </w:pPr>
      <w:r>
        <w:rPr>
          <w:rFonts w:ascii="Arial" w:cs="Arial" w:eastAsia="Arial" w:hAnsi="Arial"/>
          <w:sz w:val="13"/>
          <w:szCs w:val="13"/>
          <w:b w:val="1"/>
          <w:bCs w:val="1"/>
          <w:color w:val="auto"/>
        </w:rPr>
        <w:t>Exhibit 32.2</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Financial Officer</w:t>
      </w:r>
    </w:p>
    <w:p>
      <w:pPr>
        <w:spacing w:after="0" w:line="140" w:lineRule="exact"/>
        <w:rPr>
          <w:sz w:val="20"/>
          <w:szCs w:val="20"/>
          <w:color w:val="auto"/>
        </w:rPr>
      </w:pPr>
    </w:p>
    <w:p>
      <w:pPr>
        <w:ind w:firstLine="262"/>
        <w:spacing w:after="0" w:line="350" w:lineRule="auto"/>
        <w:rPr>
          <w:sz w:val="20"/>
          <w:szCs w:val="20"/>
          <w:color w:val="auto"/>
        </w:rPr>
      </w:pPr>
      <w:r>
        <w:rPr>
          <w:rFonts w:ascii="Arial" w:cs="Arial" w:eastAsia="Arial" w:hAnsi="Arial"/>
          <w:sz w:val="13"/>
          <w:szCs w:val="13"/>
          <w:color w:val="auto"/>
        </w:rPr>
        <w:t>Pursuant to 18 U.S.C. Section 1350, as created by Section 906 of the Sarbanes-Oxley Act of 2002, the undersigned officer of WillScot Mobile Mini Corp. (the “Company”) hereby certifies, to such officer's knowledge, that:</w:t>
      </w:r>
    </w:p>
    <w:p>
      <w:pPr>
        <w:spacing w:after="0" w:line="1" w:lineRule="exact"/>
        <w:rPr>
          <w:sz w:val="20"/>
          <w:szCs w:val="20"/>
          <w:color w:val="auto"/>
        </w:rPr>
      </w:pPr>
    </w:p>
    <w:p>
      <w:pPr>
        <w:ind w:left="540" w:hanging="8"/>
        <w:spacing w:after="0" w:line="350" w:lineRule="auto"/>
        <w:tabs>
          <w:tab w:leader="none" w:pos="704"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the annual report on Form 10-K of the Company for the period ended December 31, 2021 (the “Report”) fully complies with the requirements of Section 13(a) or Section 15(d), as applicable, of the Securities Exchange Act of 1934, as amended; and</w:t>
      </w:r>
    </w:p>
    <w:p>
      <w:pPr>
        <w:ind w:left="720" w:hanging="188"/>
        <w:spacing w:after="0"/>
        <w:tabs>
          <w:tab w:leader="none" w:pos="720"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 February 25, 2022</w:t>
      </w:r>
    </w:p>
    <w:p>
      <w:pPr>
        <w:spacing w:after="0" w:line="69" w:lineRule="exact"/>
        <w:rPr>
          <w:sz w:val="20"/>
          <w:szCs w:val="20"/>
          <w:color w:val="auto"/>
        </w:rPr>
      </w:pPr>
    </w:p>
    <w:p>
      <w:pPr>
        <w:ind w:left="7260"/>
        <w:spacing w:after="0"/>
        <w:rPr>
          <w:sz w:val="20"/>
          <w:szCs w:val="20"/>
          <w:color w:val="auto"/>
        </w:rPr>
      </w:pPr>
      <w:r>
        <w:rPr>
          <w:rFonts w:ascii="Arial" w:cs="Arial" w:eastAsia="Arial" w:hAnsi="Arial"/>
          <w:sz w:val="13"/>
          <w:szCs w:val="13"/>
          <w:color w:val="auto"/>
        </w:rPr>
        <w:t>/s/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4596765</wp:posOffset>
            </wp:positionH>
            <wp:positionV relativeFrom="paragraph">
              <wp:posOffset>8255</wp:posOffset>
            </wp:positionV>
            <wp:extent cx="2531745"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7">
                      <a:extLst>
                        <a:ext uri="{28A0092B-C50C-407E-A947-70E740481C1C}"/>
                      </a:extLst>
                    </a:blip>
                    <a:srcRect/>
                    <a:stretch>
                      <a:fillRect/>
                    </a:stretch>
                  </pic:blipFill>
                  <pic:spPr bwMode="auto">
                    <a:xfrm>
                      <a:off x="0" y="0"/>
                      <a:ext cx="2531745" cy="6985"/>
                    </a:xfrm>
                    <a:prstGeom prst="rect">
                      <a:avLst/>
                    </a:prstGeom>
                    <a:noFill/>
                  </pic:spPr>
                </pic:pic>
              </a:graphicData>
            </a:graphic>
          </wp:anchor>
        </w:drawing>
      </w:r>
    </w:p>
    <w:p>
      <w:pPr>
        <w:spacing w:after="0" w:line="16" w:lineRule="exact"/>
        <w:rPr>
          <w:sz w:val="20"/>
          <w:szCs w:val="20"/>
          <w:color w:val="auto"/>
        </w:rPr>
      </w:pPr>
    </w:p>
    <w:p>
      <w:pPr>
        <w:ind w:left="7260"/>
        <w:spacing w:after="0"/>
        <w:rPr>
          <w:sz w:val="20"/>
          <w:szCs w:val="20"/>
          <w:color w:val="auto"/>
        </w:rPr>
      </w:pPr>
      <w:r>
        <w:rPr>
          <w:rFonts w:ascii="Arial" w:cs="Arial" w:eastAsia="Arial" w:hAnsi="Arial"/>
          <w:sz w:val="13"/>
          <w:szCs w:val="13"/>
          <w:color w:val="auto"/>
        </w:rPr>
        <w:t>Timothy D. Boswell</w:t>
      </w:r>
    </w:p>
    <w:p>
      <w:pPr>
        <w:spacing w:after="0" w:line="11" w:lineRule="exact"/>
        <w:rPr>
          <w:sz w:val="20"/>
          <w:szCs w:val="20"/>
          <w:color w:val="auto"/>
        </w:rPr>
      </w:pPr>
    </w:p>
    <w:p>
      <w:pPr>
        <w:ind w:left="7260"/>
        <w:spacing w:after="0"/>
        <w:rPr>
          <w:sz w:val="20"/>
          <w:szCs w:val="20"/>
          <w:color w:val="auto"/>
        </w:rPr>
      </w:pPr>
      <w:r>
        <w:rPr>
          <w:rFonts w:ascii="Arial" w:cs="Arial" w:eastAsia="Arial" w:hAnsi="Arial"/>
          <w:sz w:val="13"/>
          <w:szCs w:val="13"/>
          <w:i w:val="1"/>
          <w:iCs w:val="1"/>
          <w:color w:val="auto"/>
        </w:rPr>
        <w:t>President and Chief Financial Officer (Principal Financial Officer)</w:t>
      </w:r>
    </w:p>
    <w:sectPr>
      <w:pgSz w:w="11900" w:h="16838" w:orient="portrait"/>
      <w:cols w:equalWidth="0" w:num="1">
        <w:col w:w="11280"/>
      </w:cols>
      <w:pgMar w:left="300" w:top="12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1)"/>
      <w:numFmt w:val="decimal"/>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lvl w:ilvl="1">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1)"/>
      <w:numFmt w:val="lowerLetter"/>
      <w:start w:val="2"/>
    </w:lvl>
  </w:abstractNum>
  <w:abstractNum w:abstractNumId="12">
    <w:nsid w:val="3006C83E"/>
    <w:multiLevelType w:val="hybridMultilevel"/>
    <w:lvl w:ilvl="0">
      <w:lvlJc w:val="left"/>
      <w:lvlText w:val="(%1)"/>
      <w:numFmt w:val="lowerLetter"/>
      <w:start w:val="17"/>
    </w:lvl>
  </w:abstractNum>
  <w:abstractNum w:abstractNumId="13">
    <w:nsid w:val="614FD4A1"/>
    <w:multiLevelType w:val="hybridMultilevel"/>
    <w:lvl w:ilvl="0">
      <w:lvlJc w:val="left"/>
      <w:lvlText w:val="(%1)"/>
      <w:numFmt w:val="decimal"/>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lvl w:ilvl="1">
      <w:lvlJc w:val="left"/>
      <w:lvlText w:val="\endash "/>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1)"/>
      <w:numFmt w:val="lowerRoman"/>
      <w:start w:val="1"/>
    </w:lvl>
  </w:abstractNum>
  <w:abstractNum w:abstractNumId="18">
    <w:nsid w:val="3804823E"/>
    <w:multiLevelType w:val="hybridMultilevel"/>
    <w:lvl w:ilvl="0">
      <w:lvlJc w:val="left"/>
      <w:lvlText w:val="(%1)"/>
      <w:numFmt w:val="lowerLetter"/>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1)"/>
      <w:numFmt w:val="lowerRoman"/>
      <w:start w:val="1"/>
    </w:lvl>
  </w:abstractNum>
  <w:abstractNum w:abstractNumId="22">
    <w:nsid w:val="2463B9EA"/>
    <w:multiLevelType w:val="hybridMultilevel"/>
    <w:lvl w:ilvl="0">
      <w:lvlJc w:val="left"/>
      <w:lvlText w:val="(%1)"/>
      <w:numFmt w:val="lowerLetter"/>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1"/>
      <w:numFmt w:val="bullet"/>
      <w:start w:val="1"/>
    </w:lvl>
  </w:abstractNum>
  <w:abstractNum w:abstractNumId="26">
    <w:nsid w:val="580BD78F"/>
    <w:multiLevelType w:val="hybridMultilevel"/>
    <w:lvl w:ilvl="0">
      <w:lvlJc w:val="left"/>
      <w:lvlText w:val="(%1)"/>
      <w:numFmt w:val="lowerLetter"/>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1)"/>
      <w:numFmt w:val="lowerLetter"/>
      <w:start w:val="1"/>
    </w:lvl>
  </w:abstractNum>
  <w:abstractNum w:abstractNumId="29">
    <w:nsid w:val="70A64E2A"/>
    <w:multiLevelType w:val="hybridMultilevel"/>
    <w:lvl w:ilvl="0">
      <w:lvlJc w:val="left"/>
      <w:lvlText w:val="(%1)"/>
      <w:numFmt w:val="lowerLetter"/>
      <w:start w:val="1"/>
    </w:lvl>
  </w:abstractNum>
  <w:abstractNum w:abstractNumId="30">
    <w:nsid w:val="6A2342EC"/>
    <w:multiLevelType w:val="hybridMultilevel"/>
    <w:lvl w:ilvl="0">
      <w:lvlJc w:val="left"/>
      <w:lvlText w:val="(%1)"/>
      <w:numFmt w:val="lowerLetter"/>
      <w:start w:val="1"/>
    </w:lvl>
  </w:abstractNum>
  <w:abstractNum w:abstractNumId="31">
    <w:nsid w:val="2A487CB0"/>
    <w:multiLevelType w:val="hybridMultilevel"/>
    <w:lvl w:ilvl="0">
      <w:lvlJc w:val="left"/>
      <w:lvlText w:val="(%1)"/>
      <w:numFmt w:val="lowerLetter"/>
      <w:start w:val="1"/>
    </w:lvl>
  </w:abstractNum>
  <w:abstractNum w:abstractNumId="32">
    <w:nsid w:val="1D4ED43B"/>
    <w:multiLevelType w:val="hybridMultilevel"/>
    <w:lvl w:ilvl="0">
      <w:lvlJc w:val="left"/>
      <w:lvlText w:val="(%1)"/>
      <w:numFmt w:val="lowerLetter"/>
      <w:start w:val="1"/>
    </w:lvl>
  </w:abstractNum>
  <w:abstractNum w:abstractNumId="33">
    <w:nsid w:val="725A06FB"/>
    <w:multiLevelType w:val="hybridMultilevel"/>
    <w:lvl w:ilvl="0">
      <w:lvlJc w:val="left"/>
      <w:lvlText w:val="(%1)"/>
      <w:numFmt w:val="lowerLetter"/>
      <w:start w:val="1"/>
    </w:lvl>
  </w:abstractNum>
  <w:abstractNum w:abstractNumId="34">
    <w:nsid w:val="2CD89A32"/>
    <w:multiLevelType w:val="hybridMultilevel"/>
    <w:lvl w:ilvl="0">
      <w:lvlJc w:val="left"/>
      <w:lvlText w:val="(%1)"/>
      <w:numFmt w:val="lowerLetter"/>
      <w:start w:val="1"/>
    </w:lvl>
  </w:abstractNum>
  <w:abstractNum w:abstractNumId="35">
    <w:nsid w:val="57E4CCAF"/>
    <w:multiLevelType w:val="hybridMultilevel"/>
    <w:lvl w:ilvl="0">
      <w:lvlJc w:val="left"/>
      <w:lvlText w:val="(%1)"/>
      <w:numFmt w:val="decimal"/>
      <w:start w:val="3"/>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1."/>
      <w:numFmt w:val="decimal"/>
      <w:start w:val="1"/>
    </w:lvl>
    <w:lvl w:ilvl="1">
      <w:lvlJc w:val="left"/>
      <w:lvlText w:val="(%2)"/>
      <w:numFmt w:val="lowerLetter"/>
      <w:start w:val="1"/>
    </w:lvl>
  </w:abstractNum>
  <w:abstractNum w:abstractNumId="40">
    <w:nsid w:val="38437FDB"/>
    <w:multiLevelType w:val="hybridMultilevel"/>
    <w:lvl w:ilvl="0">
      <w:lvlJc w:val="left"/>
      <w:lvlText w:val="%1."/>
      <w:numFmt w:val="decimal"/>
      <w:start w:val="3"/>
    </w:lvl>
  </w:abstractNum>
  <w:abstractNum w:abstractNumId="41">
    <w:nsid w:val="7644A45C"/>
    <w:multiLevelType w:val="hybridMultilevel"/>
    <w:lvl w:ilvl="0">
      <w:lvlJc w:val="left"/>
      <w:lvlText w:val="%1."/>
      <w:numFmt w:val="decimal"/>
      <w:start w:val="6"/>
    </w:lvl>
  </w:abstractNum>
  <w:abstractNum w:abstractNumId="42">
    <w:nsid w:val="32FFF902"/>
    <w:multiLevelType w:val="hybridMultilevel"/>
    <w:lvl w:ilvl="0">
      <w:lvlJc w:val="left"/>
      <w:lvlText w:val="%1."/>
      <w:numFmt w:val="decimal"/>
      <w:start w:val="7"/>
    </w:lvl>
    <w:lvl w:ilvl="1">
      <w:lvlJc w:val="left"/>
      <w:lvlText w:val="(%2)"/>
      <w:numFmt w:val="lowerRoman"/>
      <w:start w:val="1"/>
    </w:lvl>
  </w:abstractNum>
  <w:abstractNum w:abstractNumId="43">
    <w:nsid w:val="684A481A"/>
    <w:multiLevelType w:val="hybridMultilevel"/>
    <w:lvl w:ilvl="0">
      <w:lvlJc w:val="left"/>
      <w:lvlText w:val="%1."/>
      <w:numFmt w:val="decimal"/>
      <w:start w:val="13"/>
    </w:lvl>
  </w:abstractNum>
  <w:abstractNum w:abstractNumId="44">
    <w:nsid w:val="579478FE"/>
    <w:multiLevelType w:val="hybridMultilevel"/>
    <w:lvl w:ilvl="0">
      <w:lvlJc w:val="left"/>
      <w:lvlText w:val="%1."/>
      <w:numFmt w:val="decimal"/>
      <w:start w:val="15"/>
    </w:lvl>
  </w:abstractNum>
  <w:abstractNum w:abstractNumId="45">
    <w:nsid w:val="749ABB43"/>
    <w:multiLevelType w:val="hybridMultilevel"/>
    <w:lvl w:ilvl="0">
      <w:lvlJc w:val="left"/>
      <w:lvlText w:val="(%1)"/>
      <w:numFmt w:val="lowerLetter"/>
      <w:start w:val="1"/>
    </w:lvl>
  </w:abstractNum>
  <w:abstractNum w:abstractNumId="46">
    <w:nsid w:val="3DC240FB"/>
    <w:multiLevelType w:val="hybridMultilevel"/>
    <w:lvl w:ilvl="0">
      <w:lvlJc w:val="left"/>
      <w:lvlText w:val="(%1)"/>
      <w:numFmt w:val="lowerLetter"/>
      <w:start w:val="1"/>
    </w:lvl>
  </w:abstractNum>
  <w:abstractNum w:abstractNumId="47">
    <w:nsid w:val="1BA026FA"/>
    <w:multiLevelType w:val="hybridMultilevel"/>
    <w:lvl w:ilvl="0">
      <w:lvlJc w:val="left"/>
      <w:lvlText w:val="(%1)"/>
      <w:numFmt w:val="lowerLetter"/>
      <w:start w:val="2"/>
    </w:lvl>
  </w:abstractNum>
  <w:abstractNum w:abstractNumId="48">
    <w:nsid w:val="79A1DEAA"/>
    <w:multiLevelType w:val="hybridMultilevel"/>
    <w:lvl w:ilvl="0">
      <w:lvlJc w:val="left"/>
      <w:lvlText w:val="(%1)"/>
      <w:numFmt w:val="lowerLetter"/>
      <w:start w:val="1"/>
    </w:lvl>
  </w:abstractNum>
  <w:abstractNum w:abstractNumId="49">
    <w:nsid w:val="75C6C33A"/>
    <w:multiLevelType w:val="hybridMultilevel"/>
    <w:lvl w:ilvl="0">
      <w:lvlJc w:val="left"/>
      <w:lvlText w:val="(%1)"/>
      <w:numFmt w:val="decimal"/>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lowerRoman"/>
      <w:start w:val="1"/>
    </w:lvl>
  </w:abstractNum>
  <w:abstractNum w:abstractNumId="53">
    <w:nsid w:val="374A3FE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64" Type="http://schemas.openxmlformats.org/officeDocument/2006/relationships/image" Target="media/image137.png"/><Relationship Id="rId175" Type="http://schemas.openxmlformats.org/officeDocument/2006/relationships/image" Target="media/image138.png"/><Relationship Id="rId176" Type="http://schemas.openxmlformats.org/officeDocument/2006/relationships/image" Target="media/image139.png"/><Relationship Id="rId177" Type="http://schemas.openxmlformats.org/officeDocument/2006/relationships/image" Target="media/image140.png"/><Relationship Id="rId178" Type="http://schemas.openxmlformats.org/officeDocument/2006/relationships/image" Target="media/image141.png"/><Relationship Id="rId179" Type="http://schemas.openxmlformats.org/officeDocument/2006/relationships/image" Target="media/image142.png"/><Relationship Id="rId180" Type="http://schemas.openxmlformats.org/officeDocument/2006/relationships/image" Target="media/image143.png"/><Relationship Id="rId181" Type="http://schemas.openxmlformats.org/officeDocument/2006/relationships/image" Target="media/image144.png"/><Relationship Id="rId182" Type="http://schemas.openxmlformats.org/officeDocument/2006/relationships/image" Target="media/image145.png"/><Relationship Id="rId183" Type="http://schemas.openxmlformats.org/officeDocument/2006/relationships/image" Target="media/image146.png"/><Relationship Id="rId184" Type="http://schemas.openxmlformats.org/officeDocument/2006/relationships/image" Target="media/image147.png"/><Relationship Id="rId185" Type="http://schemas.openxmlformats.org/officeDocument/2006/relationships/image" Target="media/image148.png"/><Relationship Id="rId186" Type="http://schemas.openxmlformats.org/officeDocument/2006/relationships/image" Target="media/image149.png"/><Relationship Id="rId187" Type="http://schemas.openxmlformats.org/officeDocument/2006/relationships/image" Target="media/image150.png"/><Relationship Id="rId144" Type="http://schemas.openxmlformats.org/officeDocument/2006/relationships/hyperlink" Target="https://www.sec.gov/Archives/edgar/data/1647088/000110465920029590/tm2011399d7_ex2-1.htm" TargetMode="External"/><Relationship Id="rId145" Type="http://schemas.openxmlformats.org/officeDocument/2006/relationships/hyperlink" Target="https://www.sec.gov/Archives/edgar/data/1647088/000110465920068763/tm2021384d1_ex2-1.htm" TargetMode="External"/><Relationship Id="rId146" Type="http://schemas.openxmlformats.org/officeDocument/2006/relationships/hyperlink" Target="https://www.sec.gov/Archives/edgar/data/1647088/000110465920079822/tm2023606d1_ex3-1b.htm" TargetMode="External"/><Relationship Id="rId147" Type="http://schemas.openxmlformats.org/officeDocument/2006/relationships/hyperlink" Target="https://www.sec.gov/Archives/edgar/data/0001647088/000110465921082131/tm2119974d1_ex3-1.htm" TargetMode="External"/><Relationship Id="rId148" Type="http://schemas.openxmlformats.org/officeDocument/2006/relationships/hyperlink" Target="https://www.sec.gov/Archives/edgar/data/0001647088/000110465921133718/tm2131740d1_ex3-1.htm" TargetMode="External"/><Relationship Id="rId149" Type="http://schemas.openxmlformats.org/officeDocument/2006/relationships/hyperlink" Target="https://www.sec.gov/Archives/edgar/data/1647088/000110465918052450/a18-18814_1ex4d1.htm" TargetMode="External"/><Relationship Id="rId150" Type="http://schemas.openxmlformats.org/officeDocument/2006/relationships/hyperlink" Target="https://www.sec.gov/Archives/edgar/data/1647088/000104746919000209/a2237556zex-4_5.htm" TargetMode="External"/><Relationship Id="rId151" Type="http://schemas.openxmlformats.org/officeDocument/2006/relationships/hyperlink" Target="https://www.sec.gov/Archives/edgar/data/1647088/000110465920073761/tm2022650d1_ex4-1.htm" TargetMode="External"/><Relationship Id="rId152" Type="http://schemas.openxmlformats.org/officeDocument/2006/relationships/hyperlink" Target="https://www.sec.gov/Archives/edgar/data/1647088/000110465920079826/tm2023606d2_ex4-1.htm" TargetMode="External"/><Relationship Id="rId153" Type="http://schemas.openxmlformats.org/officeDocument/2006/relationships/hyperlink" Target="https://www.sec.gov/Archives/edgar/data/1647088/000110465920098830/tm2029205d2_ex4-1.htm" TargetMode="External"/><Relationship Id="rId154" Type="http://schemas.openxmlformats.org/officeDocument/2006/relationships/hyperlink" Target="https://www.sec.gov/Archives/edgar/data/1647088/000110465920079822/tm2023606d1_ex1-1.htm" TargetMode="External"/><Relationship Id="rId155" Type="http://schemas.openxmlformats.org/officeDocument/2006/relationships/hyperlink" Target="https://www.sec.gov/Archives/edgar/data/0001647088/000110465921153643/tm2136110d1_ex4-1.htm" TargetMode="External"/><Relationship Id="rId156" Type="http://schemas.openxmlformats.org/officeDocument/2006/relationships/hyperlink" Target="https://www.sec.gov/Archives/edgar/data/0001647088/000110465921153643/tm2136110d1_ex4-2.htm" TargetMode="External"/><Relationship Id="rId157" Type="http://schemas.openxmlformats.org/officeDocument/2006/relationships/hyperlink" Target="https://www.sec.gov/Archives/edgar/data/1647088/000110465918052450/a18-18814_1ex10d1.htm" TargetMode="External"/><Relationship Id="rId158" Type="http://schemas.openxmlformats.org/officeDocument/2006/relationships/hyperlink" Target="https://www.sec.gov/Archives/edgar/data/1647088/000110465920079822/tm2023606d1_ex10-1.htm" TargetMode="External"/><Relationship Id="rId159" Type="http://schemas.openxmlformats.org/officeDocument/2006/relationships/hyperlink" Target="https://www.sec.gov/Archives/edgar/data/1647088/000110465920079822/tm2023606d1_ex10-2.htm" TargetMode="External"/><Relationship Id="rId160" Type="http://schemas.openxmlformats.org/officeDocument/2006/relationships/hyperlink" Target="https://www.sec.gov/Archives/edgar/data/1647088/000110465920079822/tm2023606d1_ex10-3.htm" TargetMode="External"/><Relationship Id="rId161" Type="http://schemas.openxmlformats.org/officeDocument/2006/relationships/hyperlink" Target="https://www.sec.gov/Archives/edgar/data/1647088/000110465920079822/tm2023606d1_ex10-4.htm" TargetMode="External"/><Relationship Id="rId162" Type="http://schemas.openxmlformats.org/officeDocument/2006/relationships/hyperlink" Target="https://www.sec.gov/Archives/edgar/data/1647088/000110465920079822/tm2023606d1_ex10-5.htm" TargetMode="External"/><Relationship Id="rId163" Type="http://schemas.openxmlformats.org/officeDocument/2006/relationships/hyperlink" Target="https://www.sec.gov/Archives/edgar/data/1647088/000110465921113630/tm2127048d1_ex10-1.htm" TargetMode="External"/><Relationship Id="rId165" Type="http://schemas.openxmlformats.org/officeDocument/2006/relationships/hyperlink" Target="https://www.sec.gov/Archives/edgar/data/1647088/000110465920029590/tm2011399d7_ex10-2.htm" TargetMode="External"/><Relationship Id="rId166" Type="http://schemas.openxmlformats.org/officeDocument/2006/relationships/hyperlink" Target="https://www.sec.gov/Archives/edgar/data/1647088/000110465921113630/tm2127048d1_ex10-2.htm" TargetMode="External"/><Relationship Id="rId167" Type="http://schemas.openxmlformats.org/officeDocument/2006/relationships/hyperlink" Target="https://www.sec.gov/Archives/edgar/data/1647088/000110465920029590/tm2011399d7_ex10-4.htm" TargetMode="External"/><Relationship Id="rId168" Type="http://schemas.openxmlformats.org/officeDocument/2006/relationships/hyperlink" Target="https://www.sec.gov/Archives/edgar/data/1647088/000110465920029590/tm2011399d7_ex10-5.htm" TargetMode="External"/><Relationship Id="rId169" Type="http://schemas.openxmlformats.org/officeDocument/2006/relationships/hyperlink" Target="https://www.sec.gov/Archives/edgar/data/1647088/000164708818000006/ex-1017.htm" TargetMode="External"/><Relationship Id="rId170" Type="http://schemas.openxmlformats.org/officeDocument/2006/relationships/hyperlink" Target="https://www.sec.gov/Archives/edgar/data/1647088/000110465919016594/a19-6989_1ex10d1.htm" TargetMode="External"/><Relationship Id="rId171" Type="http://schemas.openxmlformats.org/officeDocument/2006/relationships/hyperlink" Target="https://www.sec.gov/Archives/edgar/data/0001647088/000110465921113630/tm2127048d1_ex10-3.htm" TargetMode="External"/><Relationship Id="rId172" Type="http://schemas.openxmlformats.org/officeDocument/2006/relationships/hyperlink" Target="https://www.sec.gov/Archives/edgar/data/1647088/000110465921149175/tm2135299d1_ex10-1.htm" TargetMode="External"/><Relationship Id="rId173" Type="http://schemas.openxmlformats.org/officeDocument/2006/relationships/hyperlink" Target="https://www.sec.gov/Archives/edgar/data/0001647088/000110465921150557/tm2135657d1_ex10-1.htm" TargetMode="External"/><Relationship Id="rId174" Type="http://schemas.openxmlformats.org/officeDocument/2006/relationships/hyperlink" Target="http://www.sec.gov/Archives/edgar/data/1647088/000164708819000056/codeofethicsforthechi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2022-02-25T10:26:06Z</dcterms:created>
  <dcterms:modified xsi:type="dcterms:W3CDTF">2022-02-25T10:26:06Z</dcterms:modified>
</cp:coreProperties>
</file>