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205105</wp:posOffset>
            </wp:positionH>
            <wp:positionV relativeFrom="page">
              <wp:posOffset>498475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465455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60960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8" w:lineRule="exact"/>
        <w:rPr>
          <w:sz w:val="24"/>
          <w:szCs w:val="24"/>
          <w:color w:val="auto"/>
        </w:rPr>
      </w:pPr>
    </w:p>
    <w:p>
      <w:pPr>
        <w:ind w:left="4160" w:right="2680" w:hanging="3448"/>
        <w:spacing w:after="0" w:line="345" w:lineRule="auto"/>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QUARTERLY REPORT PURSUANT TO SECTION 13 OR 15(d) OF THE SECURITIES EXCHANGE ACT OF 1934 For the quarterly period ended June 30, 2022</w:t>
      </w:r>
    </w:p>
    <w:p>
      <w:pPr>
        <w:spacing w:after="0" w:line="122" w:lineRule="exact"/>
        <w:rPr>
          <w:sz w:val="24"/>
          <w:szCs w:val="24"/>
          <w:color w:val="auto"/>
        </w:rPr>
      </w:pPr>
    </w:p>
    <w:p>
      <w:pPr>
        <w:ind w:left="3920" w:right="2680" w:hanging="3208"/>
        <w:spacing w:after="0" w:line="345" w:lineRule="auto"/>
        <w:tabs>
          <w:tab w:leader="none" w:pos="1517"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________ to ________</w:t>
      </w:r>
    </w:p>
    <w:p>
      <w:pPr>
        <w:spacing w:after="0" w:line="32"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 xml:space="preserve">Commission File Number: </w:t>
      </w:r>
      <w:r>
        <w:rPr>
          <w:rFonts w:ascii="Arial" w:cs="Arial" w:eastAsia="Arial" w:hAnsi="Arial"/>
          <w:sz w:val="14"/>
          <w:szCs w:val="14"/>
          <w:color w:val="auto"/>
        </w:rPr>
        <w:t>001-37552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2195830</wp:posOffset>
            </wp:positionH>
            <wp:positionV relativeFrom="paragraph">
              <wp:posOffset>75565</wp:posOffset>
            </wp:positionV>
            <wp:extent cx="2750820" cy="769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50820" cy="769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WILLSCOT MOBILE MINI HOLDINGS CORP.</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color w:val="auto"/>
                <w:w w:val="97"/>
              </w:rPr>
              <w:t>(Exact name of registrant as specified in its charter)</w:t>
            </w:r>
          </w:p>
        </w:tc>
        <w:tc>
          <w:tcPr>
            <w:tcW w:w="3720" w:type="dxa"/>
            <w:vAlign w:val="bottom"/>
          </w:tcPr>
          <w:p>
            <w:pPr>
              <w:spacing w:after="0"/>
              <w:rPr>
                <w:sz w:val="15"/>
                <w:szCs w:val="15"/>
                <w:color w:val="auto"/>
              </w:rPr>
            </w:pPr>
          </w:p>
        </w:tc>
      </w:tr>
      <w:tr>
        <w:trPr>
          <w:trHeight w:val="188"/>
        </w:trPr>
        <w:tc>
          <w:tcPr>
            <w:tcW w:w="3940" w:type="dxa"/>
            <w:vAlign w:val="bottom"/>
          </w:tcPr>
          <w:p>
            <w:pPr>
              <w:jc w:val="center"/>
              <w:ind w:right="51"/>
              <w:spacing w:after="0"/>
              <w:rPr>
                <w:sz w:val="20"/>
                <w:szCs w:val="20"/>
                <w:color w:val="auto"/>
              </w:rPr>
            </w:pPr>
            <w:r>
              <w:rPr>
                <w:rFonts w:ascii="Arial" w:cs="Arial" w:eastAsia="Arial" w:hAnsi="Arial"/>
                <w:sz w:val="14"/>
                <w:szCs w:val="14"/>
                <w:b w:val="1"/>
                <w:bCs w:val="1"/>
                <w:color w:val="auto"/>
              </w:rPr>
              <w:t>Delaware</w:t>
            </w:r>
          </w:p>
        </w:tc>
        <w:tc>
          <w:tcPr>
            <w:tcW w:w="3580" w:type="dxa"/>
            <w:vAlign w:val="bottom"/>
          </w:tcPr>
          <w:p>
            <w:pPr>
              <w:spacing w:after="0"/>
              <w:rPr>
                <w:sz w:val="16"/>
                <w:szCs w:val="16"/>
                <w:color w:val="auto"/>
              </w:rPr>
            </w:pPr>
          </w:p>
        </w:tc>
        <w:tc>
          <w:tcPr>
            <w:tcW w:w="3720" w:type="dxa"/>
            <w:vAlign w:val="bottom"/>
          </w:tcPr>
          <w:p>
            <w:pPr>
              <w:jc w:val="right"/>
              <w:ind w:right="1471"/>
              <w:spacing w:after="0"/>
              <w:rPr>
                <w:sz w:val="20"/>
                <w:szCs w:val="20"/>
                <w:color w:val="auto"/>
              </w:rPr>
            </w:pPr>
            <w:r>
              <w:rPr>
                <w:rFonts w:ascii="Arial" w:cs="Arial" w:eastAsia="Arial" w:hAnsi="Arial"/>
                <w:sz w:val="14"/>
                <w:szCs w:val="14"/>
                <w:b w:val="1"/>
                <w:bCs w:val="1"/>
                <w:color w:val="auto"/>
              </w:rPr>
              <w:t>82-3430194</w:t>
            </w:r>
          </w:p>
        </w:tc>
      </w:tr>
      <w:tr>
        <w:trPr>
          <w:trHeight w:val="187"/>
        </w:trPr>
        <w:tc>
          <w:tcPr>
            <w:tcW w:w="3940" w:type="dxa"/>
            <w:vAlign w:val="bottom"/>
          </w:tcPr>
          <w:p>
            <w:pPr>
              <w:jc w:val="center"/>
              <w:ind w:right="51"/>
              <w:spacing w:after="0"/>
              <w:rPr>
                <w:sz w:val="20"/>
                <w:szCs w:val="20"/>
                <w:color w:val="auto"/>
              </w:rPr>
            </w:pPr>
            <w:r>
              <w:rPr>
                <w:rFonts w:ascii="Arial" w:cs="Arial" w:eastAsia="Arial" w:hAnsi="Arial"/>
                <w:sz w:val="14"/>
                <w:szCs w:val="14"/>
                <w:color w:val="auto"/>
                <w:w w:val="97"/>
              </w:rPr>
              <w:t>(State or other jurisdiction of incorporation)</w:t>
            </w:r>
          </w:p>
        </w:tc>
        <w:tc>
          <w:tcPr>
            <w:tcW w:w="3580" w:type="dxa"/>
            <w:vAlign w:val="bottom"/>
          </w:tcPr>
          <w:p>
            <w:pPr>
              <w:spacing w:after="0"/>
              <w:rPr>
                <w:sz w:val="16"/>
                <w:szCs w:val="16"/>
                <w:color w:val="auto"/>
              </w:rPr>
            </w:pPr>
          </w:p>
        </w:tc>
        <w:tc>
          <w:tcPr>
            <w:tcW w:w="3720" w:type="dxa"/>
            <w:vAlign w:val="bottom"/>
          </w:tcPr>
          <w:p>
            <w:pPr>
              <w:jc w:val="center"/>
              <w:ind w:right="11"/>
              <w:spacing w:after="0"/>
              <w:rPr>
                <w:sz w:val="20"/>
                <w:szCs w:val="20"/>
                <w:color w:val="auto"/>
              </w:rPr>
            </w:pPr>
            <w:r>
              <w:rPr>
                <w:rFonts w:ascii="Arial" w:cs="Arial" w:eastAsia="Arial" w:hAnsi="Arial"/>
                <w:sz w:val="14"/>
                <w:szCs w:val="14"/>
                <w:color w:val="auto"/>
                <w:w w:val="98"/>
              </w:rPr>
              <w:t>(I.R.S. Employer Identification No.)</w:t>
            </w:r>
          </w:p>
        </w:tc>
      </w:tr>
      <w:tr>
        <w:trPr>
          <w:trHeight w:val="256"/>
        </w:trPr>
        <w:tc>
          <w:tcPr>
            <w:tcW w:w="3940" w:type="dxa"/>
            <w:vAlign w:val="bottom"/>
          </w:tcPr>
          <w:p>
            <w:pPr>
              <w:spacing w:after="0"/>
              <w:rPr>
                <w:sz w:val="22"/>
                <w:szCs w:val="22"/>
                <w:color w:val="auto"/>
              </w:rPr>
            </w:pPr>
          </w:p>
        </w:tc>
        <w:tc>
          <w:tcPr>
            <w:tcW w:w="3580" w:type="dxa"/>
            <w:vAlign w:val="bottom"/>
          </w:tcPr>
          <w:p>
            <w:pPr>
              <w:jc w:val="center"/>
              <w:ind w:right="151"/>
              <w:spacing w:after="0"/>
              <w:rPr>
                <w:sz w:val="20"/>
                <w:szCs w:val="20"/>
                <w:color w:val="auto"/>
              </w:rPr>
            </w:pPr>
            <w:r>
              <w:rPr>
                <w:rFonts w:ascii="Arial" w:cs="Arial" w:eastAsia="Arial" w:hAnsi="Arial"/>
                <w:sz w:val="14"/>
                <w:szCs w:val="14"/>
                <w:b w:val="1"/>
                <w:bCs w:val="1"/>
                <w:color w:val="auto"/>
                <w:w w:val="97"/>
              </w:rPr>
              <w:t>4646 E Van Buren St., Suite 400</w:t>
            </w:r>
          </w:p>
        </w:tc>
        <w:tc>
          <w:tcPr>
            <w:tcW w:w="3720" w:type="dxa"/>
            <w:vAlign w:val="bottom"/>
          </w:tcPr>
          <w:p>
            <w:pPr>
              <w:spacing w:after="0"/>
              <w:rPr>
                <w:sz w:val="22"/>
                <w:szCs w:val="22"/>
                <w:color w:val="auto"/>
              </w:rPr>
            </w:pPr>
          </w:p>
        </w:tc>
      </w:tr>
      <w:tr>
        <w:trPr>
          <w:trHeight w:val="170"/>
        </w:trPr>
        <w:tc>
          <w:tcPr>
            <w:tcW w:w="3940" w:type="dxa"/>
            <w:vAlign w:val="bottom"/>
          </w:tcPr>
          <w:p>
            <w:pPr>
              <w:spacing w:after="0"/>
              <w:rPr>
                <w:sz w:val="14"/>
                <w:szCs w:val="14"/>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Phoenix, Arizona 85008</w:t>
            </w:r>
          </w:p>
        </w:tc>
        <w:tc>
          <w:tcPr>
            <w:tcW w:w="3720" w:type="dxa"/>
            <w:vAlign w:val="bottom"/>
          </w:tcPr>
          <w:p>
            <w:pPr>
              <w:spacing w:after="0"/>
              <w:rPr>
                <w:sz w:val="14"/>
                <w:szCs w:val="14"/>
                <w:color w:val="auto"/>
              </w:rPr>
            </w:pPr>
          </w:p>
        </w:tc>
      </w:tr>
      <w:tr>
        <w:trPr>
          <w:trHeight w:val="180"/>
        </w:trPr>
        <w:tc>
          <w:tcPr>
            <w:tcW w:w="7520" w:type="dxa"/>
            <w:vAlign w:val="bottom"/>
            <w:gridSpan w:val="2"/>
          </w:tcPr>
          <w:p>
            <w:pPr>
              <w:jc w:val="center"/>
              <w:ind w:left="3651"/>
              <w:spacing w:after="0"/>
              <w:rPr>
                <w:sz w:val="20"/>
                <w:szCs w:val="20"/>
                <w:color w:val="auto"/>
              </w:rPr>
            </w:pPr>
            <w:r>
              <w:rPr>
                <w:rFonts w:ascii="Arial" w:cs="Arial" w:eastAsia="Arial" w:hAnsi="Arial"/>
                <w:sz w:val="14"/>
                <w:szCs w:val="14"/>
                <w:color w:val="auto"/>
                <w:w w:val="98"/>
              </w:rPr>
              <w:t>(Address of principal executive offices, including zip code)</w:t>
            </w:r>
          </w:p>
        </w:tc>
        <w:tc>
          <w:tcPr>
            <w:tcW w:w="3720" w:type="dxa"/>
            <w:vAlign w:val="bottom"/>
          </w:tcPr>
          <w:p>
            <w:pPr>
              <w:spacing w:after="0"/>
              <w:rPr>
                <w:sz w:val="15"/>
                <w:szCs w:val="15"/>
                <w:color w:val="auto"/>
              </w:rPr>
            </w:pPr>
          </w:p>
        </w:tc>
      </w:tr>
      <w:tr>
        <w:trPr>
          <w:trHeight w:val="374"/>
        </w:trPr>
        <w:tc>
          <w:tcPr>
            <w:tcW w:w="3940" w:type="dxa"/>
            <w:vAlign w:val="bottom"/>
          </w:tcPr>
          <w:p>
            <w:pPr>
              <w:spacing w:after="0"/>
              <w:rPr>
                <w:sz w:val="24"/>
                <w:szCs w:val="24"/>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b w:val="1"/>
                <w:bCs w:val="1"/>
                <w:color w:val="auto"/>
                <w:w w:val="98"/>
              </w:rPr>
              <w:t>(480) 894-6311</w:t>
            </w:r>
          </w:p>
        </w:tc>
        <w:tc>
          <w:tcPr>
            <w:tcW w:w="3720" w:type="dxa"/>
            <w:vAlign w:val="bottom"/>
          </w:tcPr>
          <w:p>
            <w:pPr>
              <w:spacing w:after="0"/>
              <w:rPr>
                <w:sz w:val="24"/>
                <w:szCs w:val="24"/>
                <w:color w:val="auto"/>
              </w:rPr>
            </w:pPr>
          </w:p>
        </w:tc>
      </w:tr>
      <w:tr>
        <w:trPr>
          <w:trHeight w:val="180"/>
        </w:trPr>
        <w:tc>
          <w:tcPr>
            <w:tcW w:w="3940" w:type="dxa"/>
            <w:vAlign w:val="bottom"/>
          </w:tcPr>
          <w:p>
            <w:pPr>
              <w:spacing w:after="0"/>
              <w:rPr>
                <w:sz w:val="15"/>
                <w:szCs w:val="15"/>
                <w:color w:val="auto"/>
              </w:rPr>
            </w:pPr>
          </w:p>
        </w:tc>
        <w:tc>
          <w:tcPr>
            <w:tcW w:w="3580" w:type="dxa"/>
            <w:vAlign w:val="bottom"/>
          </w:tcPr>
          <w:p>
            <w:pPr>
              <w:jc w:val="center"/>
              <w:ind w:right="131"/>
              <w:spacing w:after="0"/>
              <w:rPr>
                <w:sz w:val="20"/>
                <w:szCs w:val="20"/>
                <w:color w:val="auto"/>
              </w:rPr>
            </w:pPr>
            <w:r>
              <w:rPr>
                <w:rFonts w:ascii="Arial" w:cs="Arial" w:eastAsia="Arial" w:hAnsi="Arial"/>
                <w:sz w:val="14"/>
                <w:szCs w:val="14"/>
                <w:color w:val="auto"/>
                <w:w w:val="97"/>
              </w:rPr>
              <w:t>(Registrant’s telephone number, including area code)</w:t>
            </w:r>
          </w:p>
        </w:tc>
        <w:tc>
          <w:tcPr>
            <w:tcW w:w="3720" w:type="dxa"/>
            <w:vAlign w:val="bottom"/>
          </w:tcPr>
          <w:p>
            <w:pPr>
              <w:spacing w:after="0"/>
              <w:rPr>
                <w:sz w:val="15"/>
                <w:szCs w:val="15"/>
                <w:color w:val="auto"/>
              </w:rPr>
            </w:pPr>
          </w:p>
        </w:tc>
      </w:tr>
      <w:tr>
        <w:trPr>
          <w:trHeight w:val="735"/>
        </w:trPr>
        <w:tc>
          <w:tcPr>
            <w:tcW w:w="394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58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13"/>
        </w:trPr>
        <w:tc>
          <w:tcPr>
            <w:tcW w:w="3940" w:type="dxa"/>
            <w:vAlign w:val="bottom"/>
            <w:tcBorders>
              <w:bottom w:val="single" w:sz="8" w:color="auto"/>
            </w:tcBorders>
          </w:tcPr>
          <w:p>
            <w:pPr>
              <w:jc w:val="center"/>
              <w:ind w:left="1011"/>
              <w:spacing w:after="0"/>
              <w:rPr>
                <w:sz w:val="20"/>
                <w:szCs w:val="20"/>
                <w:color w:val="auto"/>
              </w:rPr>
            </w:pPr>
            <w:r>
              <w:rPr>
                <w:rFonts w:ascii="Arial" w:cs="Arial" w:eastAsia="Arial" w:hAnsi="Arial"/>
                <w:sz w:val="14"/>
                <w:szCs w:val="14"/>
                <w:b w:val="1"/>
                <w:bCs w:val="1"/>
                <w:color w:val="auto"/>
                <w:w w:val="97"/>
              </w:rPr>
              <w:t>Title of each class</w:t>
            </w:r>
          </w:p>
        </w:tc>
        <w:tc>
          <w:tcPr>
            <w:tcW w:w="358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b w:val="1"/>
                <w:bCs w:val="1"/>
                <w:color w:val="auto"/>
                <w:w w:val="97"/>
              </w:rPr>
              <w:t>Trading Symbol(s)</w:t>
            </w:r>
          </w:p>
        </w:tc>
        <w:tc>
          <w:tcPr>
            <w:tcW w:w="372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79"/>
        </w:trPr>
        <w:tc>
          <w:tcPr>
            <w:tcW w:w="3940" w:type="dxa"/>
            <w:vAlign w:val="bottom"/>
          </w:tcPr>
          <w:p>
            <w:pPr>
              <w:jc w:val="center"/>
              <w:ind w:left="1011"/>
              <w:spacing w:after="0"/>
              <w:rPr>
                <w:sz w:val="20"/>
                <w:szCs w:val="20"/>
                <w:color w:val="auto"/>
              </w:rPr>
            </w:pPr>
            <w:r>
              <w:rPr>
                <w:rFonts w:ascii="Arial" w:cs="Arial" w:eastAsia="Arial" w:hAnsi="Arial"/>
                <w:sz w:val="14"/>
                <w:szCs w:val="14"/>
                <w:color w:val="auto"/>
                <w:w w:val="98"/>
              </w:rPr>
              <w:t>Common Stock, par value $0.0001 per share</w:t>
            </w:r>
          </w:p>
        </w:tc>
        <w:tc>
          <w:tcPr>
            <w:tcW w:w="3580" w:type="dxa"/>
            <w:vAlign w:val="bottom"/>
          </w:tcPr>
          <w:p>
            <w:pPr>
              <w:jc w:val="center"/>
              <w:ind w:left="431"/>
              <w:spacing w:after="0"/>
              <w:rPr>
                <w:sz w:val="20"/>
                <w:szCs w:val="20"/>
                <w:color w:val="auto"/>
              </w:rPr>
            </w:pPr>
            <w:r>
              <w:rPr>
                <w:rFonts w:ascii="Arial" w:cs="Arial" w:eastAsia="Arial" w:hAnsi="Arial"/>
                <w:sz w:val="14"/>
                <w:szCs w:val="14"/>
                <w:color w:val="auto"/>
                <w:w w:val="97"/>
              </w:rPr>
              <w:t>WSC</w:t>
            </w:r>
          </w:p>
        </w:tc>
        <w:tc>
          <w:tcPr>
            <w:tcW w:w="3720" w:type="dxa"/>
            <w:vAlign w:val="bottom"/>
          </w:tcPr>
          <w:p>
            <w:pPr>
              <w:jc w:val="center"/>
              <w:ind w:right="511"/>
              <w:spacing w:after="0"/>
              <w:rPr>
                <w:sz w:val="20"/>
                <w:szCs w:val="20"/>
                <w:color w:val="auto"/>
              </w:rPr>
            </w:pPr>
            <w:r>
              <w:rPr>
                <w:rFonts w:ascii="Arial" w:cs="Arial" w:eastAsia="Arial" w:hAnsi="Arial"/>
                <w:sz w:val="14"/>
                <w:szCs w:val="14"/>
                <w:color w:val="auto"/>
                <w:w w:val="97"/>
              </w:rPr>
              <w:t>The Nasdaq Capital Market</w:t>
            </w:r>
          </w:p>
        </w:tc>
      </w:tr>
      <w:tr>
        <w:trPr>
          <w:trHeight w:val="247"/>
        </w:trPr>
        <w:tc>
          <w:tcPr>
            <w:tcW w:w="3940" w:type="dxa"/>
            <w:vAlign w:val="bottom"/>
          </w:tcPr>
          <w:p>
            <w:pPr>
              <w:jc w:val="center"/>
              <w:ind w:left="991"/>
              <w:spacing w:after="0"/>
              <w:rPr>
                <w:sz w:val="20"/>
                <w:szCs w:val="20"/>
                <w:color w:val="auto"/>
              </w:rPr>
            </w:pPr>
            <w:r>
              <w:rPr>
                <w:rFonts w:ascii="Arial" w:cs="Arial" w:eastAsia="Arial" w:hAnsi="Arial"/>
                <w:sz w:val="14"/>
                <w:szCs w:val="14"/>
                <w:color w:val="auto"/>
                <w:w w:val="97"/>
              </w:rPr>
              <w:t>Warrants to purchase Common Stock</w:t>
            </w:r>
            <w:r>
              <w:rPr>
                <w:rFonts w:ascii="Arial" w:cs="Arial" w:eastAsia="Arial" w:hAnsi="Arial"/>
                <w:sz w:val="17"/>
                <w:szCs w:val="17"/>
                <w:color w:val="auto"/>
                <w:w w:val="97"/>
                <w:vertAlign w:val="superscript"/>
              </w:rPr>
              <w:t>(1)</w:t>
            </w:r>
          </w:p>
        </w:tc>
        <w:tc>
          <w:tcPr>
            <w:tcW w:w="3580" w:type="dxa"/>
            <w:vAlign w:val="bottom"/>
          </w:tcPr>
          <w:p>
            <w:pPr>
              <w:jc w:val="center"/>
              <w:ind w:left="411"/>
              <w:spacing w:after="0"/>
              <w:rPr>
                <w:sz w:val="20"/>
                <w:szCs w:val="20"/>
                <w:color w:val="auto"/>
              </w:rPr>
            </w:pPr>
            <w:r>
              <w:rPr>
                <w:rFonts w:ascii="Arial" w:cs="Arial" w:eastAsia="Arial" w:hAnsi="Arial"/>
                <w:sz w:val="14"/>
                <w:szCs w:val="14"/>
                <w:color w:val="auto"/>
                <w:w w:val="99"/>
              </w:rPr>
              <w:t>WSCTW</w:t>
            </w:r>
          </w:p>
        </w:tc>
        <w:tc>
          <w:tcPr>
            <w:tcW w:w="3720" w:type="dxa"/>
            <w:vAlign w:val="bottom"/>
          </w:tcPr>
          <w:p>
            <w:pPr>
              <w:jc w:val="center"/>
              <w:ind w:right="511"/>
              <w:spacing w:after="0"/>
              <w:rPr>
                <w:sz w:val="20"/>
                <w:szCs w:val="20"/>
                <w:color w:val="auto"/>
              </w:rPr>
            </w:pPr>
            <w:r>
              <w:rPr>
                <w:rFonts w:ascii="Arial" w:cs="Arial" w:eastAsia="Arial" w:hAnsi="Arial"/>
                <w:sz w:val="14"/>
                <w:szCs w:val="14"/>
                <w:color w:val="auto"/>
                <w:w w:val="98"/>
              </w:rPr>
              <w:t>OTC Markets Group Inc.</w:t>
            </w:r>
          </w:p>
        </w:tc>
      </w:tr>
    </w:tbl>
    <w:p>
      <w:pPr>
        <w:spacing w:after="0" w:line="75" w:lineRule="exact"/>
        <w:rPr>
          <w:sz w:val="24"/>
          <w:szCs w:val="24"/>
          <w:color w:val="auto"/>
        </w:rPr>
      </w:pPr>
    </w:p>
    <w:p>
      <w:pPr>
        <w:ind w:firstLine="622"/>
        <w:spacing w:after="0" w:line="278" w:lineRule="auto"/>
        <w:tabs>
          <w:tab w:leader="none" w:pos="767" w:val="left"/>
        </w:tabs>
        <w:numPr>
          <w:ilvl w:val="0"/>
          <w:numId w:val="3"/>
        </w:numPr>
        <w:rPr>
          <w:rFonts w:ascii="Arial" w:cs="Arial" w:eastAsia="Arial" w:hAnsi="Arial"/>
          <w:sz w:val="9"/>
          <w:szCs w:val="9"/>
          <w:color w:val="auto"/>
        </w:rPr>
      </w:pPr>
      <w:r>
        <w:rPr>
          <w:rFonts w:ascii="Arial" w:cs="Arial" w:eastAsia="Arial" w:hAnsi="Arial"/>
          <w:sz w:val="14"/>
          <w:szCs w:val="14"/>
          <w:color w:val="auto"/>
        </w:rPr>
        <w:t>Issued in connection with the registrant's acquisition of Modular Space Holding, Inc. in August 2018, which are exercisable for one share of the registrant's common stock at an exercise price of $15.50 per share.</w:t>
      </w:r>
    </w:p>
    <w:p>
      <w:pPr>
        <w:spacing w:after="0" w:line="104" w:lineRule="exact"/>
        <w:rPr>
          <w:sz w:val="24"/>
          <w:szCs w:val="24"/>
          <w:color w:val="auto"/>
        </w:rPr>
      </w:pPr>
    </w:p>
    <w:p>
      <w:pPr>
        <w:ind w:firstLine="619"/>
        <w:spacing w:after="0" w:line="18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1" w:lineRule="exact"/>
        <w:rPr>
          <w:sz w:val="24"/>
          <w:szCs w:val="24"/>
          <w:color w:val="auto"/>
        </w:rPr>
      </w:pPr>
    </w:p>
    <w:p>
      <w:pPr>
        <w:ind w:firstLine="619"/>
        <w:spacing w:after="0" w:line="17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firstLine="619"/>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25" w:right="339" w:bottom="1440" w:gutter="0" w:footer="0" w:header="0"/>
        </w:sectPr>
      </w:pPr>
    </w:p>
    <w:p>
      <w:pPr>
        <w:spacing w:after="0" w:line="29"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384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66"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57" w:lineRule="exact"/>
        <w:rPr>
          <w:sz w:val="24"/>
          <w:szCs w:val="24"/>
          <w:color w:val="auto"/>
        </w:rPr>
      </w:pPr>
    </w:p>
    <w:p>
      <w:pPr>
        <w:sectPr>
          <w:pgSz w:w="11900" w:h="16838" w:orient="portrait"/>
          <w:cols w:equalWidth="0" w:num="2">
            <w:col w:w="5540" w:space="720"/>
            <w:col w:w="4980"/>
          </w:cols>
          <w:pgMar w:left="320" w:top="925" w:right="339" w:bottom="1440" w:gutter="0" w:footer="0" w:header="0"/>
          <w:type w:val="continuous"/>
        </w:sectPr>
      </w:pPr>
    </w:p>
    <w:p>
      <w:pPr>
        <w:ind w:left="626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1240"/>
          </w:cols>
          <w:pgMar w:left="320" w:top="925" w:right="339" w:bottom="1440" w:gutter="0" w:footer="0" w:header="0"/>
          <w:type w:val="continuous"/>
        </w:sectPr>
      </w:pPr>
    </w:p>
    <w:p>
      <w:pPr>
        <w:spacing w:after="0" w:line="187" w:lineRule="exact"/>
        <w:rPr>
          <w:sz w:val="24"/>
          <w:szCs w:val="24"/>
          <w:color w:val="auto"/>
        </w:rPr>
      </w:pPr>
    </w:p>
    <w:p>
      <w:pPr>
        <w:ind w:firstLine="61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 w:lineRule="exact"/>
        <w:rPr>
          <w:sz w:val="24"/>
          <w:szCs w:val="24"/>
          <w:color w:val="auto"/>
        </w:rPr>
      </w:pPr>
    </w:p>
    <w:p>
      <w:pPr>
        <w:ind w:left="620" w:right="3600"/>
        <w:spacing w:after="0" w:line="21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Shares of Common Stock, par value $0.0001 per share, outstanding: 213,700,706 shares at August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893445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46355</wp:posOffset>
            </wp:positionV>
            <wp:extent cx="71386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1D2758"/>
        </w:rPr>
        <w:t>Quarterly Report on Form 10-Q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Table of Contents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23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3"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5"/>
          <w:szCs w:val="15"/>
          <w:color w:val="auto"/>
        </w:rPr>
        <w:t>Financial Statements (unaudited, except as noted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Balance Sheets as of June 30, 2022 and December 31, 2021 (audited)</w:t>
      </w:r>
    </w:p>
    <w:p>
      <w:pPr>
        <w:spacing w:after="0" w:line="20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Operations 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Condensed Consolidated Statements of Comprehensive Income (Loss) for the Three and Six Months Ended June 30, 2022 and 2021</w:t>
      </w:r>
    </w:p>
    <w:p>
      <w:pPr>
        <w:spacing w:after="0" w:line="201" w:lineRule="exact"/>
        <w:rPr>
          <w:sz w:val="20"/>
          <w:szCs w:val="20"/>
          <w:color w:val="auto"/>
        </w:rPr>
      </w:pPr>
    </w:p>
    <w:p>
      <w:pPr>
        <w:ind w:left="1600" w:right="1360"/>
        <w:spacing w:after="0" w:line="330" w:lineRule="auto"/>
        <w:rPr>
          <w:sz w:val="20"/>
          <w:szCs w:val="20"/>
          <w:color w:val="auto"/>
        </w:rPr>
      </w:pPr>
      <w:r>
        <w:rPr>
          <w:rFonts w:ascii="Arial" w:cs="Arial" w:eastAsia="Arial" w:hAnsi="Arial"/>
          <w:sz w:val="15"/>
          <w:szCs w:val="15"/>
          <w:color w:val="auto"/>
        </w:rPr>
        <w:t>Condensed Consolidated Statements of Changes in Equity for the Three and Six Months Ended June 30, 2022 and 2021 Condensed Consolidated Statements of Cash Flows 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-170180</wp:posOffset>
            </wp:positionV>
            <wp:extent cx="7138670" cy="237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5"/>
          <w:szCs w:val="15"/>
          <w:color w:val="auto"/>
        </w:rPr>
        <w:t>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20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3</w:t>
      </w:r>
      <w:r>
        <w:rPr>
          <w:sz w:val="20"/>
          <w:szCs w:val="20"/>
          <w:color w:val="auto"/>
        </w:rPr>
        <w:tab/>
      </w:r>
      <w:r>
        <w:rPr>
          <w:rFonts w:ascii="Arial" w:cs="Arial" w:eastAsia="Arial" w:hAnsi="Arial"/>
          <w:sz w:val="15"/>
          <w:szCs w:val="15"/>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138670"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237490"/>
                    </a:xfrm>
                    <a:prstGeom prst="rect">
                      <a:avLst/>
                    </a:prstGeom>
                    <a:noFill/>
                  </pic:spPr>
                </pic:pic>
              </a:graphicData>
            </a:graphic>
          </wp:anchor>
        </w:drawing>
      </w:r>
    </w:p>
    <w:p>
      <w:pPr>
        <w:spacing w:after="0" w:line="181"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5"/>
          <w:szCs w:val="15"/>
          <w:color w:val="auto"/>
        </w:rPr>
        <w:t>Item 4</w:t>
      </w:r>
      <w:r>
        <w:rPr>
          <w:sz w:val="20"/>
          <w:szCs w:val="20"/>
          <w:color w:val="auto"/>
        </w:rPr>
        <w:tab/>
      </w:r>
      <w:r>
        <w:rPr>
          <w:rFonts w:ascii="Arial" w:cs="Arial" w:eastAsia="Arial" w:hAnsi="Arial"/>
          <w:sz w:val="15"/>
          <w:szCs w:val="15"/>
          <w:color w:val="auto"/>
        </w:rPr>
        <w:t>Controls and Procedures</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PART II Other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1</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Legal Proceedings</w:t>
            </w:r>
          </w:p>
        </w:tc>
      </w:tr>
      <w:tr>
        <w:trPr>
          <w:trHeight w:val="150"/>
        </w:trPr>
        <w:tc>
          <w:tcPr>
            <w:tcW w:w="1120" w:type="dxa"/>
            <w:vAlign w:val="bottom"/>
            <w:shd w:val="clear" w:color="auto" w:fill="DBDBDB"/>
          </w:tcPr>
          <w:p>
            <w:pPr>
              <w:spacing w:after="0"/>
              <w:rPr>
                <w:sz w:val="13"/>
                <w:szCs w:val="13"/>
                <w:color w:val="auto"/>
              </w:rPr>
            </w:pPr>
          </w:p>
        </w:tc>
        <w:tc>
          <w:tcPr>
            <w:tcW w:w="10120" w:type="dxa"/>
            <w:vAlign w:val="bottom"/>
            <w:shd w:val="clear" w:color="auto" w:fill="DBDBDB"/>
          </w:tcPr>
          <w:p>
            <w:pPr>
              <w:spacing w:after="0"/>
              <w:rPr>
                <w:sz w:val="13"/>
                <w:szCs w:val="13"/>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1A</w:t>
            </w:r>
          </w:p>
        </w:tc>
        <w:tc>
          <w:tcPr>
            <w:tcW w:w="10120" w:type="dxa"/>
            <w:vAlign w:val="bottom"/>
          </w:tcPr>
          <w:p>
            <w:pPr>
              <w:ind w:left="140"/>
              <w:spacing w:after="0"/>
              <w:rPr>
                <w:sz w:val="20"/>
                <w:szCs w:val="20"/>
                <w:color w:val="auto"/>
              </w:rPr>
            </w:pPr>
            <w:r>
              <w:rPr>
                <w:rFonts w:ascii="Arial" w:cs="Arial" w:eastAsia="Arial" w:hAnsi="Arial"/>
                <w:sz w:val="15"/>
                <w:szCs w:val="15"/>
                <w:color w:val="auto"/>
              </w:rPr>
              <w:t>Risk Factors</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2</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3</w:t>
            </w:r>
          </w:p>
        </w:tc>
        <w:tc>
          <w:tcPr>
            <w:tcW w:w="10120" w:type="dxa"/>
            <w:vAlign w:val="bottom"/>
          </w:tcPr>
          <w:p>
            <w:pPr>
              <w:ind w:left="140"/>
              <w:spacing w:after="0"/>
              <w:rPr>
                <w:sz w:val="20"/>
                <w:szCs w:val="20"/>
                <w:color w:val="auto"/>
              </w:rPr>
            </w:pPr>
            <w:r>
              <w:rPr>
                <w:rFonts w:ascii="Arial" w:cs="Arial" w:eastAsia="Arial" w:hAnsi="Arial"/>
                <w:sz w:val="15"/>
                <w:szCs w:val="15"/>
                <w:color w:val="auto"/>
              </w:rPr>
              <w:t>Defaults Upon Senior Securities</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4</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Mine Safety Disclosures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05"/>
        </w:trPr>
        <w:tc>
          <w:tcPr>
            <w:tcW w:w="1120" w:type="dxa"/>
            <w:vAlign w:val="bottom"/>
          </w:tcPr>
          <w:p>
            <w:pPr>
              <w:ind w:left="440"/>
              <w:spacing w:after="0"/>
              <w:rPr>
                <w:sz w:val="20"/>
                <w:szCs w:val="20"/>
                <w:color w:val="auto"/>
              </w:rPr>
            </w:pPr>
            <w:r>
              <w:rPr>
                <w:rFonts w:ascii="Arial" w:cs="Arial" w:eastAsia="Arial" w:hAnsi="Arial"/>
                <w:sz w:val="15"/>
                <w:szCs w:val="15"/>
                <w:color w:val="auto"/>
              </w:rPr>
              <w:t>Item 5</w:t>
            </w:r>
          </w:p>
        </w:tc>
        <w:tc>
          <w:tcPr>
            <w:tcW w:w="10120" w:type="dxa"/>
            <w:vAlign w:val="bottom"/>
          </w:tcPr>
          <w:p>
            <w:pPr>
              <w:ind w:left="140"/>
              <w:spacing w:after="0"/>
              <w:rPr>
                <w:sz w:val="20"/>
                <w:szCs w:val="20"/>
                <w:color w:val="auto"/>
              </w:rPr>
            </w:pPr>
            <w:r>
              <w:rPr>
                <w:rFonts w:ascii="Arial" w:cs="Arial" w:eastAsia="Arial" w:hAnsi="Arial"/>
                <w:sz w:val="15"/>
                <w:szCs w:val="15"/>
                <w:color w:val="auto"/>
              </w:rPr>
              <w:t>Other Information</w:t>
            </w:r>
          </w:p>
        </w:tc>
      </w:tr>
      <w:tr>
        <w:trPr>
          <w:trHeight w:val="169"/>
        </w:trPr>
        <w:tc>
          <w:tcPr>
            <w:tcW w:w="1120" w:type="dxa"/>
            <w:vAlign w:val="bottom"/>
          </w:tcPr>
          <w:p>
            <w:pPr>
              <w:spacing w:after="0"/>
              <w:rPr>
                <w:sz w:val="14"/>
                <w:szCs w:val="14"/>
                <w:color w:val="auto"/>
              </w:rPr>
            </w:pPr>
          </w:p>
        </w:tc>
        <w:tc>
          <w:tcPr>
            <w:tcW w:w="10120" w:type="dxa"/>
            <w:vAlign w:val="bottom"/>
          </w:tcPr>
          <w:p>
            <w:pPr>
              <w:spacing w:after="0"/>
              <w:rPr>
                <w:sz w:val="14"/>
                <w:szCs w:val="14"/>
                <w:color w:val="auto"/>
              </w:rPr>
            </w:pPr>
          </w:p>
        </w:tc>
      </w:tr>
      <w:tr>
        <w:trPr>
          <w:trHeight w:val="205"/>
        </w:trPr>
        <w:tc>
          <w:tcPr>
            <w:tcW w:w="1120" w:type="dxa"/>
            <w:vAlign w:val="bottom"/>
            <w:shd w:val="clear" w:color="auto" w:fill="DBDBDB"/>
          </w:tcPr>
          <w:p>
            <w:pPr>
              <w:ind w:left="440"/>
              <w:spacing w:after="0"/>
              <w:rPr>
                <w:sz w:val="20"/>
                <w:szCs w:val="20"/>
                <w:color w:val="auto"/>
              </w:rPr>
            </w:pPr>
            <w:r>
              <w:rPr>
                <w:rFonts w:ascii="Arial" w:cs="Arial" w:eastAsia="Arial" w:hAnsi="Arial"/>
                <w:sz w:val="15"/>
                <w:szCs w:val="15"/>
                <w:color w:val="auto"/>
              </w:rPr>
              <w:t>Item 6</w:t>
            </w:r>
          </w:p>
        </w:tc>
        <w:tc>
          <w:tcPr>
            <w:tcW w:w="10120" w:type="dxa"/>
            <w:vAlign w:val="bottom"/>
            <w:shd w:val="clear" w:color="auto" w:fill="DBDBDB"/>
          </w:tcPr>
          <w:p>
            <w:pPr>
              <w:ind w:left="140"/>
              <w:spacing w:after="0"/>
              <w:rPr>
                <w:sz w:val="20"/>
                <w:szCs w:val="20"/>
                <w:color w:val="auto"/>
              </w:rPr>
            </w:pPr>
            <w:r>
              <w:rPr>
                <w:rFonts w:ascii="Arial" w:cs="Arial" w:eastAsia="Arial" w:hAnsi="Arial"/>
                <w:sz w:val="15"/>
                <w:szCs w:val="15"/>
                <w:color w:val="auto"/>
              </w:rPr>
              <w:t>Exhibits</w:t>
            </w:r>
          </w:p>
        </w:tc>
      </w:tr>
      <w:tr>
        <w:trPr>
          <w:trHeight w:val="169"/>
        </w:trPr>
        <w:tc>
          <w:tcPr>
            <w:tcW w:w="1120" w:type="dxa"/>
            <w:vAlign w:val="bottom"/>
            <w:shd w:val="clear" w:color="auto" w:fill="DBDBDB"/>
          </w:tcPr>
          <w:p>
            <w:pPr>
              <w:spacing w:after="0"/>
              <w:rPr>
                <w:sz w:val="14"/>
                <w:szCs w:val="14"/>
                <w:color w:val="auto"/>
              </w:rPr>
            </w:pPr>
          </w:p>
        </w:tc>
        <w:tc>
          <w:tcPr>
            <w:tcW w:w="10120" w:type="dxa"/>
            <w:vAlign w:val="bottom"/>
            <w:shd w:val="clear" w:color="auto" w:fill="DBDBDB"/>
          </w:tcPr>
          <w:p>
            <w:pPr>
              <w:spacing w:after="0"/>
              <w:rPr>
                <w:sz w:val="14"/>
                <w:szCs w:val="14"/>
                <w:color w:val="auto"/>
              </w:rPr>
            </w:pPr>
          </w:p>
        </w:tc>
      </w:tr>
      <w:tr>
        <w:trPr>
          <w:trHeight w:val="214"/>
        </w:trPr>
        <w:tc>
          <w:tcPr>
            <w:tcW w:w="1120" w:type="dxa"/>
            <w:vAlign w:val="bottom"/>
          </w:tcPr>
          <w:p>
            <w:pPr>
              <w:ind w:left="20"/>
              <w:spacing w:after="0"/>
              <w:rPr>
                <w:sz w:val="20"/>
                <w:szCs w:val="20"/>
                <w:color w:val="auto"/>
              </w:rPr>
            </w:pPr>
            <w:r>
              <w:rPr>
                <w:rFonts w:ascii="Arial" w:cs="Arial" w:eastAsia="Arial" w:hAnsi="Arial"/>
                <w:sz w:val="15"/>
                <w:szCs w:val="15"/>
                <w:b w:val="1"/>
                <w:bCs w:val="1"/>
                <w:color w:val="auto"/>
              </w:rPr>
              <w:t>SIGNATURE</w:t>
            </w:r>
          </w:p>
        </w:tc>
        <w:tc>
          <w:tcPr>
            <w:tcW w:w="101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212725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475"/>
        </w:trPr>
        <w:tc>
          <w:tcPr>
            <w:tcW w:w="1580" w:type="dxa"/>
            <w:vAlign w:val="bottom"/>
          </w:tcPr>
          <w:p>
            <w:pPr>
              <w:spacing w:after="0"/>
              <w:rPr>
                <w:sz w:val="20"/>
                <w:szCs w:val="20"/>
                <w:color w:val="auto"/>
              </w:rPr>
            </w:pPr>
            <w:r>
              <w:rPr>
                <w:rFonts w:ascii="Arial" w:cs="Arial" w:eastAsia="Arial" w:hAnsi="Arial"/>
                <w:sz w:val="34"/>
                <w:szCs w:val="34"/>
                <w:b w:val="1"/>
                <w:bCs w:val="1"/>
                <w:color w:val="auto"/>
              </w:rPr>
              <w:t>ITEM 1.</w:t>
            </w:r>
          </w:p>
        </w:tc>
        <w:tc>
          <w:tcPr>
            <w:tcW w:w="4440" w:type="dxa"/>
            <w:vAlign w:val="bottom"/>
          </w:tcPr>
          <w:p>
            <w:pPr>
              <w:spacing w:after="0"/>
              <w:rPr>
                <w:sz w:val="20"/>
                <w:szCs w:val="20"/>
                <w:color w:val="auto"/>
              </w:rPr>
            </w:pPr>
            <w:r>
              <w:rPr>
                <w:rFonts w:ascii="Arial" w:cs="Arial" w:eastAsia="Arial" w:hAnsi="Arial"/>
                <w:sz w:val="34"/>
                <w:szCs w:val="34"/>
                <w:b w:val="1"/>
                <w:bCs w:val="1"/>
                <w:color w:val="auto"/>
              </w:rPr>
              <w:t>Financial Statements</w:t>
            </w: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580" w:type="dxa"/>
            <w:vAlign w:val="bottom"/>
          </w:tcPr>
          <w:p>
            <w:pPr>
              <w:spacing w:after="0"/>
              <w:rPr>
                <w:sz w:val="24"/>
                <w:szCs w:val="24"/>
                <w:color w:val="auto"/>
              </w:rPr>
            </w:pPr>
          </w:p>
        </w:tc>
        <w:tc>
          <w:tcPr>
            <w:tcW w:w="6160" w:type="dxa"/>
            <w:vAlign w:val="bottom"/>
            <w:gridSpan w:val="2"/>
          </w:tcPr>
          <w:p>
            <w:pPr>
              <w:jc w:val="right"/>
              <w:ind w:right="263"/>
              <w:spacing w:after="0"/>
              <w:rPr>
                <w:sz w:val="20"/>
                <w:szCs w:val="20"/>
                <w:color w:val="auto"/>
              </w:rPr>
            </w:pPr>
            <w:r>
              <w:rPr>
                <w:rFonts w:ascii="Arial" w:cs="Arial" w:eastAsia="Arial" w:hAnsi="Arial"/>
                <w:sz w:val="22"/>
                <w:szCs w:val="22"/>
                <w:color w:val="1D2758"/>
              </w:rPr>
              <w:t>WillScot Mobile Mini Holdings Corp.</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580" w:type="dxa"/>
            <w:vAlign w:val="bottom"/>
          </w:tcPr>
          <w:p>
            <w:pPr>
              <w:spacing w:after="0"/>
              <w:rPr>
                <w:sz w:val="24"/>
                <w:szCs w:val="24"/>
                <w:color w:val="auto"/>
              </w:rPr>
            </w:pPr>
          </w:p>
        </w:tc>
        <w:tc>
          <w:tcPr>
            <w:tcW w:w="6160" w:type="dxa"/>
            <w:vAlign w:val="bottom"/>
            <w:gridSpan w:val="2"/>
          </w:tcPr>
          <w:p>
            <w:pPr>
              <w:jc w:val="right"/>
              <w:spacing w:after="0"/>
              <w:rPr>
                <w:sz w:val="20"/>
                <w:szCs w:val="20"/>
                <w:color w:val="auto"/>
              </w:rPr>
            </w:pPr>
            <w:r>
              <w:rPr>
                <w:rFonts w:ascii="Arial" w:cs="Arial" w:eastAsia="Arial" w:hAnsi="Arial"/>
                <w:sz w:val="22"/>
                <w:szCs w:val="22"/>
                <w:color w:val="1D2758"/>
              </w:rPr>
              <w:t>Condensed Consolidated Balance Sheets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0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data)</w:t>
            </w:r>
          </w:p>
        </w:tc>
        <w:tc>
          <w:tcPr>
            <w:tcW w:w="2660" w:type="dxa"/>
            <w:vAlign w:val="bottom"/>
            <w:gridSpan w:val="3"/>
            <w:shd w:val="clear" w:color="auto" w:fill="1D2758"/>
          </w:tcPr>
          <w:p>
            <w:pPr>
              <w:ind w:left="340"/>
              <w:spacing w:after="0"/>
              <w:rPr>
                <w:sz w:val="20"/>
                <w:szCs w:val="20"/>
                <w:color w:val="auto"/>
              </w:rPr>
            </w:pPr>
            <w:r>
              <w:rPr>
                <w:rFonts w:ascii="Arial" w:cs="Arial" w:eastAsia="Arial" w:hAnsi="Arial"/>
                <w:sz w:val="15"/>
                <w:szCs w:val="15"/>
                <w:b w:val="1"/>
                <w:bCs w:val="1"/>
                <w:color w:val="FFFFFF"/>
              </w:rPr>
              <w:t>June 30, 2022 (unaudited)</w:t>
            </w:r>
          </w:p>
        </w:tc>
        <w:tc>
          <w:tcPr>
            <w:tcW w:w="340" w:type="dxa"/>
            <w:vAlign w:val="bottom"/>
            <w:shd w:val="clear" w:color="auto" w:fill="1D2758"/>
          </w:tcPr>
          <w:p>
            <w:pPr>
              <w:spacing w:after="0"/>
              <w:rPr>
                <w:sz w:val="24"/>
                <w:szCs w:val="24"/>
                <w:color w:val="auto"/>
              </w:rPr>
            </w:pPr>
          </w:p>
        </w:tc>
        <w:tc>
          <w:tcPr>
            <w:tcW w:w="222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97"/>
        </w:trPr>
        <w:tc>
          <w:tcPr>
            <w:tcW w:w="6020" w:type="dxa"/>
            <w:vAlign w:val="bottom"/>
            <w:gridSpan w:val="2"/>
            <w:vMerge w:val="continue"/>
            <w:shd w:val="clear" w:color="auto" w:fill="1D2758"/>
          </w:tcPr>
          <w:p>
            <w:pPr>
              <w:spacing w:after="0"/>
              <w:rPr>
                <w:sz w:val="8"/>
                <w:szCs w:val="8"/>
                <w:color w:val="auto"/>
              </w:rPr>
            </w:pPr>
          </w:p>
        </w:tc>
        <w:tc>
          <w:tcPr>
            <w:tcW w:w="1720" w:type="dxa"/>
            <w:vAlign w:val="bottom"/>
            <w:shd w:val="clear" w:color="auto" w:fill="1D2758"/>
          </w:tcPr>
          <w:p>
            <w:pPr>
              <w:spacing w:after="0"/>
              <w:rPr>
                <w:sz w:val="8"/>
                <w:szCs w:val="8"/>
                <w:color w:val="auto"/>
              </w:rPr>
            </w:pPr>
          </w:p>
        </w:tc>
        <w:tc>
          <w:tcPr>
            <w:tcW w:w="840" w:type="dxa"/>
            <w:vAlign w:val="bottom"/>
            <w:shd w:val="clear" w:color="auto" w:fill="1D2758"/>
          </w:tcPr>
          <w:p>
            <w:pPr>
              <w:spacing w:after="0"/>
              <w:rPr>
                <w:sz w:val="8"/>
                <w:szCs w:val="8"/>
                <w:color w:val="auto"/>
              </w:rPr>
            </w:pPr>
          </w:p>
        </w:tc>
        <w:tc>
          <w:tcPr>
            <w:tcW w:w="100" w:type="dxa"/>
            <w:vAlign w:val="bottom"/>
            <w:shd w:val="clear" w:color="auto" w:fill="1D2758"/>
          </w:tcPr>
          <w:p>
            <w:pPr>
              <w:spacing w:after="0"/>
              <w:rPr>
                <w:sz w:val="8"/>
                <w:szCs w:val="8"/>
                <w:color w:val="auto"/>
              </w:rPr>
            </w:pPr>
          </w:p>
        </w:tc>
        <w:tc>
          <w:tcPr>
            <w:tcW w:w="340" w:type="dxa"/>
            <w:vAlign w:val="bottom"/>
            <w:shd w:val="clear" w:color="auto" w:fill="1D2758"/>
          </w:tcPr>
          <w:p>
            <w:pPr>
              <w:spacing w:after="0"/>
              <w:rPr>
                <w:sz w:val="8"/>
                <w:szCs w:val="8"/>
                <w:color w:val="auto"/>
              </w:rPr>
            </w:pPr>
          </w:p>
        </w:tc>
        <w:tc>
          <w:tcPr>
            <w:tcW w:w="2220" w:type="dxa"/>
            <w:vAlign w:val="bottom"/>
            <w:shd w:val="clear" w:color="auto" w:fill="1D2758"/>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Assets</w:t>
            </w:r>
          </w:p>
        </w:tc>
        <w:tc>
          <w:tcPr>
            <w:tcW w:w="4440" w:type="dxa"/>
            <w:vAlign w:val="bottom"/>
            <w:shd w:val="clear" w:color="auto" w:fill="DDDDDD"/>
          </w:tcPr>
          <w:p>
            <w:pPr>
              <w:spacing w:after="0"/>
              <w:rPr>
                <w:sz w:val="17"/>
                <w:szCs w:val="17"/>
                <w:color w:val="auto"/>
              </w:rPr>
            </w:pPr>
          </w:p>
        </w:tc>
        <w:tc>
          <w:tcPr>
            <w:tcW w:w="1720" w:type="dxa"/>
            <w:vAlign w:val="bottom"/>
            <w:shd w:val="clear" w:color="auto" w:fill="DDDDDD"/>
          </w:tcPr>
          <w:p>
            <w:pPr>
              <w:spacing w:after="0"/>
              <w:rPr>
                <w:sz w:val="17"/>
                <w:szCs w:val="17"/>
                <w:color w:val="auto"/>
              </w:rPr>
            </w:pPr>
          </w:p>
        </w:tc>
        <w:tc>
          <w:tcPr>
            <w:tcW w:w="840" w:type="dxa"/>
            <w:vAlign w:val="bottom"/>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Cash and cash equivalents</w:t>
            </w:r>
          </w:p>
        </w:tc>
        <w:tc>
          <w:tcPr>
            <w:tcW w:w="1720" w:type="dxa"/>
            <w:vAlign w:val="bottom"/>
          </w:tcPr>
          <w:p>
            <w:pPr>
              <w:jc w:val="right"/>
              <w:ind w:right="1543"/>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11,706</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Pr>
          <w:p>
            <w:pPr>
              <w:jc w:val="right"/>
              <w:spacing w:after="0"/>
              <w:rPr>
                <w:sz w:val="20"/>
                <w:szCs w:val="20"/>
                <w:color w:val="auto"/>
              </w:rPr>
            </w:pPr>
            <w:r>
              <w:rPr>
                <w:rFonts w:ascii="Arial" w:cs="Arial" w:eastAsia="Arial" w:hAnsi="Arial"/>
                <w:sz w:val="15"/>
                <w:szCs w:val="15"/>
                <w:color w:val="auto"/>
              </w:rPr>
              <w:t>12,699</w:t>
            </w:r>
          </w:p>
        </w:tc>
        <w:tc>
          <w:tcPr>
            <w:tcW w:w="0" w:type="dxa"/>
            <w:vAlign w:val="bottom"/>
          </w:tcPr>
          <w:p>
            <w:pPr>
              <w:spacing w:after="0"/>
              <w:rPr>
                <w:sz w:val="1"/>
                <w:szCs w:val="1"/>
                <w:color w:val="auto"/>
              </w:rPr>
            </w:pPr>
          </w:p>
        </w:tc>
      </w:tr>
      <w:tr>
        <w:trPr>
          <w:trHeight w:val="156"/>
        </w:trPr>
        <w:tc>
          <w:tcPr>
            <w:tcW w:w="602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Trade receivables, net of allowances for credit losses at June 30, 2022 and</w:t>
            </w:r>
          </w:p>
        </w:tc>
        <w:tc>
          <w:tcPr>
            <w:tcW w:w="1720" w:type="dxa"/>
            <w:vAlign w:val="bottom"/>
            <w:shd w:val="clear" w:color="auto" w:fill="DDDDDD"/>
          </w:tcPr>
          <w:p>
            <w:pPr>
              <w:spacing w:after="0"/>
              <w:rPr>
                <w:sz w:val="13"/>
                <w:szCs w:val="13"/>
                <w:color w:val="auto"/>
              </w:rPr>
            </w:pPr>
          </w:p>
        </w:tc>
        <w:tc>
          <w:tcPr>
            <w:tcW w:w="84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440,993</w:t>
            </w:r>
          </w:p>
        </w:tc>
        <w:tc>
          <w:tcPr>
            <w:tcW w:w="100" w:type="dxa"/>
            <w:vAlign w:val="bottom"/>
            <w:shd w:val="clear" w:color="auto" w:fill="DDDDDD"/>
          </w:tcPr>
          <w:p>
            <w:pPr>
              <w:spacing w:after="0"/>
              <w:rPr>
                <w:sz w:val="13"/>
                <w:szCs w:val="13"/>
                <w:color w:val="auto"/>
              </w:rPr>
            </w:pP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399,887</w:t>
            </w:r>
          </w:p>
        </w:tc>
        <w:tc>
          <w:tcPr>
            <w:tcW w:w="0" w:type="dxa"/>
            <w:vAlign w:val="bottom"/>
          </w:tcPr>
          <w:p>
            <w:pPr>
              <w:spacing w:after="0"/>
              <w:rPr>
                <w:sz w:val="1"/>
                <w:szCs w:val="1"/>
                <w:color w:val="auto"/>
              </w:rPr>
            </w:pPr>
          </w:p>
        </w:tc>
      </w:tr>
      <w:tr>
        <w:trPr>
          <w:trHeight w:val="206"/>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December 31, 2021 of $53,544 and $47,629, respectively</w:t>
            </w:r>
          </w:p>
        </w:tc>
        <w:tc>
          <w:tcPr>
            <w:tcW w:w="1720" w:type="dxa"/>
            <w:vAlign w:val="bottom"/>
            <w:shd w:val="clear" w:color="auto" w:fill="DDDDDD"/>
          </w:tcPr>
          <w:p>
            <w:pPr>
              <w:spacing w:after="0"/>
              <w:rPr>
                <w:sz w:val="17"/>
                <w:szCs w:val="17"/>
                <w:color w:val="auto"/>
              </w:rPr>
            </w:pPr>
          </w:p>
        </w:tc>
        <w:tc>
          <w:tcPr>
            <w:tcW w:w="840" w:type="dxa"/>
            <w:vAlign w:val="bottom"/>
            <w:vMerge w:val="continue"/>
            <w:shd w:val="clear" w:color="auto" w:fill="DDDDDD"/>
          </w:tcPr>
          <w:p>
            <w:pPr>
              <w:spacing w:after="0"/>
              <w:rPr>
                <w:sz w:val="17"/>
                <w:szCs w:val="17"/>
                <w:color w:val="auto"/>
              </w:rPr>
            </w:pP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Inventories</w:t>
            </w: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41,824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32,739</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Prepaid expenses and other current assets</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44,245</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36,761</w:t>
            </w:r>
          </w:p>
        </w:tc>
        <w:tc>
          <w:tcPr>
            <w:tcW w:w="0" w:type="dxa"/>
            <w:vAlign w:val="bottom"/>
          </w:tcPr>
          <w:p>
            <w:pPr>
              <w:spacing w:after="0"/>
              <w:rPr>
                <w:sz w:val="1"/>
                <w:szCs w:val="1"/>
                <w:color w:val="auto"/>
              </w:rPr>
            </w:pPr>
          </w:p>
        </w:tc>
      </w:tr>
      <w:tr>
        <w:trPr>
          <w:trHeight w:val="205"/>
        </w:trPr>
        <w:tc>
          <w:tcPr>
            <w:tcW w:w="158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Assets held for sale</w:t>
            </w:r>
          </w:p>
        </w:tc>
        <w:tc>
          <w:tcPr>
            <w:tcW w:w="4440" w:type="dxa"/>
            <w:vAlign w:val="bottom"/>
            <w:tcBorders>
              <w:bottom w:val="single" w:sz="8" w:color="DDDDDD"/>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1,518</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954</w:t>
            </w:r>
          </w:p>
        </w:tc>
        <w:tc>
          <w:tcPr>
            <w:tcW w:w="0" w:type="dxa"/>
            <w:vAlign w:val="bottom"/>
          </w:tcPr>
          <w:p>
            <w:pPr>
              <w:spacing w:after="0"/>
              <w:rPr>
                <w:sz w:val="1"/>
                <w:szCs w:val="1"/>
                <w:color w:val="auto"/>
              </w:rPr>
            </w:pPr>
          </w:p>
        </w:tc>
      </w:tr>
      <w:tr>
        <w:trPr>
          <w:trHeight w:val="200"/>
        </w:trPr>
        <w:tc>
          <w:tcPr>
            <w:tcW w:w="6020" w:type="dxa"/>
            <w:vAlign w:val="bottom"/>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assets</w:t>
            </w:r>
          </w:p>
        </w:tc>
        <w:tc>
          <w:tcPr>
            <w:tcW w:w="172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540,286</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483,040</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Rental equipment, net</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3,257,475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3,080,981</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Property, plant and equipment, net</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322,707</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312,178</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Operating lease assets</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235,266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247,064</w:t>
            </w:r>
          </w:p>
        </w:tc>
        <w:tc>
          <w:tcPr>
            <w:tcW w:w="0" w:type="dxa"/>
            <w:vAlign w:val="bottom"/>
          </w:tcPr>
          <w:p>
            <w:pPr>
              <w:spacing w:after="0"/>
              <w:rPr>
                <w:sz w:val="1"/>
                <w:szCs w:val="1"/>
                <w:color w:val="auto"/>
              </w:rPr>
            </w:pPr>
          </w:p>
        </w:tc>
      </w:tr>
      <w:tr>
        <w:trPr>
          <w:trHeight w:val="207"/>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Goodwill</w:t>
            </w:r>
          </w:p>
        </w:tc>
        <w:tc>
          <w:tcPr>
            <w:tcW w:w="4440" w:type="dxa"/>
            <w:vAlign w:val="bottom"/>
            <w:shd w:val="clear" w:color="auto" w:fill="DDDDDD"/>
          </w:tcPr>
          <w:p>
            <w:pPr>
              <w:spacing w:after="0"/>
              <w:rPr>
                <w:sz w:val="18"/>
                <w:szCs w:val="18"/>
                <w:color w:val="auto"/>
              </w:rPr>
            </w:pP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1,171,725</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1,178,806</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Intangible assets, net</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446,578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460,678</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assets</w:t>
            </w:r>
          </w:p>
        </w:tc>
        <w:tc>
          <w:tcPr>
            <w:tcW w:w="17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4,771</w:t>
            </w:r>
          </w:p>
        </w:tc>
        <w:tc>
          <w:tcPr>
            <w:tcW w:w="10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10,852</w:t>
            </w:r>
          </w:p>
        </w:tc>
        <w:tc>
          <w:tcPr>
            <w:tcW w:w="0" w:type="dxa"/>
            <w:vAlign w:val="bottom"/>
          </w:tcPr>
          <w:p>
            <w:pPr>
              <w:spacing w:after="0"/>
              <w:rPr>
                <w:sz w:val="1"/>
                <w:szCs w:val="1"/>
                <w:color w:val="auto"/>
              </w:rPr>
            </w:pPr>
          </w:p>
        </w:tc>
      </w:tr>
      <w:tr>
        <w:trPr>
          <w:trHeight w:val="198"/>
        </w:trPr>
        <w:tc>
          <w:tcPr>
            <w:tcW w:w="6020" w:type="dxa"/>
            <w:vAlign w:val="bottom"/>
            <w:tcBorders>
              <w:bottom w:val="single" w:sz="8" w:color="DDDDDD"/>
            </w:tcBorders>
            <w:gridSpan w:val="2"/>
          </w:tcPr>
          <w:p>
            <w:pPr>
              <w:ind w:left="440"/>
              <w:spacing w:after="0"/>
              <w:rPr>
                <w:sz w:val="20"/>
                <w:szCs w:val="20"/>
                <w:color w:val="auto"/>
              </w:rPr>
            </w:pPr>
            <w:r>
              <w:rPr>
                <w:rFonts w:ascii="Arial" w:cs="Arial" w:eastAsia="Arial" w:hAnsi="Arial"/>
                <w:sz w:val="15"/>
                <w:szCs w:val="15"/>
                <w:color w:val="auto"/>
              </w:rPr>
              <w:t>Total long-term assets</w:t>
            </w: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5,438,522</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5,290,559</w:t>
            </w:r>
          </w:p>
        </w:tc>
        <w:tc>
          <w:tcPr>
            <w:tcW w:w="0" w:type="dxa"/>
            <w:vAlign w:val="bottom"/>
          </w:tcPr>
          <w:p>
            <w:pPr>
              <w:spacing w:after="0"/>
              <w:rPr>
                <w:sz w:val="1"/>
                <w:szCs w:val="1"/>
                <w:color w:val="auto"/>
              </w:rPr>
            </w:pPr>
          </w:p>
        </w:tc>
      </w:tr>
      <w:tr>
        <w:trPr>
          <w:trHeight w:val="224"/>
        </w:trPr>
        <w:tc>
          <w:tcPr>
            <w:tcW w:w="15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Total assets</w:t>
            </w:r>
          </w:p>
        </w:tc>
        <w:tc>
          <w:tcPr>
            <w:tcW w:w="4440" w:type="dxa"/>
            <w:vAlign w:val="bottom"/>
            <w:tcBorders>
              <w:bottom w:val="single" w:sz="8" w:color="DDDDDD"/>
            </w:tcBorders>
            <w:shd w:val="clear" w:color="auto" w:fill="DDDDDD"/>
          </w:tcPr>
          <w:p>
            <w:pPr>
              <w:spacing w:after="0"/>
              <w:rPr>
                <w:sz w:val="19"/>
                <w:szCs w:val="19"/>
                <w:color w:val="auto"/>
              </w:rPr>
            </w:pPr>
          </w:p>
        </w:tc>
        <w:tc>
          <w:tcPr>
            <w:tcW w:w="1720" w:type="dxa"/>
            <w:vAlign w:val="bottom"/>
            <w:tcBorders>
              <w:bottom w:val="single" w:sz="8" w:color="auto"/>
            </w:tcBorders>
            <w:shd w:val="clear" w:color="auto" w:fill="DDDDDD"/>
          </w:tcPr>
          <w:p>
            <w:pPr>
              <w:jc w:val="right"/>
              <w:ind w:right="154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5,978,808</w:t>
            </w:r>
          </w:p>
        </w:tc>
        <w:tc>
          <w:tcPr>
            <w:tcW w:w="10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1580" w:type="dxa"/>
            <w:vAlign w:val="bottom"/>
            <w:tcBorders>
              <w:top w:val="single" w:sz="8" w:color="DDDDDD"/>
              <w:bottom w:val="single" w:sz="8" w:color="DDDDDD"/>
            </w:tcBorders>
            <w:vMerge w:val="restart"/>
          </w:tcPr>
          <w:p>
            <w:pPr>
              <w:ind w:left="20"/>
              <w:spacing w:after="0"/>
              <w:rPr>
                <w:sz w:val="20"/>
                <w:szCs w:val="20"/>
                <w:color w:val="auto"/>
              </w:rPr>
            </w:pPr>
            <w:r>
              <w:rPr>
                <w:rFonts w:ascii="Arial" w:cs="Arial" w:eastAsia="Arial" w:hAnsi="Arial"/>
                <w:sz w:val="15"/>
                <w:szCs w:val="15"/>
                <w:color w:val="auto"/>
              </w:rPr>
              <w:t>Liabilities and equity</w:t>
            </w:r>
          </w:p>
        </w:tc>
        <w:tc>
          <w:tcPr>
            <w:tcW w:w="4440" w:type="dxa"/>
            <w:vAlign w:val="bottom"/>
            <w:tcBorders>
              <w:top w:val="single" w:sz="8" w:color="DDDDDD"/>
            </w:tcBorders>
          </w:tcPr>
          <w:p>
            <w:pPr>
              <w:spacing w:after="0" w:line="20" w:lineRule="exact"/>
              <w:rPr>
                <w:sz w:val="1"/>
                <w:szCs w:val="1"/>
                <w:color w:val="auto"/>
              </w:rPr>
            </w:pPr>
          </w:p>
        </w:tc>
        <w:tc>
          <w:tcPr>
            <w:tcW w:w="172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2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580" w:type="dxa"/>
            <w:vAlign w:val="bottom"/>
            <w:vMerge w:val="continue"/>
          </w:tcPr>
          <w:p>
            <w:pPr>
              <w:spacing w:after="0"/>
              <w:rPr>
                <w:sz w:val="13"/>
                <w:szCs w:val="13"/>
                <w:color w:val="auto"/>
              </w:rPr>
            </w:pPr>
          </w:p>
        </w:tc>
        <w:tc>
          <w:tcPr>
            <w:tcW w:w="44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Accounts payable</w:t>
            </w:r>
          </w:p>
        </w:tc>
        <w:tc>
          <w:tcPr>
            <w:tcW w:w="4440" w:type="dxa"/>
            <w:vAlign w:val="bottom"/>
            <w:shd w:val="clear" w:color="auto" w:fill="DDDDDD"/>
          </w:tcPr>
          <w:p>
            <w:pPr>
              <w:spacing w:after="0"/>
              <w:rPr>
                <w:sz w:val="18"/>
                <w:szCs w:val="18"/>
                <w:color w:val="auto"/>
              </w:rPr>
            </w:pPr>
          </w:p>
        </w:tc>
        <w:tc>
          <w:tcPr>
            <w:tcW w:w="1720" w:type="dxa"/>
            <w:vAlign w:val="bottom"/>
            <w:shd w:val="clear" w:color="auto" w:fill="DDDDDD"/>
          </w:tcPr>
          <w:p>
            <w:pPr>
              <w:jc w:val="right"/>
              <w:ind w:right="1543"/>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155,901</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118,271</w:t>
            </w: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Accrued expenses</w:t>
            </w: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115,124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100,195</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Accrued employee benefits</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63,331</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68,414</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Deferred revenue and customer deposits</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189,333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159,639</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Operating lease liabilities - current</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52,495</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53,005</w:t>
            </w:r>
          </w:p>
        </w:tc>
        <w:tc>
          <w:tcPr>
            <w:tcW w:w="0" w:type="dxa"/>
            <w:vAlign w:val="bottom"/>
          </w:tcPr>
          <w:p>
            <w:pPr>
              <w:spacing w:after="0"/>
              <w:rPr>
                <w:sz w:val="1"/>
                <w:szCs w:val="1"/>
                <w:color w:val="auto"/>
              </w:rPr>
            </w:pPr>
          </w:p>
        </w:tc>
      </w:tr>
      <w:tr>
        <w:trPr>
          <w:trHeight w:val="205"/>
        </w:trPr>
        <w:tc>
          <w:tcPr>
            <w:tcW w:w="6020" w:type="dxa"/>
            <w:vAlign w:val="bottom"/>
            <w:tcBorders>
              <w:bottom w:val="single" w:sz="8" w:color="DDDDDD"/>
            </w:tcBorders>
            <w:gridSpan w:val="2"/>
          </w:tcPr>
          <w:p>
            <w:pPr>
              <w:ind w:left="220"/>
              <w:spacing w:after="0"/>
              <w:rPr>
                <w:sz w:val="20"/>
                <w:szCs w:val="20"/>
                <w:color w:val="auto"/>
              </w:rPr>
            </w:pPr>
            <w:r>
              <w:rPr>
                <w:rFonts w:ascii="Arial" w:cs="Arial" w:eastAsia="Arial" w:hAnsi="Arial"/>
                <w:sz w:val="15"/>
                <w:szCs w:val="15"/>
                <w:color w:val="auto"/>
              </w:rPr>
              <w:t>Current portion of long-term debt</w:t>
            </w: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20,663</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18,121</w:t>
            </w:r>
          </w:p>
        </w:tc>
        <w:tc>
          <w:tcPr>
            <w:tcW w:w="0" w:type="dxa"/>
            <w:vAlign w:val="bottom"/>
          </w:tcPr>
          <w:p>
            <w:pPr>
              <w:spacing w:after="0"/>
              <w:rPr>
                <w:sz w:val="1"/>
                <w:szCs w:val="1"/>
                <w:color w:val="auto"/>
              </w:rPr>
            </w:pPr>
          </w:p>
        </w:tc>
      </w:tr>
      <w:tr>
        <w:trPr>
          <w:trHeight w:val="200"/>
        </w:trPr>
        <w:tc>
          <w:tcPr>
            <w:tcW w:w="6020" w:type="dxa"/>
            <w:vAlign w:val="bottom"/>
            <w:gridSpan w:val="2"/>
            <w:shd w:val="clear" w:color="auto" w:fill="DDDDDD"/>
          </w:tcPr>
          <w:p>
            <w:pPr>
              <w:ind w:left="440"/>
              <w:spacing w:after="0"/>
              <w:rPr>
                <w:sz w:val="20"/>
                <w:szCs w:val="20"/>
                <w:color w:val="auto"/>
              </w:rPr>
            </w:pPr>
            <w:r>
              <w:rPr>
                <w:rFonts w:ascii="Arial" w:cs="Arial" w:eastAsia="Arial" w:hAnsi="Arial"/>
                <w:sz w:val="15"/>
                <w:szCs w:val="15"/>
                <w:color w:val="auto"/>
              </w:rPr>
              <w:t>Total current liabilities</w:t>
            </w:r>
          </w:p>
        </w:tc>
        <w:tc>
          <w:tcPr>
            <w:tcW w:w="1720" w:type="dxa"/>
            <w:vAlign w:val="bottom"/>
            <w:shd w:val="clear" w:color="auto" w:fill="DDDDDD"/>
          </w:tcPr>
          <w:p>
            <w:pPr>
              <w:spacing w:after="0"/>
              <w:rPr>
                <w:sz w:val="17"/>
                <w:szCs w:val="17"/>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596,847</w:t>
            </w:r>
          </w:p>
        </w:tc>
        <w:tc>
          <w:tcPr>
            <w:tcW w:w="100" w:type="dxa"/>
            <w:vAlign w:val="bottom"/>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517,645</w:t>
            </w: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Long-term debt</w:t>
            </w: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3,017,678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2,694,319</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Deferred tax liabilities</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390,092</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354,879</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Operating lease liabilities - non-current</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183,851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194,256</w:t>
            </w: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Other non-current liabilities</w:t>
            </w:r>
          </w:p>
        </w:tc>
        <w:tc>
          <w:tcPr>
            <w:tcW w:w="17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16,390</w:t>
            </w:r>
          </w:p>
        </w:tc>
        <w:tc>
          <w:tcPr>
            <w:tcW w:w="10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15,737</w:t>
            </w:r>
          </w:p>
        </w:tc>
        <w:tc>
          <w:tcPr>
            <w:tcW w:w="0" w:type="dxa"/>
            <w:vAlign w:val="bottom"/>
          </w:tcPr>
          <w:p>
            <w:pPr>
              <w:spacing w:after="0"/>
              <w:rPr>
                <w:sz w:val="1"/>
                <w:szCs w:val="1"/>
                <w:color w:val="auto"/>
              </w:rPr>
            </w:pPr>
          </w:p>
        </w:tc>
      </w:tr>
      <w:tr>
        <w:trPr>
          <w:trHeight w:val="198"/>
        </w:trPr>
        <w:tc>
          <w:tcPr>
            <w:tcW w:w="6020" w:type="dxa"/>
            <w:vAlign w:val="bottom"/>
            <w:tcBorders>
              <w:bottom w:val="single" w:sz="8" w:color="DDDDDD"/>
            </w:tcBorders>
            <w:gridSpan w:val="2"/>
          </w:tcPr>
          <w:p>
            <w:pPr>
              <w:ind w:left="440"/>
              <w:spacing w:after="0"/>
              <w:rPr>
                <w:sz w:val="20"/>
                <w:szCs w:val="20"/>
                <w:color w:val="auto"/>
              </w:rPr>
            </w:pPr>
            <w:r>
              <w:rPr>
                <w:rFonts w:ascii="Arial" w:cs="Arial" w:eastAsia="Arial" w:hAnsi="Arial"/>
                <w:sz w:val="15"/>
                <w:szCs w:val="15"/>
                <w:color w:val="auto"/>
              </w:rPr>
              <w:t>Long-term liabilities</w:t>
            </w: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3,608,011</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3,259,191</w:t>
            </w:r>
          </w:p>
        </w:tc>
        <w:tc>
          <w:tcPr>
            <w:tcW w:w="0" w:type="dxa"/>
            <w:vAlign w:val="bottom"/>
          </w:tcPr>
          <w:p>
            <w:pPr>
              <w:spacing w:after="0"/>
              <w:rPr>
                <w:sz w:val="1"/>
                <w:szCs w:val="1"/>
                <w:color w:val="auto"/>
              </w:rPr>
            </w:pPr>
          </w:p>
        </w:tc>
      </w:tr>
      <w:tr>
        <w:trPr>
          <w:trHeight w:val="200"/>
        </w:trPr>
        <w:tc>
          <w:tcPr>
            <w:tcW w:w="1580" w:type="dxa"/>
            <w:vAlign w:val="bottom"/>
            <w:shd w:val="clear" w:color="auto" w:fill="DDDDDD"/>
          </w:tcPr>
          <w:p>
            <w:pPr>
              <w:ind w:left="20"/>
              <w:spacing w:after="0"/>
              <w:rPr>
                <w:sz w:val="20"/>
                <w:szCs w:val="20"/>
                <w:color w:val="auto"/>
              </w:rPr>
            </w:pPr>
            <w:r>
              <w:rPr>
                <w:rFonts w:ascii="Arial" w:cs="Arial" w:eastAsia="Arial" w:hAnsi="Arial"/>
                <w:sz w:val="15"/>
                <w:szCs w:val="15"/>
                <w:color w:val="auto"/>
              </w:rPr>
              <w:t>Total liabilities</w:t>
            </w:r>
          </w:p>
        </w:tc>
        <w:tc>
          <w:tcPr>
            <w:tcW w:w="4440" w:type="dxa"/>
            <w:vAlign w:val="bottom"/>
            <w:shd w:val="clear" w:color="auto" w:fill="DDDDDD"/>
          </w:tcPr>
          <w:p>
            <w:pPr>
              <w:spacing w:after="0"/>
              <w:rPr>
                <w:sz w:val="17"/>
                <w:szCs w:val="17"/>
                <w:color w:val="auto"/>
              </w:rPr>
            </w:pPr>
          </w:p>
        </w:tc>
        <w:tc>
          <w:tcPr>
            <w:tcW w:w="1720" w:type="dxa"/>
            <w:vAlign w:val="bottom"/>
            <w:tcBorders>
              <w:bottom w:val="single" w:sz="8" w:color="auto"/>
            </w:tcBorders>
            <w:shd w:val="clear" w:color="auto" w:fill="DDDDDD"/>
          </w:tcPr>
          <w:p>
            <w:pPr>
              <w:spacing w:after="0"/>
              <w:rPr>
                <w:sz w:val="17"/>
                <w:szCs w:val="17"/>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4,204,858</w:t>
            </w:r>
          </w:p>
        </w:tc>
        <w:tc>
          <w:tcPr>
            <w:tcW w:w="10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3,776,836</w:t>
            </w:r>
          </w:p>
        </w:tc>
        <w:tc>
          <w:tcPr>
            <w:tcW w:w="0" w:type="dxa"/>
            <w:vAlign w:val="bottom"/>
          </w:tcPr>
          <w:p>
            <w:pPr>
              <w:spacing w:after="0"/>
              <w:rPr>
                <w:sz w:val="1"/>
                <w:szCs w:val="1"/>
                <w:color w:val="auto"/>
              </w:rPr>
            </w:pPr>
          </w:p>
        </w:tc>
      </w:tr>
      <w:tr>
        <w:trPr>
          <w:trHeight w:val="185"/>
        </w:trPr>
        <w:tc>
          <w:tcPr>
            <w:tcW w:w="6020" w:type="dxa"/>
            <w:vAlign w:val="bottom"/>
            <w:gridSpan w:val="2"/>
          </w:tcPr>
          <w:p>
            <w:pPr>
              <w:ind w:left="20"/>
              <w:spacing w:after="0"/>
              <w:rPr>
                <w:sz w:val="20"/>
                <w:szCs w:val="20"/>
                <w:color w:val="auto"/>
              </w:rPr>
            </w:pPr>
            <w:r>
              <w:rPr>
                <w:rFonts w:ascii="Arial" w:cs="Arial" w:eastAsia="Arial" w:hAnsi="Arial"/>
                <w:sz w:val="15"/>
                <w:szCs w:val="15"/>
                <w:color w:val="auto"/>
              </w:rPr>
              <w:t>Commitments and contingencies (see Note 16)</w:t>
            </w:r>
          </w:p>
        </w:tc>
        <w:tc>
          <w:tcPr>
            <w:tcW w:w="1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020" w:type="dxa"/>
            <w:vAlign w:val="bottom"/>
            <w:gridSpan w:val="2"/>
            <w:shd w:val="clear" w:color="auto" w:fill="DDDDDD"/>
          </w:tcPr>
          <w:p>
            <w:pPr>
              <w:ind w:left="220"/>
              <w:spacing w:after="0" w:line="156" w:lineRule="exact"/>
              <w:rPr>
                <w:sz w:val="20"/>
                <w:szCs w:val="20"/>
                <w:color w:val="auto"/>
              </w:rPr>
            </w:pPr>
            <w:r>
              <w:rPr>
                <w:rFonts w:ascii="Arial" w:cs="Arial" w:eastAsia="Arial" w:hAnsi="Arial"/>
                <w:sz w:val="15"/>
                <w:szCs w:val="15"/>
                <w:color w:val="auto"/>
              </w:rPr>
              <w:t>Preferred Stock: $0.0001 par, 1,000,000 shares authorized and zero shares issued</w:t>
            </w:r>
          </w:p>
        </w:tc>
        <w:tc>
          <w:tcPr>
            <w:tcW w:w="1720" w:type="dxa"/>
            <w:vAlign w:val="bottom"/>
            <w:shd w:val="clear" w:color="auto" w:fill="DDDDDD"/>
          </w:tcPr>
          <w:p>
            <w:pPr>
              <w:spacing w:after="0"/>
              <w:rPr>
                <w:sz w:val="13"/>
                <w:szCs w:val="13"/>
                <w:color w:val="auto"/>
              </w:rPr>
            </w:pPr>
          </w:p>
        </w:tc>
        <w:tc>
          <w:tcPr>
            <w:tcW w:w="940" w:type="dxa"/>
            <w:vAlign w:val="bottom"/>
            <w:gridSpan w:val="2"/>
            <w:vMerge w:val="restart"/>
            <w:shd w:val="clear" w:color="auto" w:fill="DDDDDD"/>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DDDDDD"/>
          </w:tcPr>
          <w:p>
            <w:pPr>
              <w:spacing w:after="0"/>
              <w:rPr>
                <w:sz w:val="13"/>
                <w:szCs w:val="13"/>
                <w:color w:val="auto"/>
              </w:rPr>
            </w:pPr>
          </w:p>
        </w:tc>
        <w:tc>
          <w:tcPr>
            <w:tcW w:w="2220" w:type="dxa"/>
            <w:vAlign w:val="bottom"/>
            <w:vMerge w:val="restart"/>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and outstanding at June 30, 2022 and December 31, 2021</w:t>
            </w:r>
          </w:p>
        </w:tc>
        <w:tc>
          <w:tcPr>
            <w:tcW w:w="1720" w:type="dxa"/>
            <w:vAlign w:val="bottom"/>
            <w:shd w:val="clear" w:color="auto" w:fill="DDDDDD"/>
          </w:tcPr>
          <w:p>
            <w:pPr>
              <w:spacing w:after="0"/>
              <w:rPr>
                <w:sz w:val="17"/>
                <w:szCs w:val="17"/>
                <w:color w:val="auto"/>
              </w:rPr>
            </w:pPr>
          </w:p>
        </w:tc>
        <w:tc>
          <w:tcPr>
            <w:tcW w:w="940" w:type="dxa"/>
            <w:vAlign w:val="bottom"/>
            <w:gridSpan w:val="2"/>
            <w:vMerge w:val="continue"/>
            <w:shd w:val="clear" w:color="auto" w:fill="DDDDDD"/>
          </w:tcPr>
          <w:p>
            <w:pPr>
              <w:spacing w:after="0"/>
              <w:rPr>
                <w:sz w:val="17"/>
                <w:szCs w:val="17"/>
                <w:color w:val="auto"/>
              </w:rPr>
            </w:pPr>
          </w:p>
        </w:tc>
        <w:tc>
          <w:tcPr>
            <w:tcW w:w="340" w:type="dxa"/>
            <w:vAlign w:val="bottom"/>
            <w:shd w:val="clear" w:color="auto" w:fill="DDDDDD"/>
          </w:tcPr>
          <w:p>
            <w:pPr>
              <w:spacing w:after="0"/>
              <w:rPr>
                <w:sz w:val="17"/>
                <w:szCs w:val="17"/>
                <w:color w:val="auto"/>
              </w:rPr>
            </w:pPr>
          </w:p>
        </w:tc>
        <w:tc>
          <w:tcPr>
            <w:tcW w:w="2220" w:type="dxa"/>
            <w:vAlign w:val="bottom"/>
            <w:vMerge w:val="continue"/>
            <w:shd w:val="clear" w:color="auto" w:fill="DDDDDD"/>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020" w:type="dxa"/>
            <w:vAlign w:val="bottom"/>
            <w:gridSpan w:val="2"/>
          </w:tcPr>
          <w:p>
            <w:pPr>
              <w:ind w:left="220"/>
              <w:spacing w:after="0" w:line="156" w:lineRule="exact"/>
              <w:rPr>
                <w:sz w:val="20"/>
                <w:szCs w:val="20"/>
                <w:color w:val="auto"/>
              </w:rPr>
            </w:pPr>
            <w:r>
              <w:rPr>
                <w:rFonts w:ascii="Arial" w:cs="Arial" w:eastAsia="Arial" w:hAnsi="Arial"/>
                <w:sz w:val="15"/>
                <w:szCs w:val="15"/>
                <w:color w:val="auto"/>
              </w:rPr>
              <w:t>Common Stock: $0.0001 par, 500,000,000 shares authorized and 216,090,996 and</w:t>
            </w:r>
          </w:p>
        </w:tc>
        <w:tc>
          <w:tcPr>
            <w:tcW w:w="1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20" w:type="dxa"/>
            <w:vAlign w:val="bottom"/>
            <w:gridSpan w:val="2"/>
          </w:tcPr>
          <w:p>
            <w:pPr>
              <w:ind w:left="220"/>
              <w:spacing w:after="0" w:line="155" w:lineRule="exact"/>
              <w:rPr>
                <w:sz w:val="20"/>
                <w:szCs w:val="20"/>
                <w:color w:val="auto"/>
              </w:rPr>
            </w:pPr>
            <w:r>
              <w:rPr>
                <w:rFonts w:ascii="Arial" w:cs="Arial" w:eastAsia="Arial" w:hAnsi="Arial"/>
                <w:sz w:val="15"/>
                <w:szCs w:val="15"/>
                <w:color w:val="auto"/>
              </w:rPr>
              <w:t>223,939,527 shares issued and outstanding at June 30, 2022 and December 31,</w:t>
            </w:r>
          </w:p>
        </w:tc>
        <w:tc>
          <w:tcPr>
            <w:tcW w:w="17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20" w:type="dxa"/>
            <w:vAlign w:val="bottom"/>
            <w:vMerge w:val="restart"/>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205"/>
        </w:trPr>
        <w:tc>
          <w:tcPr>
            <w:tcW w:w="1580" w:type="dxa"/>
            <w:vAlign w:val="bottom"/>
          </w:tcPr>
          <w:p>
            <w:pPr>
              <w:ind w:left="220"/>
              <w:spacing w:after="0"/>
              <w:rPr>
                <w:sz w:val="20"/>
                <w:szCs w:val="20"/>
                <w:color w:val="auto"/>
              </w:rPr>
            </w:pPr>
            <w:r>
              <w:rPr>
                <w:rFonts w:ascii="Arial" w:cs="Arial" w:eastAsia="Arial" w:hAnsi="Arial"/>
                <w:sz w:val="15"/>
                <w:szCs w:val="15"/>
                <w:color w:val="auto"/>
              </w:rPr>
              <w:t>2021, respectively</w:t>
            </w:r>
          </w:p>
        </w:tc>
        <w:tc>
          <w:tcPr>
            <w:tcW w:w="44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gridSpan w:val="2"/>
            <w:shd w:val="clear" w:color="auto" w:fill="DDDDDD"/>
          </w:tcPr>
          <w:p>
            <w:pPr>
              <w:ind w:left="220"/>
              <w:spacing w:after="0"/>
              <w:rPr>
                <w:sz w:val="20"/>
                <w:szCs w:val="20"/>
                <w:color w:val="auto"/>
              </w:rPr>
            </w:pPr>
            <w:r>
              <w:rPr>
                <w:rFonts w:ascii="Arial" w:cs="Arial" w:eastAsia="Arial" w:hAnsi="Arial"/>
                <w:sz w:val="15"/>
                <w:szCs w:val="15"/>
                <w:color w:val="auto"/>
              </w:rPr>
              <w:t>Additional paid-in-capital</w:t>
            </w:r>
          </w:p>
        </w:tc>
        <w:tc>
          <w:tcPr>
            <w:tcW w:w="1720" w:type="dxa"/>
            <w:vAlign w:val="bottom"/>
            <w:shd w:val="clear" w:color="auto" w:fill="DDDDDD"/>
          </w:tcPr>
          <w:p>
            <w:pPr>
              <w:spacing w:after="0"/>
              <w:rPr>
                <w:sz w:val="18"/>
                <w:szCs w:val="18"/>
                <w:color w:val="auto"/>
              </w:rPr>
            </w:pPr>
          </w:p>
        </w:tc>
        <w:tc>
          <w:tcPr>
            <w:tcW w:w="8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3,295,747</w:t>
            </w: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2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3,616,902</w:t>
            </w:r>
          </w:p>
        </w:tc>
        <w:tc>
          <w:tcPr>
            <w:tcW w:w="0" w:type="dxa"/>
            <w:vAlign w:val="bottom"/>
          </w:tcPr>
          <w:p>
            <w:pPr>
              <w:spacing w:after="0"/>
              <w:rPr>
                <w:sz w:val="1"/>
                <w:szCs w:val="1"/>
                <w:color w:val="auto"/>
              </w:rPr>
            </w:pPr>
          </w:p>
        </w:tc>
      </w:tr>
      <w:tr>
        <w:trPr>
          <w:trHeight w:val="205"/>
        </w:trPr>
        <w:tc>
          <w:tcPr>
            <w:tcW w:w="6020" w:type="dxa"/>
            <w:vAlign w:val="bottom"/>
            <w:gridSpan w:val="2"/>
          </w:tcPr>
          <w:p>
            <w:pPr>
              <w:ind w:left="220"/>
              <w:spacing w:after="0"/>
              <w:rPr>
                <w:sz w:val="20"/>
                <w:szCs w:val="20"/>
                <w:color w:val="auto"/>
              </w:rPr>
            </w:pPr>
            <w:r>
              <w:rPr>
                <w:rFonts w:ascii="Arial" w:cs="Arial" w:eastAsia="Arial" w:hAnsi="Arial"/>
                <w:sz w:val="15"/>
                <w:szCs w:val="15"/>
                <w:color w:val="auto"/>
              </w:rPr>
              <w:t>Accumulated other comprehensive loss</w:t>
            </w:r>
          </w:p>
        </w:tc>
        <w:tc>
          <w:tcPr>
            <w:tcW w:w="17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(55,276)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20" w:type="dxa"/>
            <w:vAlign w:val="bottom"/>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7"/>
        </w:trPr>
        <w:tc>
          <w:tcPr>
            <w:tcW w:w="1580" w:type="dxa"/>
            <w:vAlign w:val="bottom"/>
            <w:shd w:val="clear" w:color="auto" w:fill="DDDDDD"/>
          </w:tcPr>
          <w:p>
            <w:pPr>
              <w:ind w:left="220"/>
              <w:spacing w:after="0"/>
              <w:rPr>
                <w:sz w:val="20"/>
                <w:szCs w:val="20"/>
                <w:color w:val="auto"/>
              </w:rPr>
            </w:pPr>
            <w:r>
              <w:rPr>
                <w:rFonts w:ascii="Arial" w:cs="Arial" w:eastAsia="Arial" w:hAnsi="Arial"/>
                <w:sz w:val="15"/>
                <w:szCs w:val="15"/>
                <w:color w:val="auto"/>
              </w:rPr>
              <w:t>Accumulated deficit</w:t>
            </w:r>
          </w:p>
        </w:tc>
        <w:tc>
          <w:tcPr>
            <w:tcW w:w="4440" w:type="dxa"/>
            <w:vAlign w:val="bottom"/>
            <w:shd w:val="clear" w:color="auto" w:fill="DDDDDD"/>
          </w:tcPr>
          <w:p>
            <w:pPr>
              <w:spacing w:after="0"/>
              <w:rPr>
                <w:sz w:val="18"/>
                <w:szCs w:val="18"/>
                <w:color w:val="auto"/>
              </w:rPr>
            </w:pPr>
          </w:p>
        </w:tc>
        <w:tc>
          <w:tcPr>
            <w:tcW w:w="1720" w:type="dxa"/>
            <w:vAlign w:val="bottom"/>
            <w:tcBorders>
              <w:bottom w:val="single" w:sz="8" w:color="auto"/>
            </w:tcBorders>
            <w:shd w:val="clear" w:color="auto" w:fill="DDDDDD"/>
          </w:tcPr>
          <w:p>
            <w:pPr>
              <w:spacing w:after="0"/>
              <w:rPr>
                <w:sz w:val="18"/>
                <w:szCs w:val="18"/>
                <w:color w:val="auto"/>
              </w:rPr>
            </w:pP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(1,466,543)</w:t>
            </w:r>
          </w:p>
        </w:tc>
        <w:tc>
          <w:tcPr>
            <w:tcW w:w="100" w:type="dxa"/>
            <w:vAlign w:val="bottom"/>
            <w:shd w:val="clear" w:color="auto" w:fill="DDDDDD"/>
          </w:tcPr>
          <w:p>
            <w:pPr>
              <w:spacing w:after="0"/>
              <w:rPr>
                <w:sz w:val="18"/>
                <w:szCs w:val="18"/>
                <w:color w:val="auto"/>
              </w:rPr>
            </w:pPr>
          </w:p>
        </w:tc>
        <w:tc>
          <w:tcPr>
            <w:tcW w:w="340" w:type="dxa"/>
            <w:vAlign w:val="bottom"/>
            <w:tcBorders>
              <w:bottom w:val="single" w:sz="8" w:color="auto"/>
            </w:tcBorders>
            <w:shd w:val="clear" w:color="auto" w:fill="DDDDDD"/>
          </w:tcPr>
          <w:p>
            <w:pPr>
              <w:spacing w:after="0"/>
              <w:rPr>
                <w:sz w:val="18"/>
                <w:szCs w:val="18"/>
                <w:color w:val="auto"/>
              </w:rPr>
            </w:pP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(1,591,090)</w:t>
            </w:r>
          </w:p>
        </w:tc>
        <w:tc>
          <w:tcPr>
            <w:tcW w:w="0" w:type="dxa"/>
            <w:vAlign w:val="bottom"/>
          </w:tcPr>
          <w:p>
            <w:pPr>
              <w:spacing w:after="0"/>
              <w:rPr>
                <w:sz w:val="1"/>
                <w:szCs w:val="1"/>
                <w:color w:val="auto"/>
              </w:rPr>
            </w:pPr>
          </w:p>
        </w:tc>
      </w:tr>
      <w:tr>
        <w:trPr>
          <w:trHeight w:val="198"/>
        </w:trPr>
        <w:tc>
          <w:tcPr>
            <w:tcW w:w="6020" w:type="dxa"/>
            <w:vAlign w:val="bottom"/>
            <w:tcBorders>
              <w:bottom w:val="single" w:sz="8" w:color="DDDDDD"/>
            </w:tcBorders>
            <w:gridSpan w:val="2"/>
          </w:tcPr>
          <w:p>
            <w:pPr>
              <w:ind w:left="20"/>
              <w:spacing w:after="0"/>
              <w:rPr>
                <w:sz w:val="20"/>
                <w:szCs w:val="20"/>
                <w:color w:val="auto"/>
              </w:rPr>
            </w:pPr>
            <w:r>
              <w:rPr>
                <w:rFonts w:ascii="Arial" w:cs="Arial" w:eastAsia="Arial" w:hAnsi="Arial"/>
                <w:sz w:val="15"/>
                <w:szCs w:val="15"/>
                <w:color w:val="auto"/>
              </w:rPr>
              <w:t>Total shareholders' equity</w:t>
            </w:r>
          </w:p>
        </w:tc>
        <w:tc>
          <w:tcPr>
            <w:tcW w:w="1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1,773,950</w:t>
            </w:r>
          </w:p>
        </w:tc>
        <w:tc>
          <w:tcPr>
            <w:tcW w:w="10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24"/>
        </w:trPr>
        <w:tc>
          <w:tcPr>
            <w:tcW w:w="6020" w:type="dxa"/>
            <w:vAlign w:val="bottom"/>
            <w:tcBorders>
              <w:bottom w:val="single" w:sz="8" w:color="DDDDDD"/>
            </w:tcBorders>
            <w:gridSpan w:val="2"/>
            <w:shd w:val="clear" w:color="auto" w:fill="DDDDDD"/>
          </w:tcPr>
          <w:p>
            <w:pPr>
              <w:ind w:left="20"/>
              <w:spacing w:after="0"/>
              <w:rPr>
                <w:sz w:val="20"/>
                <w:szCs w:val="20"/>
                <w:color w:val="auto"/>
              </w:rPr>
            </w:pPr>
            <w:r>
              <w:rPr>
                <w:rFonts w:ascii="Arial" w:cs="Arial" w:eastAsia="Arial" w:hAnsi="Arial"/>
                <w:sz w:val="15"/>
                <w:szCs w:val="15"/>
                <w:color w:val="auto"/>
              </w:rPr>
              <w:t>Total liabilities and shareholders' equity</w:t>
            </w:r>
          </w:p>
        </w:tc>
        <w:tc>
          <w:tcPr>
            <w:tcW w:w="1720" w:type="dxa"/>
            <w:vAlign w:val="bottom"/>
            <w:tcBorders>
              <w:bottom w:val="single" w:sz="8" w:color="auto"/>
            </w:tcBorders>
            <w:shd w:val="clear" w:color="auto" w:fill="DDDDDD"/>
          </w:tcPr>
          <w:p>
            <w:pPr>
              <w:jc w:val="right"/>
              <w:ind w:right="1543"/>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5,978,808</w:t>
            </w:r>
          </w:p>
        </w:tc>
        <w:tc>
          <w:tcPr>
            <w:tcW w:w="10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auto"/>
            </w:tcBorders>
            <w:shd w:val="clear" w:color="auto" w:fill="DDDDDD"/>
          </w:tcPr>
          <w:p>
            <w:pPr>
              <w:jc w:val="right"/>
              <w:ind w:right="163"/>
              <w:spacing w:after="0"/>
              <w:rPr>
                <w:sz w:val="20"/>
                <w:szCs w:val="20"/>
                <w:color w:val="auto"/>
              </w:rPr>
            </w:pPr>
            <w:r>
              <w:rPr>
                <w:rFonts w:ascii="Arial" w:cs="Arial" w:eastAsia="Arial" w:hAnsi="Arial"/>
                <w:sz w:val="15"/>
                <w:szCs w:val="15"/>
                <w:color w:val="auto"/>
                <w:w w:val="95"/>
              </w:rPr>
              <w:t>$</w:t>
            </w:r>
          </w:p>
        </w:tc>
        <w:tc>
          <w:tcPr>
            <w:tcW w:w="2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5,773,599</w:t>
            </w:r>
          </w:p>
        </w:tc>
        <w:tc>
          <w:tcPr>
            <w:tcW w:w="0" w:type="dxa"/>
            <w:vAlign w:val="bottom"/>
          </w:tcPr>
          <w:p>
            <w:pPr>
              <w:spacing w:after="0"/>
              <w:rPr>
                <w:sz w:val="1"/>
                <w:szCs w:val="1"/>
                <w:color w:val="auto"/>
              </w:rPr>
            </w:pPr>
          </w:p>
        </w:tc>
      </w:tr>
      <w:tr>
        <w:trPr>
          <w:trHeight w:val="20"/>
        </w:trPr>
        <w:tc>
          <w:tcPr>
            <w:tcW w:w="1580" w:type="dxa"/>
            <w:vAlign w:val="bottom"/>
            <w:tcBorders>
              <w:top w:val="single" w:sz="8" w:color="DDDDDD"/>
            </w:tcBorders>
          </w:tcPr>
          <w:p>
            <w:pPr>
              <w:spacing w:after="0" w:line="20" w:lineRule="exact"/>
              <w:rPr>
                <w:sz w:val="1"/>
                <w:szCs w:val="1"/>
                <w:color w:val="auto"/>
              </w:rPr>
            </w:pPr>
          </w:p>
        </w:tc>
        <w:tc>
          <w:tcPr>
            <w:tcW w:w="4440" w:type="dxa"/>
            <w:vAlign w:val="bottom"/>
            <w:tcBorders>
              <w:top w:val="single" w:sz="8" w:color="DDDDDD"/>
            </w:tcBorders>
          </w:tcPr>
          <w:p>
            <w:pPr>
              <w:spacing w:after="0" w:line="20" w:lineRule="exact"/>
              <w:rPr>
                <w:sz w:val="1"/>
                <w:szCs w:val="1"/>
                <w:color w:val="auto"/>
              </w:rPr>
            </w:pPr>
          </w:p>
        </w:tc>
        <w:tc>
          <w:tcPr>
            <w:tcW w:w="1720" w:type="dxa"/>
            <w:vAlign w:val="bottom"/>
            <w:tcBorders>
              <w:top w:val="single" w:sz="8" w:color="DDDDDD"/>
              <w:bottom w:val="single" w:sz="8" w:color="auto"/>
            </w:tcBorders>
          </w:tcPr>
          <w:p>
            <w:pPr>
              <w:spacing w:after="0" w:line="20" w:lineRule="exact"/>
              <w:rPr>
                <w:sz w:val="1"/>
                <w:szCs w:val="1"/>
                <w:color w:val="auto"/>
              </w:rPr>
            </w:pPr>
          </w:p>
        </w:tc>
        <w:tc>
          <w:tcPr>
            <w:tcW w:w="84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222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share and per share data)</w:t>
            </w:r>
          </w:p>
        </w:tc>
        <w:tc>
          <w:tcPr>
            <w:tcW w:w="320" w:type="dxa"/>
            <w:vAlign w:val="bottom"/>
            <w:shd w:val="clear" w:color="auto" w:fill="1D2758"/>
          </w:tcPr>
          <w:p>
            <w:pPr>
              <w:spacing w:after="0"/>
              <w:rPr>
                <w:sz w:val="16"/>
                <w:szCs w:val="16"/>
                <w:color w:val="auto"/>
              </w:rPr>
            </w:pPr>
          </w:p>
        </w:tc>
        <w:tc>
          <w:tcPr>
            <w:tcW w:w="3060" w:type="dxa"/>
            <w:vAlign w:val="bottom"/>
            <w:gridSpan w:val="5"/>
            <w:shd w:val="clear" w:color="auto" w:fill="1D2758"/>
          </w:tcPr>
          <w:p>
            <w:pPr>
              <w:ind w:left="220"/>
              <w:spacing w:after="0"/>
              <w:rPr>
                <w:sz w:val="20"/>
                <w:szCs w:val="20"/>
                <w:color w:val="auto"/>
              </w:rPr>
            </w:pPr>
            <w:r>
              <w:rPr>
                <w:rFonts w:ascii="Arial" w:cs="Arial" w:eastAsia="Arial" w:hAnsi="Arial"/>
                <w:sz w:val="15"/>
                <w:szCs w:val="15"/>
                <w:b w:val="1"/>
                <w:bCs w:val="1"/>
                <w:color w:val="FFFFFF"/>
              </w:rPr>
              <w:t>Three Months Ended June 30,</w:t>
            </w:r>
          </w:p>
        </w:tc>
        <w:tc>
          <w:tcPr>
            <w:tcW w:w="360" w:type="dxa"/>
            <w:vAlign w:val="bottom"/>
            <w:shd w:val="clear" w:color="auto" w:fill="1D2758"/>
          </w:tcPr>
          <w:p>
            <w:pPr>
              <w:spacing w:after="0"/>
              <w:rPr>
                <w:sz w:val="16"/>
                <w:szCs w:val="16"/>
                <w:color w:val="auto"/>
              </w:rPr>
            </w:pPr>
          </w:p>
        </w:tc>
        <w:tc>
          <w:tcPr>
            <w:tcW w:w="2960" w:type="dxa"/>
            <w:vAlign w:val="bottom"/>
            <w:gridSpan w:val="4"/>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13"/>
        </w:trPr>
        <w:tc>
          <w:tcPr>
            <w:tcW w:w="4540" w:type="dxa"/>
            <w:vAlign w:val="bottom"/>
            <w:vMerge w:val="continue"/>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20" w:type="dxa"/>
            <w:vAlign w:val="bottom"/>
            <w:vMerge w:val="restart"/>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36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40" w:type="dxa"/>
            <w:vAlign w:val="bottom"/>
            <w:vMerge w:val="restart"/>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84"/>
        </w:trPr>
        <w:tc>
          <w:tcPr>
            <w:tcW w:w="4540" w:type="dxa"/>
            <w:vAlign w:val="bottom"/>
            <w:shd w:val="clear" w:color="auto" w:fill="1D2758"/>
          </w:tcPr>
          <w:p>
            <w:pPr>
              <w:spacing w:after="0"/>
              <w:rPr>
                <w:sz w:val="7"/>
                <w:szCs w:val="7"/>
                <w:color w:val="auto"/>
              </w:rPr>
            </w:pPr>
          </w:p>
        </w:tc>
        <w:tc>
          <w:tcPr>
            <w:tcW w:w="32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22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36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32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428,620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343,179</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821,812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658,841</w:t>
            </w:r>
          </w:p>
        </w:tc>
        <w:tc>
          <w:tcPr>
            <w:tcW w:w="0" w:type="dxa"/>
            <w:vAlign w:val="bottom"/>
          </w:tcPr>
          <w:p>
            <w:pPr>
              <w:spacing w:after="0"/>
              <w:rPr>
                <w:sz w:val="1"/>
                <w:szCs w:val="1"/>
                <w:color w:val="auto"/>
              </w:rPr>
            </w:pPr>
          </w:p>
        </w:tc>
      </w:tr>
      <w:tr>
        <w:trPr>
          <w:trHeight w:val="205"/>
        </w:trPr>
        <w:tc>
          <w:tcPr>
            <w:tcW w:w="45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125,403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91,680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225,734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175,184</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11,094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11,008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17,691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21,963</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16,525</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15,235</w:t>
            </w:r>
          </w:p>
        </w:tc>
        <w:tc>
          <w:tcPr>
            <w:tcW w:w="100" w:type="dxa"/>
            <w:vAlign w:val="bottom"/>
            <w:shd w:val="clear" w:color="auto" w:fill="DBDBDB"/>
          </w:tcPr>
          <w:p>
            <w:pPr>
              <w:spacing w:after="0"/>
              <w:rPr>
                <w:sz w:val="18"/>
                <w:szCs w:val="18"/>
                <w:color w:val="auto"/>
              </w:rPr>
            </w:pPr>
          </w:p>
        </w:tc>
        <w:tc>
          <w:tcPr>
            <w:tcW w:w="360" w:type="dxa"/>
            <w:vAlign w:val="bottom"/>
            <w:tcBorders>
              <w:bottom w:val="single" w:sz="8" w:color="auto"/>
            </w:tcBorders>
            <w:shd w:val="clear" w:color="auto" w:fill="DBDBDB"/>
          </w:tcPr>
          <w:p>
            <w:pPr>
              <w:spacing w:after="0"/>
              <w:rPr>
                <w:sz w:val="18"/>
                <w:szCs w:val="18"/>
                <w:color w:val="auto"/>
              </w:rPr>
            </w:pP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25,299</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30,437</w:t>
            </w:r>
          </w:p>
        </w:tc>
        <w:tc>
          <w:tcPr>
            <w:tcW w:w="0" w:type="dxa"/>
            <w:vAlign w:val="bottom"/>
          </w:tcPr>
          <w:p>
            <w:pPr>
              <w:spacing w:after="0"/>
              <w:rPr>
                <w:sz w:val="1"/>
                <w:szCs w:val="1"/>
                <w:color w:val="auto"/>
              </w:rPr>
            </w:pPr>
          </w:p>
        </w:tc>
      </w:tr>
      <w:tr>
        <w:trPr>
          <w:trHeight w:val="198"/>
        </w:trPr>
        <w:tc>
          <w:tcPr>
            <w:tcW w:w="45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581,642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461,102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1,090,536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886,425</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96,912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83,032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185,790</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152,927</w:t>
            </w:r>
          </w:p>
        </w:tc>
        <w:tc>
          <w:tcPr>
            <w:tcW w:w="0" w:type="dxa"/>
            <w:vAlign w:val="bottom"/>
          </w:tcPr>
          <w:p>
            <w:pPr>
              <w:spacing w:after="0"/>
              <w:rPr>
                <w:sz w:val="1"/>
                <w:szCs w:val="1"/>
                <w:color w:val="auto"/>
              </w:rPr>
            </w:pPr>
          </w:p>
        </w:tc>
      </w:tr>
      <w:tr>
        <w:trPr>
          <w:trHeight w:val="205"/>
        </w:trPr>
        <w:tc>
          <w:tcPr>
            <w:tcW w:w="45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93,587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77,153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175,102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147,289</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6,139</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7,052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10,465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14,161</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8,955</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14,099</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17,267</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67,176</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62,893</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129,392</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118,591</w:t>
            </w:r>
          </w:p>
        </w:tc>
        <w:tc>
          <w:tcPr>
            <w:tcW w:w="0" w:type="dxa"/>
            <w:vAlign w:val="bottom"/>
          </w:tcPr>
          <w:p>
            <w:pPr>
              <w:spacing w:after="0"/>
              <w:rPr>
                <w:sz w:val="1"/>
                <w:szCs w:val="1"/>
                <w:color w:val="auto"/>
              </w:rPr>
            </w:pPr>
          </w:p>
        </w:tc>
      </w:tr>
      <w:tr>
        <w:trPr>
          <w:trHeight w:val="200"/>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32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308,873</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222,810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575,688</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436,190</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5"/>
                <w:szCs w:val="15"/>
                <w:color w:val="auto"/>
              </w:rPr>
              <w:t>Expenses: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122,387</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312,374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239,716</w:t>
            </w: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19,054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21,622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38,658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39,946</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254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1,727</w:t>
            </w: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6,960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(86)</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10,102</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expense, net</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(3,784)</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(5,093)</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w:t>
            </w:r>
          </w:p>
        </w:tc>
        <w:tc>
          <w:tcPr>
            <w:tcW w:w="0" w:type="dxa"/>
            <w:vAlign w:val="bottom"/>
          </w:tcPr>
          <w:p>
            <w:pPr>
              <w:spacing w:after="0"/>
              <w:rPr>
                <w:sz w:val="1"/>
                <w:szCs w:val="1"/>
                <w:color w:val="auto"/>
              </w:rPr>
            </w:pPr>
          </w:p>
        </w:tc>
      </w:tr>
      <w:tr>
        <w:trPr>
          <w:trHeight w:val="200"/>
        </w:trPr>
        <w:tc>
          <w:tcPr>
            <w:tcW w:w="45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32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131,661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70,615</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229,570</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145,899</w:t>
            </w: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33,574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29,212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64,564</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59,176</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(gain) loss on common stock warrant liabilities</w:t>
            </w:r>
          </w:p>
        </w:tc>
        <w:tc>
          <w:tcPr>
            <w:tcW w:w="32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34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5"/>
                <w:szCs w:val="15"/>
                <w:color w:val="auto"/>
              </w:rPr>
              <w:t>Loss on extinguishment of debt</w:t>
            </w:r>
          </w:p>
        </w:tc>
        <w:tc>
          <w:tcPr>
            <w:tcW w:w="3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2,814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0"/>
        </w:trPr>
        <w:tc>
          <w:tcPr>
            <w:tcW w:w="45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320" w:type="dxa"/>
            <w:vAlign w:val="bottom"/>
            <w:tcBorders>
              <w:top w:val="single" w:sz="8" w:color="auto"/>
            </w:tcBorders>
            <w:shd w:val="clear" w:color="auto" w:fill="DBDBDB"/>
          </w:tcPr>
          <w:p>
            <w:pPr>
              <w:spacing w:after="0"/>
              <w:rPr>
                <w:sz w:val="17"/>
                <w:szCs w:val="17"/>
                <w:color w:val="auto"/>
              </w:rPr>
            </w:pPr>
          </w:p>
        </w:tc>
        <w:tc>
          <w:tcPr>
            <w:tcW w:w="12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98,087</w:t>
            </w:r>
          </w:p>
        </w:tc>
        <w:tc>
          <w:tcPr>
            <w:tcW w:w="80" w:type="dxa"/>
            <w:vAlign w:val="bottom"/>
            <w:tcBorders>
              <w:top w:val="single" w:sz="8" w:color="DBDBDB"/>
            </w:tcBorders>
            <w:shd w:val="clear" w:color="auto" w:fill="DBDBDB"/>
          </w:tcPr>
          <w:p>
            <w:pPr>
              <w:spacing w:after="0"/>
              <w:rPr>
                <w:sz w:val="17"/>
                <w:szCs w:val="17"/>
                <w:color w:val="auto"/>
              </w:rPr>
            </w:pPr>
          </w:p>
        </w:tc>
        <w:tc>
          <w:tcPr>
            <w:tcW w:w="380" w:type="dxa"/>
            <w:vAlign w:val="bottom"/>
            <w:tcBorders>
              <w:top w:val="single" w:sz="8" w:color="auto"/>
            </w:tcBorders>
            <w:shd w:val="clear" w:color="auto" w:fill="DBDBDB"/>
          </w:tcPr>
          <w:p>
            <w:pPr>
              <w:spacing w:after="0"/>
              <w:rPr>
                <w:sz w:val="17"/>
                <w:szCs w:val="17"/>
                <w:color w:val="auto"/>
              </w:rPr>
            </w:pPr>
          </w:p>
        </w:tc>
        <w:tc>
          <w:tcPr>
            <w:tcW w:w="12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39,199</w:t>
            </w:r>
          </w:p>
        </w:tc>
        <w:tc>
          <w:tcPr>
            <w:tcW w:w="100" w:type="dxa"/>
            <w:vAlign w:val="bottom"/>
            <w:tcBorders>
              <w:top w:val="single" w:sz="8" w:color="DBDBDB"/>
            </w:tcBorders>
            <w:shd w:val="clear" w:color="auto" w:fill="DBDBDB"/>
          </w:tcPr>
          <w:p>
            <w:pPr>
              <w:spacing w:after="0"/>
              <w:rPr>
                <w:sz w:val="17"/>
                <w:szCs w:val="17"/>
                <w:color w:val="auto"/>
              </w:rPr>
            </w:pPr>
          </w:p>
        </w:tc>
        <w:tc>
          <w:tcPr>
            <w:tcW w:w="360" w:type="dxa"/>
            <w:vAlign w:val="bottom"/>
            <w:tcBorders>
              <w:top w:val="single" w:sz="8" w:color="auto"/>
            </w:tcBorders>
            <w:shd w:val="clear" w:color="auto" w:fill="DBDBDB"/>
          </w:tcPr>
          <w:p>
            <w:pPr>
              <w:spacing w:after="0"/>
              <w:rPr>
                <w:sz w:val="17"/>
                <w:szCs w:val="17"/>
                <w:color w:val="auto"/>
              </w:rPr>
            </w:pPr>
          </w:p>
        </w:tc>
        <w:tc>
          <w:tcPr>
            <w:tcW w:w="1260" w:type="dxa"/>
            <w:vAlign w:val="bottom"/>
            <w:tcBorders>
              <w:top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165,006</w:t>
            </w:r>
          </w:p>
        </w:tc>
        <w:tc>
          <w:tcPr>
            <w:tcW w:w="80" w:type="dxa"/>
            <w:vAlign w:val="bottom"/>
            <w:tcBorders>
              <w:top w:val="single" w:sz="8" w:color="DBDBDB"/>
            </w:tcBorders>
            <w:shd w:val="clear" w:color="auto" w:fill="DBDBDB"/>
          </w:tcPr>
          <w:p>
            <w:pPr>
              <w:spacing w:after="0"/>
              <w:rPr>
                <w:sz w:val="17"/>
                <w:szCs w:val="17"/>
                <w:color w:val="auto"/>
              </w:rPr>
            </w:pPr>
          </w:p>
        </w:tc>
        <w:tc>
          <w:tcPr>
            <w:tcW w:w="380" w:type="dxa"/>
            <w:vAlign w:val="bottom"/>
            <w:tcBorders>
              <w:top w:val="single" w:sz="8" w:color="auto"/>
            </w:tcBorders>
            <w:shd w:val="clear" w:color="auto" w:fill="DBDBDB"/>
          </w:tcPr>
          <w:p>
            <w:pPr>
              <w:spacing w:after="0"/>
              <w:rPr>
                <w:sz w:val="17"/>
                <w:szCs w:val="17"/>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54,127</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24,711</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18,828</w:t>
            </w:r>
          </w:p>
        </w:tc>
        <w:tc>
          <w:tcPr>
            <w:tcW w:w="100" w:type="dxa"/>
            <w:vAlign w:val="bottom"/>
            <w:tcBorders>
              <w:bottom w:val="single" w:sz="8" w:color="DBDBDB"/>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40,459</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29,309</w:t>
            </w:r>
          </w:p>
        </w:tc>
        <w:tc>
          <w:tcPr>
            <w:tcW w:w="0" w:type="dxa"/>
            <w:vAlign w:val="bottom"/>
          </w:tcPr>
          <w:p>
            <w:pPr>
              <w:spacing w:after="0"/>
              <w:rPr>
                <w:sz w:val="1"/>
                <w:szCs w:val="1"/>
                <w:color w:val="auto"/>
              </w:rPr>
            </w:pPr>
          </w:p>
        </w:tc>
      </w:tr>
      <w:tr>
        <w:trPr>
          <w:trHeight w:val="199"/>
        </w:trPr>
        <w:tc>
          <w:tcPr>
            <w:tcW w:w="4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100" w:type="dxa"/>
            <w:vAlign w:val="bottom"/>
            <w:tcBorders>
              <w:bottom w:val="single" w:sz="8" w:color="DBDBDB"/>
            </w:tcBorders>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124,547</w:t>
            </w:r>
          </w:p>
        </w:tc>
        <w:tc>
          <w:tcPr>
            <w:tcW w:w="8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24,818</w:t>
            </w:r>
          </w:p>
        </w:tc>
        <w:tc>
          <w:tcPr>
            <w:tcW w:w="0" w:type="dxa"/>
            <w:vAlign w:val="bottom"/>
          </w:tcPr>
          <w:p>
            <w:pPr>
              <w:spacing w:after="0"/>
              <w:rPr>
                <w:sz w:val="1"/>
                <w:szCs w:val="1"/>
                <w:color w:val="auto"/>
              </w:rPr>
            </w:pPr>
          </w:p>
        </w:tc>
      </w:tr>
      <w:tr>
        <w:trPr>
          <w:trHeight w:val="20"/>
        </w:trPr>
        <w:tc>
          <w:tcPr>
            <w:tcW w:w="454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2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Earnings per share</w:t>
            </w:r>
          </w:p>
        </w:tc>
        <w:tc>
          <w:tcPr>
            <w:tcW w:w="32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2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5"/>
                <w:szCs w:val="15"/>
                <w:color w:val="auto"/>
              </w:rPr>
              <w:t>Basic</w:t>
            </w:r>
          </w:p>
        </w:tc>
        <w:tc>
          <w:tcPr>
            <w:tcW w:w="320" w:type="dxa"/>
            <w:vAlign w:val="bottom"/>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0.33</w:t>
            </w:r>
          </w:p>
        </w:tc>
        <w:tc>
          <w:tcPr>
            <w:tcW w:w="80" w:type="dxa"/>
            <w:vAlign w:val="bottom"/>
          </w:tcPr>
          <w:p>
            <w:pPr>
              <w:spacing w:after="0"/>
              <w:rPr>
                <w:sz w:val="17"/>
                <w:szCs w:val="17"/>
                <w:color w:val="auto"/>
              </w:rPr>
            </w:pPr>
          </w:p>
        </w:tc>
        <w:tc>
          <w:tcPr>
            <w:tcW w:w="380" w:type="dxa"/>
            <w:vAlign w:val="bottom"/>
          </w:tcPr>
          <w:p>
            <w:pPr>
              <w:jc w:val="right"/>
              <w:ind w:right="18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0.09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0.56</w:t>
            </w:r>
          </w:p>
        </w:tc>
        <w:tc>
          <w:tcPr>
            <w:tcW w:w="8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Diluted</w:t>
            </w: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0.32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0.08</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0.55</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5"/>
                <w:szCs w:val="15"/>
                <w:color w:val="auto"/>
              </w:rPr>
              <w:t>Weighted average shares:</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Basic</w:t>
            </w:r>
          </w:p>
        </w:tc>
        <w:tc>
          <w:tcPr>
            <w:tcW w:w="32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223,376,276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228,406,812</w:t>
            </w:r>
          </w:p>
        </w:tc>
        <w:tc>
          <w:tcPr>
            <w:tcW w:w="100" w:type="dxa"/>
            <w:vAlign w:val="bottom"/>
            <w:shd w:val="clear" w:color="auto" w:fill="DBDBDB"/>
          </w:tcPr>
          <w:p>
            <w:pPr>
              <w:spacing w:after="0"/>
              <w:rPr>
                <w:sz w:val="18"/>
                <w:szCs w:val="18"/>
                <w:color w:val="auto"/>
              </w:rPr>
            </w:pPr>
          </w:p>
        </w:tc>
        <w:tc>
          <w:tcPr>
            <w:tcW w:w="36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222,196,986</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228,350,318</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5"/>
                <w:szCs w:val="15"/>
                <w:color w:val="auto"/>
              </w:rPr>
              <w:t>Diluted</w:t>
            </w:r>
          </w:p>
        </w:tc>
        <w:tc>
          <w:tcPr>
            <w:tcW w:w="3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227,484,012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236,536,713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226,983,150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234,898,911</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4" w:name="page5"/>
    <w:bookmarkEnd w:id="4"/>
    <w:p>
      <w:pPr>
        <w:jc w:val="center"/>
        <w:ind w:left="340" w:right="2080"/>
        <w:spacing w:after="0" w:line="289" w:lineRule="auto"/>
        <w:rPr>
          <w:sz w:val="20"/>
          <w:szCs w:val="20"/>
          <w:color w:val="auto"/>
        </w:rPr>
      </w:pPr>
      <w:r>
        <w:rPr>
          <w:rFonts w:ascii="Arial" w:cs="Arial" w:eastAsia="Arial" w:hAnsi="Arial"/>
          <w:sz w:val="22"/>
          <w:szCs w:val="22"/>
          <w:color w:val="1D2758"/>
        </w:rPr>
        <w:t>WillScot Mobile Mini Holdings Corp. Condensed Consolidated Statements of Comprehensive Income (Loss)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480" w:type="dxa"/>
            <w:vAlign w:val="bottom"/>
            <w:shd w:val="clear" w:color="auto" w:fill="1D2758"/>
          </w:tcPr>
          <w:p>
            <w:pPr>
              <w:spacing w:after="0"/>
              <w:rPr>
                <w:sz w:val="14"/>
                <w:szCs w:val="14"/>
                <w:color w:val="auto"/>
              </w:rPr>
            </w:pPr>
          </w:p>
        </w:tc>
        <w:tc>
          <w:tcPr>
            <w:tcW w:w="2420" w:type="dxa"/>
            <w:vAlign w:val="bottom"/>
            <w:gridSpan w:val="6"/>
            <w:vMerge w:val="restart"/>
            <w:shd w:val="clear" w:color="auto" w:fill="1D2758"/>
          </w:tcPr>
          <w:p>
            <w:pPr>
              <w:ind w:left="60"/>
              <w:spacing w:after="0"/>
              <w:rPr>
                <w:sz w:val="20"/>
                <w:szCs w:val="20"/>
                <w:color w:val="auto"/>
              </w:rPr>
            </w:pPr>
            <w:r>
              <w:rPr>
                <w:rFonts w:ascii="Arial" w:cs="Arial" w:eastAsia="Arial" w:hAnsi="Arial"/>
                <w:sz w:val="15"/>
                <w:szCs w:val="15"/>
                <w:b w:val="1"/>
                <w:bCs w:val="1"/>
                <w:color w:val="FFFFFF"/>
              </w:rPr>
              <w:t>Three Months Ended June 30,</w:t>
            </w:r>
          </w:p>
        </w:tc>
        <w:tc>
          <w:tcPr>
            <w:tcW w:w="240" w:type="dxa"/>
            <w:vAlign w:val="bottom"/>
            <w:shd w:val="clear" w:color="auto" w:fill="1D2758"/>
          </w:tcPr>
          <w:p>
            <w:pPr>
              <w:spacing w:after="0"/>
              <w:rPr>
                <w:sz w:val="14"/>
                <w:szCs w:val="14"/>
                <w:color w:val="auto"/>
              </w:rPr>
            </w:pPr>
          </w:p>
        </w:tc>
        <w:tc>
          <w:tcPr>
            <w:tcW w:w="2100" w:type="dxa"/>
            <w:vAlign w:val="bottom"/>
            <w:gridSpan w:val="4"/>
            <w:shd w:val="clear" w:color="auto" w:fill="1D2758"/>
          </w:tcPr>
          <w:p>
            <w:pPr>
              <w:jc w:val="right"/>
              <w:ind w:right="423"/>
              <w:spacing w:after="0"/>
              <w:rPr>
                <w:sz w:val="20"/>
                <w:szCs w:val="20"/>
                <w:color w:val="auto"/>
              </w:rPr>
            </w:pPr>
            <w:r>
              <w:rPr>
                <w:rFonts w:ascii="Arial" w:cs="Arial" w:eastAsia="Arial" w:hAnsi="Arial"/>
                <w:sz w:val="15"/>
                <w:szCs w:val="15"/>
                <w:b w:val="1"/>
                <w:bCs w:val="1"/>
                <w:color w:val="FFFFFF"/>
              </w:rPr>
              <w:t>Six Months Ended</w:t>
            </w:r>
          </w:p>
        </w:tc>
        <w:tc>
          <w:tcPr>
            <w:tcW w:w="0" w:type="dxa"/>
            <w:vAlign w:val="bottom"/>
          </w:tcPr>
          <w:p>
            <w:pPr>
              <w:spacing w:after="0"/>
              <w:rPr>
                <w:sz w:val="1"/>
                <w:szCs w:val="1"/>
                <w:color w:val="auto"/>
              </w:rPr>
            </w:pPr>
          </w:p>
        </w:tc>
      </w:tr>
      <w:tr>
        <w:trPr>
          <w:trHeight w:val="135"/>
        </w:trPr>
        <w:tc>
          <w:tcPr>
            <w:tcW w:w="6480" w:type="dxa"/>
            <w:vAlign w:val="bottom"/>
            <w:shd w:val="clear" w:color="auto" w:fill="1D2758"/>
          </w:tcPr>
          <w:p>
            <w:pPr>
              <w:spacing w:after="0"/>
              <w:rPr>
                <w:sz w:val="11"/>
                <w:szCs w:val="11"/>
                <w:color w:val="auto"/>
              </w:rPr>
            </w:pPr>
          </w:p>
        </w:tc>
        <w:tc>
          <w:tcPr>
            <w:tcW w:w="2420" w:type="dxa"/>
            <w:vAlign w:val="bottom"/>
            <w:gridSpan w:val="6"/>
            <w:vMerge w:val="continue"/>
            <w:shd w:val="clear" w:color="auto" w:fill="1D2758"/>
          </w:tcPr>
          <w:p>
            <w:pPr>
              <w:spacing w:after="0"/>
              <w:rPr>
                <w:sz w:val="11"/>
                <w:szCs w:val="11"/>
                <w:color w:val="auto"/>
              </w:rPr>
            </w:pPr>
          </w:p>
        </w:tc>
        <w:tc>
          <w:tcPr>
            <w:tcW w:w="240" w:type="dxa"/>
            <w:vAlign w:val="bottom"/>
            <w:shd w:val="clear" w:color="auto" w:fill="1D2758"/>
          </w:tcPr>
          <w:p>
            <w:pPr>
              <w:spacing w:after="0"/>
              <w:rPr>
                <w:sz w:val="11"/>
                <w:szCs w:val="11"/>
                <w:color w:val="auto"/>
              </w:rPr>
            </w:pPr>
          </w:p>
        </w:tc>
        <w:tc>
          <w:tcPr>
            <w:tcW w:w="1300" w:type="dxa"/>
            <w:vAlign w:val="bottom"/>
            <w:gridSpan w:val="3"/>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June 30,</w:t>
            </w:r>
          </w:p>
        </w:tc>
        <w:tc>
          <w:tcPr>
            <w:tcW w:w="800" w:type="dxa"/>
            <w:vAlign w:val="bottom"/>
            <w:shd w:val="clear" w:color="auto" w:fill="1D2758"/>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4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40" w:type="dxa"/>
            <w:vAlign w:val="bottom"/>
            <w:shd w:val="clear" w:color="auto" w:fill="1D2758"/>
          </w:tcPr>
          <w:p>
            <w:pPr>
              <w:spacing w:after="0"/>
              <w:rPr>
                <w:sz w:val="6"/>
                <w:szCs w:val="6"/>
                <w:color w:val="auto"/>
              </w:rPr>
            </w:pPr>
          </w:p>
        </w:tc>
        <w:tc>
          <w:tcPr>
            <w:tcW w:w="880" w:type="dxa"/>
            <w:vAlign w:val="bottom"/>
            <w:shd w:val="clear" w:color="auto" w:fill="1D2758"/>
          </w:tcPr>
          <w:p>
            <w:pPr>
              <w:spacing w:after="0"/>
              <w:rPr>
                <w:sz w:val="6"/>
                <w:szCs w:val="6"/>
                <w:color w:val="auto"/>
              </w:rPr>
            </w:pPr>
          </w:p>
        </w:tc>
        <w:tc>
          <w:tcPr>
            <w:tcW w:w="80" w:type="dxa"/>
            <w:vAlign w:val="bottom"/>
            <w:shd w:val="clear" w:color="auto" w:fill="1D2758"/>
          </w:tcPr>
          <w:p>
            <w:pPr>
              <w:spacing w:after="0"/>
              <w:rPr>
                <w:sz w:val="6"/>
                <w:szCs w:val="6"/>
                <w:color w:val="auto"/>
              </w:rPr>
            </w:pPr>
          </w:p>
        </w:tc>
        <w:tc>
          <w:tcPr>
            <w:tcW w:w="260" w:type="dxa"/>
            <w:vAlign w:val="bottom"/>
            <w:shd w:val="clear" w:color="auto" w:fill="1D2758"/>
          </w:tcPr>
          <w:p>
            <w:pPr>
              <w:spacing w:after="0"/>
              <w:rPr>
                <w:sz w:val="6"/>
                <w:szCs w:val="6"/>
                <w:color w:val="auto"/>
              </w:rPr>
            </w:pPr>
          </w:p>
        </w:tc>
        <w:tc>
          <w:tcPr>
            <w:tcW w:w="860" w:type="dxa"/>
            <w:vAlign w:val="bottom"/>
            <w:shd w:val="clear" w:color="auto" w:fill="1D2758"/>
          </w:tcPr>
          <w:p>
            <w:pPr>
              <w:spacing w:after="0"/>
              <w:rPr>
                <w:sz w:val="6"/>
                <w:szCs w:val="6"/>
                <w:color w:val="auto"/>
              </w:rPr>
            </w:pPr>
          </w:p>
        </w:tc>
        <w:tc>
          <w:tcPr>
            <w:tcW w:w="100" w:type="dxa"/>
            <w:vAlign w:val="bottom"/>
            <w:shd w:val="clear" w:color="auto" w:fill="1D2758"/>
          </w:tcPr>
          <w:p>
            <w:pPr>
              <w:spacing w:after="0"/>
              <w:rPr>
                <w:sz w:val="6"/>
                <w:szCs w:val="6"/>
                <w:color w:val="auto"/>
              </w:rPr>
            </w:pPr>
          </w:p>
        </w:tc>
        <w:tc>
          <w:tcPr>
            <w:tcW w:w="240" w:type="dxa"/>
            <w:vAlign w:val="bottom"/>
            <w:shd w:val="clear" w:color="auto" w:fill="1D2758"/>
          </w:tcPr>
          <w:p>
            <w:pPr>
              <w:spacing w:after="0"/>
              <w:rPr>
                <w:sz w:val="6"/>
                <w:szCs w:val="6"/>
                <w:color w:val="auto"/>
              </w:rPr>
            </w:pPr>
          </w:p>
        </w:tc>
        <w:tc>
          <w:tcPr>
            <w:tcW w:w="1300" w:type="dxa"/>
            <w:vAlign w:val="bottom"/>
            <w:gridSpan w:val="3"/>
            <w:vMerge w:val="continue"/>
            <w:shd w:val="clear" w:color="auto" w:fill="1D2758"/>
          </w:tcPr>
          <w:p>
            <w:pPr>
              <w:spacing w:after="0"/>
              <w:rPr>
                <w:sz w:val="6"/>
                <w:szCs w:val="6"/>
                <w:color w:val="auto"/>
              </w:rPr>
            </w:pPr>
          </w:p>
        </w:tc>
        <w:tc>
          <w:tcPr>
            <w:tcW w:w="800" w:type="dxa"/>
            <w:vAlign w:val="bottom"/>
            <w:shd w:val="clear" w:color="auto" w:fill="1D2758"/>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64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260" w:type="dxa"/>
            <w:vAlign w:val="bottom"/>
            <w:shd w:val="clear" w:color="auto" w:fill="1D2758"/>
          </w:tcPr>
          <w:p>
            <w:pPr>
              <w:spacing w:after="0"/>
              <w:rPr>
                <w:sz w:val="18"/>
                <w:szCs w:val="18"/>
                <w:color w:val="auto"/>
              </w:rPr>
            </w:pPr>
          </w:p>
        </w:tc>
        <w:tc>
          <w:tcPr>
            <w:tcW w:w="86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8"/>
                <w:szCs w:val="18"/>
                <w:color w:val="auto"/>
              </w:rPr>
            </w:pPr>
          </w:p>
        </w:tc>
        <w:tc>
          <w:tcPr>
            <w:tcW w:w="320" w:type="dxa"/>
            <w:vAlign w:val="bottom"/>
            <w:shd w:val="clear" w:color="auto" w:fill="1D2758"/>
          </w:tcPr>
          <w:p>
            <w:pPr>
              <w:spacing w:after="0"/>
              <w:rPr>
                <w:sz w:val="18"/>
                <w:szCs w:val="18"/>
                <w:color w:val="auto"/>
              </w:rPr>
            </w:pPr>
          </w:p>
        </w:tc>
        <w:tc>
          <w:tcPr>
            <w:tcW w:w="80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161"/>
        </w:trPr>
        <w:tc>
          <w:tcPr>
            <w:tcW w:w="648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260" w:type="dxa"/>
            <w:vAlign w:val="bottom"/>
            <w:shd w:val="clear" w:color="auto" w:fill="1D2758"/>
          </w:tcPr>
          <w:p>
            <w:pPr>
              <w:spacing w:after="0"/>
              <w:rPr>
                <w:sz w:val="14"/>
                <w:szCs w:val="14"/>
                <w:color w:val="auto"/>
              </w:rPr>
            </w:pPr>
          </w:p>
        </w:tc>
        <w:tc>
          <w:tcPr>
            <w:tcW w:w="86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240" w:type="dxa"/>
            <w:vAlign w:val="bottom"/>
            <w:shd w:val="clear" w:color="auto" w:fill="1D2758"/>
          </w:tcPr>
          <w:p>
            <w:pPr>
              <w:spacing w:after="0"/>
              <w:rPr>
                <w:sz w:val="14"/>
                <w:szCs w:val="14"/>
                <w:color w:val="auto"/>
              </w:rPr>
            </w:pPr>
          </w:p>
        </w:tc>
        <w:tc>
          <w:tcPr>
            <w:tcW w:w="880" w:type="dxa"/>
            <w:vAlign w:val="bottom"/>
            <w:vMerge w:val="continue"/>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320" w:type="dxa"/>
            <w:vAlign w:val="bottom"/>
            <w:shd w:val="clear" w:color="auto" w:fill="1D2758"/>
          </w:tcPr>
          <w:p>
            <w:pPr>
              <w:spacing w:after="0"/>
              <w:rPr>
                <w:sz w:val="14"/>
                <w:szCs w:val="14"/>
                <w:color w:val="auto"/>
              </w:rPr>
            </w:pPr>
          </w:p>
        </w:tc>
        <w:tc>
          <w:tcPr>
            <w:tcW w:w="800" w:type="dxa"/>
            <w:vAlign w:val="bottom"/>
            <w:vMerge w:val="continue"/>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73,376</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124,547</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24,818</w:t>
            </w:r>
          </w:p>
        </w:tc>
        <w:tc>
          <w:tcPr>
            <w:tcW w:w="0" w:type="dxa"/>
            <w:vAlign w:val="bottom"/>
          </w:tcPr>
          <w:p>
            <w:pPr>
              <w:spacing w:after="0"/>
              <w:rPr>
                <w:sz w:val="1"/>
                <w:szCs w:val="1"/>
                <w:color w:val="auto"/>
              </w:rPr>
            </w:pPr>
          </w:p>
        </w:tc>
      </w:tr>
      <w:tr>
        <w:trPr>
          <w:trHeight w:val="205"/>
        </w:trPr>
        <w:tc>
          <w:tcPr>
            <w:tcW w:w="6480" w:type="dxa"/>
            <w:vAlign w:val="bottom"/>
          </w:tcPr>
          <w:p>
            <w:pPr>
              <w:ind w:left="20"/>
              <w:spacing w:after="0"/>
              <w:rPr>
                <w:sz w:val="20"/>
                <w:szCs w:val="20"/>
                <w:color w:val="auto"/>
              </w:rPr>
            </w:pPr>
            <w:r>
              <w:rPr>
                <w:rFonts w:ascii="Arial" w:cs="Arial" w:eastAsia="Arial" w:hAnsi="Arial"/>
                <w:sz w:val="15"/>
                <w:szCs w:val="15"/>
                <w:color w:val="auto"/>
              </w:rPr>
              <w:t>Other comprehensive (loss)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48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Foreign currency translation adjustment, net of income tax expense of $0 for both the three</w:t>
            </w: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80" w:type="dxa"/>
            <w:vAlign w:val="bottom"/>
            <w:shd w:val="clear" w:color="auto" w:fill="DBDBDB"/>
          </w:tcPr>
          <w:p>
            <w:pPr>
              <w:ind w:left="220"/>
              <w:spacing w:after="0" w:line="155" w:lineRule="exact"/>
              <w:rPr>
                <w:sz w:val="20"/>
                <w:szCs w:val="20"/>
                <w:color w:val="auto"/>
              </w:rPr>
            </w:pPr>
            <w:r>
              <w:rPr>
                <w:rFonts w:ascii="Arial" w:cs="Arial" w:eastAsia="Arial" w:hAnsi="Arial"/>
                <w:sz w:val="15"/>
                <w:szCs w:val="15"/>
                <w:color w:val="auto"/>
              </w:rPr>
              <w:t>and six months ended June 30, 2022 and $60 and $0 for the three and six months ended</w:t>
            </w: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8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3,093</w:t>
            </w:r>
          </w:p>
        </w:tc>
        <w:tc>
          <w:tcPr>
            <w:tcW w:w="100" w:type="dxa"/>
            <w:vAlign w:val="bottom"/>
            <w:shd w:val="clear" w:color="auto" w:fill="DBDBDB"/>
          </w:tcPr>
          <w:p>
            <w:pPr>
              <w:spacing w:after="0"/>
              <w:rPr>
                <w:sz w:val="13"/>
                <w:szCs w:val="13"/>
                <w:color w:val="auto"/>
              </w:rPr>
            </w:pPr>
          </w:p>
        </w:tc>
        <w:tc>
          <w:tcPr>
            <w:tcW w:w="240" w:type="dxa"/>
            <w:vAlign w:val="bottom"/>
            <w:shd w:val="clear" w:color="auto" w:fill="DBDBDB"/>
          </w:tcPr>
          <w:p>
            <w:pPr>
              <w:spacing w:after="0"/>
              <w:rPr>
                <w:sz w:val="13"/>
                <w:szCs w:val="13"/>
                <w:color w:val="auto"/>
              </w:rPr>
            </w:pPr>
          </w:p>
        </w:tc>
        <w:tc>
          <w:tcPr>
            <w:tcW w:w="8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(29,702)</w:t>
            </w:r>
          </w:p>
        </w:tc>
        <w:tc>
          <w:tcPr>
            <w:tcW w:w="10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8,127</w:t>
            </w:r>
          </w:p>
        </w:tc>
        <w:tc>
          <w:tcPr>
            <w:tcW w:w="0" w:type="dxa"/>
            <w:vAlign w:val="bottom"/>
          </w:tcPr>
          <w:p>
            <w:pPr>
              <w:spacing w:after="0"/>
              <w:rPr>
                <w:sz w:val="1"/>
                <w:szCs w:val="1"/>
                <w:color w:val="auto"/>
              </w:rPr>
            </w:pPr>
          </w:p>
        </w:tc>
      </w:tr>
      <w:tr>
        <w:trPr>
          <w:trHeight w:val="206"/>
        </w:trPr>
        <w:tc>
          <w:tcPr>
            <w:tcW w:w="64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June 30, 2021, respectively.</w:t>
            </w:r>
          </w:p>
        </w:tc>
        <w:tc>
          <w:tcPr>
            <w:tcW w:w="240" w:type="dxa"/>
            <w:vAlign w:val="bottom"/>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86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spacing w:after="0"/>
              <w:rPr>
                <w:sz w:val="17"/>
                <w:szCs w:val="17"/>
                <w:color w:val="auto"/>
              </w:rPr>
            </w:pPr>
          </w:p>
        </w:tc>
        <w:tc>
          <w:tcPr>
            <w:tcW w:w="8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480" w:type="dxa"/>
            <w:vAlign w:val="bottom"/>
          </w:tcPr>
          <w:p>
            <w:pPr>
              <w:ind w:left="220"/>
              <w:spacing w:after="0" w:line="156" w:lineRule="exact"/>
              <w:rPr>
                <w:sz w:val="20"/>
                <w:szCs w:val="20"/>
                <w:color w:val="auto"/>
              </w:rPr>
            </w:pPr>
            <w:r>
              <w:rPr>
                <w:rFonts w:ascii="Arial" w:cs="Arial" w:eastAsia="Arial" w:hAnsi="Arial"/>
                <w:sz w:val="15"/>
                <w:szCs w:val="15"/>
                <w:color w:val="auto"/>
              </w:rPr>
              <w:t>Net change in derivatives, net of income tax expense of $394 and $656 for the three</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80" w:type="dxa"/>
            <w:vAlign w:val="bottom"/>
          </w:tcPr>
          <w:p>
            <w:pPr>
              <w:ind w:left="220"/>
              <w:spacing w:after="0" w:line="155" w:lineRule="exact"/>
              <w:rPr>
                <w:sz w:val="20"/>
                <w:szCs w:val="20"/>
                <w:color w:val="auto"/>
              </w:rPr>
            </w:pPr>
            <w:r>
              <w:rPr>
                <w:rFonts w:ascii="Arial" w:cs="Arial" w:eastAsia="Arial" w:hAnsi="Arial"/>
                <w:sz w:val="15"/>
                <w:szCs w:val="15"/>
                <w:color w:val="auto"/>
              </w:rPr>
              <w:t>months ended June 30, 2022 and 2021, respectively, and $1,171 and $1,323 for the six</w:t>
            </w:r>
          </w:p>
        </w:tc>
        <w:tc>
          <w:tcPr>
            <w:tcW w:w="240" w:type="dxa"/>
            <w:vAlign w:val="bottom"/>
          </w:tcPr>
          <w:p>
            <w:pPr>
              <w:spacing w:after="0"/>
              <w:rPr>
                <w:sz w:val="13"/>
                <w:szCs w:val="13"/>
                <w:color w:val="auto"/>
              </w:rPr>
            </w:pPr>
          </w:p>
        </w:tc>
        <w:tc>
          <w:tcPr>
            <w:tcW w:w="880" w:type="dxa"/>
            <w:vAlign w:val="bottom"/>
            <w:vMerge w:val="restart"/>
          </w:tcPr>
          <w:p>
            <w:pPr>
              <w:jc w:val="right"/>
              <w:ind w:right="3"/>
              <w:spacing w:after="0"/>
              <w:rPr>
                <w:sz w:val="20"/>
                <w:szCs w:val="20"/>
                <w:color w:val="auto"/>
              </w:rPr>
            </w:pPr>
            <w:r>
              <w:rPr>
                <w:rFonts w:ascii="Arial" w:cs="Arial" w:eastAsia="Arial" w:hAnsi="Arial"/>
                <w:sz w:val="15"/>
                <w:szCs w:val="15"/>
                <w:color w:val="auto"/>
              </w:rPr>
              <w:t>1,176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2,146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3,497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4,323</w:t>
            </w:r>
          </w:p>
        </w:tc>
        <w:tc>
          <w:tcPr>
            <w:tcW w:w="0" w:type="dxa"/>
            <w:vAlign w:val="bottom"/>
          </w:tcPr>
          <w:p>
            <w:pPr>
              <w:spacing w:after="0"/>
              <w:rPr>
                <w:sz w:val="1"/>
                <w:szCs w:val="1"/>
                <w:color w:val="auto"/>
              </w:rPr>
            </w:pPr>
          </w:p>
        </w:tc>
      </w:tr>
      <w:tr>
        <w:trPr>
          <w:trHeight w:val="205"/>
        </w:trPr>
        <w:tc>
          <w:tcPr>
            <w:tcW w:w="64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months ended June 30, 2022 and 2021, respectively.</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8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other comprehensive (loss) income</w:t>
            </w: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(24,452)</w:t>
            </w:r>
          </w:p>
        </w:tc>
        <w:tc>
          <w:tcPr>
            <w:tcW w:w="8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5,239</w:t>
            </w:r>
          </w:p>
        </w:tc>
        <w:tc>
          <w:tcPr>
            <w:tcW w:w="10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(26,205)</w:t>
            </w:r>
          </w:p>
        </w:tc>
        <w:tc>
          <w:tcPr>
            <w:tcW w:w="10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12,450</w:t>
            </w:r>
          </w:p>
        </w:tc>
        <w:tc>
          <w:tcPr>
            <w:tcW w:w="0" w:type="dxa"/>
            <w:vAlign w:val="bottom"/>
          </w:tcPr>
          <w:p>
            <w:pPr>
              <w:spacing w:after="0"/>
              <w:rPr>
                <w:sz w:val="1"/>
                <w:szCs w:val="1"/>
                <w:color w:val="auto"/>
              </w:rPr>
            </w:pPr>
          </w:p>
        </w:tc>
      </w:tr>
      <w:tr>
        <w:trPr>
          <w:trHeight w:val="200"/>
        </w:trPr>
        <w:tc>
          <w:tcPr>
            <w:tcW w:w="6480" w:type="dxa"/>
            <w:vAlign w:val="bottom"/>
          </w:tcPr>
          <w:p>
            <w:pPr>
              <w:ind w:left="20"/>
              <w:spacing w:after="0"/>
              <w:rPr>
                <w:sz w:val="20"/>
                <w:szCs w:val="20"/>
                <w:color w:val="auto"/>
              </w:rPr>
            </w:pPr>
            <w:r>
              <w:rPr>
                <w:rFonts w:ascii="Arial" w:cs="Arial" w:eastAsia="Arial" w:hAnsi="Arial"/>
                <w:sz w:val="15"/>
                <w:szCs w:val="15"/>
                <w:color w:val="auto"/>
              </w:rPr>
              <w:t>Total comprehensive income</w:t>
            </w: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48,924</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25,610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98,342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37,268</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5" w:name="page6"/>
    <w:bookmarkEnd w:id="5"/>
    <w:p>
      <w:pPr>
        <w:jc w:val="center"/>
        <w:ind w:left="340" w:right="2700"/>
        <w:spacing w:after="0" w:line="289" w:lineRule="auto"/>
        <w:rPr>
          <w:sz w:val="20"/>
          <w:szCs w:val="20"/>
          <w:color w:val="auto"/>
        </w:rPr>
      </w:pPr>
      <w:r>
        <w:rPr>
          <w:rFonts w:ascii="Arial" w:cs="Arial" w:eastAsia="Arial" w:hAnsi="Arial"/>
          <w:sz w:val="22"/>
          <w:szCs w:val="22"/>
          <w:color w:val="1D2758"/>
        </w:rPr>
        <w:t>WillScot Mobile Mini Holdings Corp. Condensed Consolidated Statements of Changes in Equity (Unaudited)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FFFFFF"/>
        </w:rPr>
        <w:t>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328"/>
        </w:trPr>
        <w:tc>
          <w:tcPr>
            <w:tcW w:w="4060" w:type="dxa"/>
            <w:vAlign w:val="bottom"/>
            <w:shd w:val="clear" w:color="auto" w:fill="1D2758"/>
          </w:tcPr>
          <w:p>
            <w:pPr>
              <w:spacing w:after="0"/>
              <w:rPr>
                <w:sz w:val="24"/>
                <w:szCs w:val="24"/>
                <w:color w:val="auto"/>
              </w:rPr>
            </w:pPr>
          </w:p>
        </w:tc>
        <w:tc>
          <w:tcPr>
            <w:tcW w:w="1180" w:type="dxa"/>
            <w:vAlign w:val="bottom"/>
            <w:shd w:val="clear" w:color="auto" w:fill="1D2758"/>
          </w:tcPr>
          <w:p>
            <w:pPr>
              <w:spacing w:after="0"/>
              <w:rPr>
                <w:sz w:val="24"/>
                <w:szCs w:val="24"/>
                <w:color w:val="auto"/>
              </w:rPr>
            </w:pPr>
          </w:p>
        </w:tc>
        <w:tc>
          <w:tcPr>
            <w:tcW w:w="92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040" w:type="dxa"/>
            <w:vAlign w:val="bottom"/>
            <w:shd w:val="clear" w:color="auto" w:fill="1D2758"/>
          </w:tcPr>
          <w:p>
            <w:pPr>
              <w:spacing w:after="0"/>
              <w:rPr>
                <w:sz w:val="24"/>
                <w:szCs w:val="24"/>
                <w:color w:val="auto"/>
              </w:rPr>
            </w:pPr>
          </w:p>
        </w:tc>
        <w:tc>
          <w:tcPr>
            <w:tcW w:w="100" w:type="dxa"/>
            <w:vAlign w:val="bottom"/>
            <w:shd w:val="clear" w:color="auto" w:fill="1D2758"/>
          </w:tcPr>
          <w:p>
            <w:pPr>
              <w:spacing w:after="0"/>
              <w:rPr>
                <w:sz w:val="24"/>
                <w:szCs w:val="24"/>
                <w:color w:val="auto"/>
              </w:rPr>
            </w:pPr>
          </w:p>
        </w:tc>
        <w:tc>
          <w:tcPr>
            <w:tcW w:w="110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120" w:type="dxa"/>
            <w:vAlign w:val="bottom"/>
            <w:shd w:val="clear" w:color="auto" w:fill="1D2758"/>
          </w:tcPr>
          <w:p>
            <w:pPr>
              <w:spacing w:after="0"/>
              <w:rPr>
                <w:sz w:val="24"/>
                <w:szCs w:val="24"/>
                <w:color w:val="auto"/>
              </w:rPr>
            </w:pPr>
          </w:p>
        </w:tc>
        <w:tc>
          <w:tcPr>
            <w:tcW w:w="1080" w:type="dxa"/>
            <w:vAlign w:val="bottom"/>
            <w:shd w:val="clear" w:color="auto" w:fill="1D2758"/>
          </w:tcPr>
          <w:p>
            <w:pPr>
              <w:spacing w:after="0"/>
              <w:rPr>
                <w:sz w:val="24"/>
                <w:szCs w:val="24"/>
                <w:color w:val="auto"/>
              </w:rPr>
            </w:pPr>
          </w:p>
        </w:tc>
        <w:tc>
          <w:tcPr>
            <w:tcW w:w="240" w:type="dxa"/>
            <w:vAlign w:val="bottom"/>
            <w:shd w:val="clear" w:color="auto" w:fill="1D2758"/>
          </w:tcPr>
          <w:p>
            <w:pPr>
              <w:spacing w:after="0"/>
              <w:rPr>
                <w:sz w:val="24"/>
                <w:szCs w:val="24"/>
                <w:color w:val="auto"/>
              </w:rPr>
            </w:pPr>
          </w:p>
        </w:tc>
        <w:tc>
          <w:tcPr>
            <w:tcW w:w="960" w:type="dxa"/>
            <w:vAlign w:val="bottom"/>
            <w:vMerge w:val="restart"/>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060" w:type="dxa"/>
            <w:vAlign w:val="bottom"/>
            <w:shd w:val="clear" w:color="auto" w:fill="1D2758"/>
          </w:tcPr>
          <w:p>
            <w:pPr>
              <w:spacing w:after="0"/>
              <w:rPr>
                <w:sz w:val="13"/>
                <w:szCs w:val="13"/>
                <w:color w:val="auto"/>
              </w:rPr>
            </w:pPr>
          </w:p>
        </w:tc>
        <w:tc>
          <w:tcPr>
            <w:tcW w:w="2100" w:type="dxa"/>
            <w:vAlign w:val="bottom"/>
            <w:gridSpan w:val="2"/>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Common Stock</w:t>
            </w:r>
          </w:p>
        </w:tc>
        <w:tc>
          <w:tcPr>
            <w:tcW w:w="2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040" w:type="dxa"/>
            <w:vAlign w:val="bottom"/>
            <w:shd w:val="clear" w:color="auto" w:fill="1D2758"/>
          </w:tcPr>
          <w:p>
            <w:pPr>
              <w:spacing w:after="0"/>
              <w:rPr>
                <w:sz w:val="13"/>
                <w:szCs w:val="13"/>
                <w:color w:val="auto"/>
              </w:rPr>
            </w:pPr>
          </w:p>
        </w:tc>
        <w:tc>
          <w:tcPr>
            <w:tcW w:w="100" w:type="dxa"/>
            <w:vAlign w:val="bottom"/>
            <w:shd w:val="clear" w:color="auto" w:fill="1D2758"/>
          </w:tcPr>
          <w:p>
            <w:pPr>
              <w:spacing w:after="0"/>
              <w:rPr>
                <w:sz w:val="13"/>
                <w:szCs w:val="13"/>
                <w:color w:val="auto"/>
              </w:rPr>
            </w:pPr>
          </w:p>
        </w:tc>
        <w:tc>
          <w:tcPr>
            <w:tcW w:w="110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w w:val="99"/>
              </w:rPr>
              <w:t>Other</w:t>
            </w:r>
          </w:p>
        </w:tc>
        <w:tc>
          <w:tcPr>
            <w:tcW w:w="120" w:type="dxa"/>
            <w:vAlign w:val="bottom"/>
            <w:shd w:val="clear" w:color="auto" w:fill="1D2758"/>
          </w:tcPr>
          <w:p>
            <w:pPr>
              <w:spacing w:after="0"/>
              <w:rPr>
                <w:sz w:val="13"/>
                <w:szCs w:val="13"/>
                <w:color w:val="auto"/>
              </w:rPr>
            </w:pPr>
          </w:p>
        </w:tc>
        <w:tc>
          <w:tcPr>
            <w:tcW w:w="1080" w:type="dxa"/>
            <w:vAlign w:val="bottom"/>
            <w:shd w:val="clear" w:color="auto" w:fill="1D2758"/>
          </w:tcPr>
          <w:p>
            <w:pPr>
              <w:spacing w:after="0"/>
              <w:rPr>
                <w:sz w:val="13"/>
                <w:szCs w:val="13"/>
                <w:color w:val="auto"/>
              </w:rPr>
            </w:pPr>
          </w:p>
        </w:tc>
        <w:tc>
          <w:tcPr>
            <w:tcW w:w="240" w:type="dxa"/>
            <w:vAlign w:val="bottom"/>
            <w:shd w:val="clear" w:color="auto" w:fill="1D2758"/>
          </w:tcPr>
          <w:p>
            <w:pPr>
              <w:spacing w:after="0"/>
              <w:rPr>
                <w:sz w:val="13"/>
                <w:szCs w:val="13"/>
                <w:color w:val="auto"/>
              </w:rPr>
            </w:pPr>
          </w:p>
        </w:tc>
        <w:tc>
          <w:tcPr>
            <w:tcW w:w="96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060" w:type="dxa"/>
            <w:vAlign w:val="bottom"/>
            <w:shd w:val="clear" w:color="auto" w:fill="1D2758"/>
          </w:tcPr>
          <w:p>
            <w:pPr>
              <w:spacing w:after="0"/>
              <w:rPr>
                <w:sz w:val="10"/>
                <w:szCs w:val="10"/>
                <w:color w:val="auto"/>
              </w:rPr>
            </w:pPr>
          </w:p>
        </w:tc>
        <w:tc>
          <w:tcPr>
            <w:tcW w:w="2100" w:type="dxa"/>
            <w:vAlign w:val="bottom"/>
            <w:gridSpan w:val="2"/>
            <w:vMerge w:val="continue"/>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1040" w:type="dxa"/>
            <w:vAlign w:val="bottom"/>
            <w:vMerge w:val="restart"/>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Additional</w:t>
            </w:r>
          </w:p>
        </w:tc>
        <w:tc>
          <w:tcPr>
            <w:tcW w:w="1200" w:type="dxa"/>
            <w:vAlign w:val="bottom"/>
            <w:gridSpan w:val="2"/>
            <w:vMerge w:val="restart"/>
            <w:shd w:val="clear" w:color="auto" w:fill="1D2758"/>
          </w:tcPr>
          <w:p>
            <w:pPr>
              <w:ind w:left="20"/>
              <w:spacing w:after="0" w:line="155" w:lineRule="exact"/>
              <w:rPr>
                <w:sz w:val="20"/>
                <w:szCs w:val="20"/>
                <w:color w:val="auto"/>
              </w:rPr>
            </w:pPr>
            <w:r>
              <w:rPr>
                <w:rFonts w:ascii="Arial" w:cs="Arial" w:eastAsia="Arial" w:hAnsi="Arial"/>
                <w:sz w:val="15"/>
                <w:szCs w:val="15"/>
                <w:b w:val="1"/>
                <w:bCs w:val="1"/>
                <w:color w:val="FFFFFF"/>
              </w:rPr>
              <w:t>Comprehensive</w:t>
            </w:r>
          </w:p>
        </w:tc>
        <w:tc>
          <w:tcPr>
            <w:tcW w:w="120" w:type="dxa"/>
            <w:vAlign w:val="bottom"/>
            <w:shd w:val="clear" w:color="auto" w:fill="1D2758"/>
          </w:tcPr>
          <w:p>
            <w:pPr>
              <w:spacing w:after="0"/>
              <w:rPr>
                <w:sz w:val="10"/>
                <w:szCs w:val="10"/>
                <w:color w:val="auto"/>
              </w:rPr>
            </w:pPr>
          </w:p>
        </w:tc>
        <w:tc>
          <w:tcPr>
            <w:tcW w:w="1080" w:type="dxa"/>
            <w:vAlign w:val="bottom"/>
            <w:vMerge w:val="restart"/>
            <w:shd w:val="clear" w:color="auto" w:fill="1D2758"/>
          </w:tcPr>
          <w:p>
            <w:pPr>
              <w:jc w:val="right"/>
              <w:ind w:right="23"/>
              <w:spacing w:after="0" w:line="155" w:lineRule="exact"/>
              <w:rPr>
                <w:sz w:val="20"/>
                <w:szCs w:val="20"/>
                <w:color w:val="auto"/>
              </w:rPr>
            </w:pPr>
            <w:r>
              <w:rPr>
                <w:rFonts w:ascii="Arial" w:cs="Arial" w:eastAsia="Arial" w:hAnsi="Arial"/>
                <w:sz w:val="15"/>
                <w:szCs w:val="15"/>
                <w:b w:val="1"/>
                <w:bCs w:val="1"/>
                <w:color w:val="FFFFFF"/>
              </w:rPr>
              <w:t>Accumulated</w:t>
            </w:r>
          </w:p>
        </w:tc>
        <w:tc>
          <w:tcPr>
            <w:tcW w:w="120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4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80" w:type="dxa"/>
            <w:vAlign w:val="bottom"/>
            <w:vMerge w:val="restart"/>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Shares</w:t>
            </w:r>
          </w:p>
        </w:tc>
        <w:tc>
          <w:tcPr>
            <w:tcW w:w="92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80" w:type="dxa"/>
            <w:vAlign w:val="bottom"/>
            <w:shd w:val="clear" w:color="auto" w:fill="1D2758"/>
          </w:tcPr>
          <w:p>
            <w:pPr>
              <w:spacing w:after="0"/>
              <w:rPr>
                <w:sz w:val="3"/>
                <w:szCs w:val="3"/>
                <w:color w:val="auto"/>
              </w:rPr>
            </w:pPr>
          </w:p>
        </w:tc>
        <w:tc>
          <w:tcPr>
            <w:tcW w:w="160" w:type="dxa"/>
            <w:vAlign w:val="bottom"/>
            <w:shd w:val="clear" w:color="auto" w:fill="1D2758"/>
          </w:tcPr>
          <w:p>
            <w:pPr>
              <w:spacing w:after="0"/>
              <w:rPr>
                <w:sz w:val="3"/>
                <w:szCs w:val="3"/>
                <w:color w:val="auto"/>
              </w:rPr>
            </w:pPr>
          </w:p>
        </w:tc>
        <w:tc>
          <w:tcPr>
            <w:tcW w:w="1040" w:type="dxa"/>
            <w:vAlign w:val="bottom"/>
            <w:vMerge w:val="continue"/>
            <w:shd w:val="clear" w:color="auto" w:fill="1D2758"/>
          </w:tcPr>
          <w:p>
            <w:pPr>
              <w:spacing w:after="0"/>
              <w:rPr>
                <w:sz w:val="3"/>
                <w:szCs w:val="3"/>
                <w:color w:val="auto"/>
              </w:rPr>
            </w:pPr>
          </w:p>
        </w:tc>
        <w:tc>
          <w:tcPr>
            <w:tcW w:w="1200" w:type="dxa"/>
            <w:vAlign w:val="bottom"/>
            <w:gridSpan w:val="2"/>
            <w:vMerge w:val="continue"/>
            <w:shd w:val="clear" w:color="auto" w:fill="1D2758"/>
          </w:tcPr>
          <w:p>
            <w:pPr>
              <w:spacing w:after="0"/>
              <w:rPr>
                <w:sz w:val="3"/>
                <w:szCs w:val="3"/>
                <w:color w:val="auto"/>
              </w:rPr>
            </w:pPr>
          </w:p>
        </w:tc>
        <w:tc>
          <w:tcPr>
            <w:tcW w:w="120" w:type="dxa"/>
            <w:vAlign w:val="bottom"/>
            <w:shd w:val="clear" w:color="auto" w:fill="1D2758"/>
          </w:tcPr>
          <w:p>
            <w:pPr>
              <w:spacing w:after="0"/>
              <w:rPr>
                <w:sz w:val="3"/>
                <w:szCs w:val="3"/>
                <w:color w:val="auto"/>
              </w:rPr>
            </w:pPr>
          </w:p>
        </w:tc>
        <w:tc>
          <w:tcPr>
            <w:tcW w:w="1080" w:type="dxa"/>
            <w:vAlign w:val="bottom"/>
            <w:vMerge w:val="continue"/>
            <w:shd w:val="clear" w:color="auto" w:fill="1D2758"/>
          </w:tcPr>
          <w:p>
            <w:pPr>
              <w:spacing w:after="0"/>
              <w:rPr>
                <w:sz w:val="3"/>
                <w:szCs w:val="3"/>
                <w:color w:val="auto"/>
              </w:rPr>
            </w:pPr>
          </w:p>
        </w:tc>
        <w:tc>
          <w:tcPr>
            <w:tcW w:w="120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060" w:type="dxa"/>
            <w:vAlign w:val="bottom"/>
            <w:vMerge w:val="continue"/>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920" w:type="dxa"/>
            <w:vAlign w:val="bottom"/>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2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Paid-in-Capital</w:t>
            </w:r>
          </w:p>
        </w:tc>
        <w:tc>
          <w:tcPr>
            <w:tcW w:w="120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Income (Loss)</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Deficit</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jc w:val="center"/>
              <w:ind w:right="16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223,940</w:t>
            </w:r>
          </w:p>
        </w:tc>
        <w:tc>
          <w:tcPr>
            <w:tcW w:w="920" w:type="dxa"/>
            <w:vAlign w:val="bottom"/>
            <w:shd w:val="clear" w:color="auto" w:fill="DBDBDB"/>
          </w:tcPr>
          <w:p>
            <w:pPr>
              <w:jc w:val="right"/>
              <w:ind w:right="74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3,616,902</w:t>
            </w:r>
          </w:p>
        </w:tc>
        <w:tc>
          <w:tcPr>
            <w:tcW w:w="100" w:type="dxa"/>
            <w:vAlign w:val="bottom"/>
            <w:shd w:val="clear" w:color="auto" w:fill="DBDBDB"/>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(1,591,090)</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1,996,763</w:t>
            </w:r>
          </w:p>
        </w:tc>
        <w:tc>
          <w:tcPr>
            <w:tcW w:w="0" w:type="dxa"/>
            <w:vAlign w:val="bottom"/>
          </w:tcPr>
          <w:p>
            <w:pPr>
              <w:spacing w:after="0"/>
              <w:rPr>
                <w:sz w:val="1"/>
                <w:szCs w:val="1"/>
                <w:color w:val="auto"/>
              </w:rPr>
            </w:pPr>
          </w:p>
        </w:tc>
      </w:tr>
      <w:tr>
        <w:trPr>
          <w:trHeight w:val="205"/>
        </w:trPr>
        <w:tc>
          <w:tcPr>
            <w:tcW w:w="406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51,171</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51,171</w:t>
            </w:r>
          </w:p>
        </w:tc>
        <w:tc>
          <w:tcPr>
            <w:tcW w:w="0" w:type="dxa"/>
            <w:vAlign w:val="bottom"/>
          </w:tcPr>
          <w:p>
            <w:pPr>
              <w:spacing w:after="0"/>
              <w:rPr>
                <w:sz w:val="1"/>
                <w:szCs w:val="1"/>
                <w:color w:val="auto"/>
              </w:rPr>
            </w:pPr>
          </w:p>
        </w:tc>
      </w:tr>
      <w:tr>
        <w:trPr>
          <w:trHeight w:val="207"/>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w:t>
            </w: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(1,753)</w:t>
            </w: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498</w:t>
            </w:r>
          </w:p>
        </w:tc>
        <w:tc>
          <w:tcPr>
            <w:tcW w:w="92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6,395</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6,395</w:t>
            </w:r>
          </w:p>
        </w:tc>
        <w:tc>
          <w:tcPr>
            <w:tcW w:w="0" w:type="dxa"/>
            <w:vAlign w:val="bottom"/>
          </w:tcPr>
          <w:p>
            <w:pPr>
              <w:spacing w:after="0"/>
              <w:rPr>
                <w:sz w:val="1"/>
                <w:szCs w:val="1"/>
                <w:color w:val="auto"/>
              </w:rPr>
            </w:pPr>
          </w:p>
        </w:tc>
      </w:tr>
      <w:tr>
        <w:trPr>
          <w:trHeight w:val="205"/>
        </w:trPr>
        <w:tc>
          <w:tcPr>
            <w:tcW w:w="406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(2,064)</w:t>
            </w:r>
          </w:p>
        </w:tc>
        <w:tc>
          <w:tcPr>
            <w:tcW w:w="92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10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(77,409)</w:t>
            </w:r>
          </w:p>
        </w:tc>
        <w:tc>
          <w:tcPr>
            <w:tcW w:w="0" w:type="dxa"/>
            <w:vAlign w:val="bottom"/>
          </w:tcPr>
          <w:p>
            <w:pPr>
              <w:spacing w:after="0"/>
              <w:rPr>
                <w:sz w:val="1"/>
                <w:szCs w:val="1"/>
                <w:color w:val="auto"/>
              </w:rPr>
            </w:pPr>
          </w:p>
        </w:tc>
      </w:tr>
      <w:tr>
        <w:trPr>
          <w:trHeight w:val="206"/>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80" w:type="dxa"/>
            <w:vAlign w:val="bottom"/>
            <w:vMerge w:val="continue"/>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w:t>
            </w: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800</w:t>
            </w:r>
          </w:p>
        </w:tc>
        <w:tc>
          <w:tcPr>
            <w:tcW w:w="92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3,313</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3,313</w:t>
            </w:r>
          </w:p>
        </w:tc>
        <w:tc>
          <w:tcPr>
            <w:tcW w:w="0" w:type="dxa"/>
            <w:vAlign w:val="bottom"/>
          </w:tcPr>
          <w:p>
            <w:pPr>
              <w:spacing w:after="0"/>
              <w:rPr>
                <w:sz w:val="1"/>
                <w:szCs w:val="1"/>
                <w:color w:val="auto"/>
              </w:rPr>
            </w:pPr>
          </w:p>
        </w:tc>
      </w:tr>
      <w:tr>
        <w:trPr>
          <w:trHeight w:val="205"/>
        </w:trPr>
        <w:tc>
          <w:tcPr>
            <w:tcW w:w="4060" w:type="dxa"/>
            <w:vAlign w:val="bottom"/>
          </w:tcPr>
          <w:p>
            <w:pPr>
              <w:ind w:left="220"/>
              <w:spacing w:after="0"/>
              <w:rPr>
                <w:sz w:val="20"/>
                <w:szCs w:val="20"/>
                <w:color w:val="auto"/>
              </w:rPr>
            </w:pPr>
            <w:r>
              <w:rPr>
                <w:rFonts w:ascii="Arial" w:cs="Arial" w:eastAsia="Arial" w:hAnsi="Arial"/>
                <w:sz w:val="15"/>
                <w:szCs w:val="15"/>
                <w:color w:val="auto"/>
              </w:rPr>
              <w:t>options and warrants</w:t>
            </w:r>
          </w:p>
        </w:tc>
        <w:tc>
          <w:tcPr>
            <w:tcW w:w="1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w:t>
            </w:r>
          </w:p>
        </w:tc>
        <w:tc>
          <w:tcPr>
            <w:tcW w:w="1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10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(12,295)</w:t>
            </w:r>
          </w:p>
        </w:tc>
        <w:tc>
          <w:tcPr>
            <w:tcW w:w="0" w:type="dxa"/>
            <w:vAlign w:val="bottom"/>
          </w:tcPr>
          <w:p>
            <w:pPr>
              <w:spacing w:after="0"/>
              <w:rPr>
                <w:sz w:val="1"/>
                <w:szCs w:val="1"/>
                <w:color w:val="auto"/>
              </w:rPr>
            </w:pPr>
          </w:p>
        </w:tc>
      </w:tr>
      <w:tr>
        <w:trPr>
          <w:trHeight w:val="206"/>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based compensation</w:t>
            </w: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92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vMerge w:val="continue"/>
            <w:shd w:val="clear" w:color="auto" w:fill="DBDBDB"/>
          </w:tcPr>
          <w:p>
            <w:pPr>
              <w:spacing w:after="0"/>
              <w:rPr>
                <w:sz w:val="17"/>
                <w:szCs w:val="17"/>
                <w:color w:val="auto"/>
              </w:rPr>
            </w:pPr>
          </w:p>
        </w:tc>
        <w:tc>
          <w:tcPr>
            <w:tcW w:w="10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6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223,174</w:t>
            </w:r>
          </w:p>
        </w:tc>
        <w:tc>
          <w:tcPr>
            <w:tcW w:w="920" w:type="dxa"/>
            <w:vAlign w:val="bottom"/>
          </w:tcPr>
          <w:p>
            <w:pPr>
              <w:jc w:val="right"/>
              <w:ind w:right="743"/>
              <w:spacing w:after="0"/>
              <w:rPr>
                <w:sz w:val="20"/>
                <w:szCs w:val="20"/>
                <w:color w:val="auto"/>
              </w:rPr>
            </w:pPr>
            <w:r>
              <w:rPr>
                <w:rFonts w:ascii="Arial" w:cs="Arial" w:eastAsia="Arial" w:hAnsi="Arial"/>
                <w:sz w:val="15"/>
                <w:szCs w:val="15"/>
                <w:color w:val="auto"/>
                <w:w w:val="95"/>
              </w:rPr>
              <w:t>$</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3,536,906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(30,824)</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(1,539,919)</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1,966,185</w:t>
            </w:r>
          </w:p>
        </w:tc>
        <w:tc>
          <w:tcPr>
            <w:tcW w:w="0" w:type="dxa"/>
            <w:vAlign w:val="bottom"/>
          </w:tcPr>
          <w:p>
            <w:pPr>
              <w:spacing w:after="0"/>
              <w:rPr>
                <w:sz w:val="1"/>
                <w:szCs w:val="1"/>
                <w:color w:val="auto"/>
              </w:rPr>
            </w:pPr>
          </w:p>
        </w:tc>
      </w:tr>
      <w:tr>
        <w:trPr>
          <w:trHeight w:val="207"/>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24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0" w:type="dxa"/>
            <w:vAlign w:val="bottom"/>
          </w:tcPr>
          <w:p>
            <w:pPr>
              <w:spacing w:after="0"/>
              <w:rPr>
                <w:sz w:val="1"/>
                <w:szCs w:val="1"/>
                <w:color w:val="auto"/>
              </w:rPr>
            </w:pPr>
          </w:p>
        </w:tc>
      </w:tr>
      <w:tr>
        <w:trPr>
          <w:trHeight w:val="205"/>
        </w:trPr>
        <w:tc>
          <w:tcPr>
            <w:tcW w:w="4060" w:type="dxa"/>
            <w:vAlign w:val="bottom"/>
          </w:tcPr>
          <w:p>
            <w:pPr>
              <w:ind w:left="220"/>
              <w:spacing w:after="0"/>
              <w:rPr>
                <w:sz w:val="20"/>
                <w:szCs w:val="20"/>
                <w:color w:val="auto"/>
              </w:rPr>
            </w:pPr>
            <w:r>
              <w:rPr>
                <w:rFonts w:ascii="Arial" w:cs="Arial" w:eastAsia="Arial" w:hAnsi="Arial"/>
                <w:sz w:val="15"/>
                <w:szCs w:val="15"/>
                <w:color w:val="auto"/>
              </w:rPr>
              <w:t>Other comprehensive loss</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(24,452)</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(24,452)</w:t>
            </w:r>
          </w:p>
        </w:tc>
        <w:tc>
          <w:tcPr>
            <w:tcW w:w="0" w:type="dxa"/>
            <w:vAlign w:val="bottom"/>
          </w:tcPr>
          <w:p>
            <w:pPr>
              <w:spacing w:after="0"/>
              <w:rPr>
                <w:sz w:val="1"/>
                <w:szCs w:val="1"/>
                <w:color w:val="auto"/>
              </w:rPr>
            </w:pPr>
          </w:p>
        </w:tc>
      </w:tr>
      <w:tr>
        <w:trPr>
          <w:trHeight w:val="156"/>
        </w:trPr>
        <w:tc>
          <w:tcPr>
            <w:tcW w:w="40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70</w:t>
            </w:r>
          </w:p>
        </w:tc>
        <w:tc>
          <w:tcPr>
            <w:tcW w:w="92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9,292</w:t>
            </w:r>
          </w:p>
        </w:tc>
        <w:tc>
          <w:tcPr>
            <w:tcW w:w="10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9,292</w:t>
            </w:r>
          </w:p>
        </w:tc>
        <w:tc>
          <w:tcPr>
            <w:tcW w:w="0" w:type="dxa"/>
            <w:vAlign w:val="bottom"/>
          </w:tcPr>
          <w:p>
            <w:pPr>
              <w:spacing w:after="0"/>
              <w:rPr>
                <w:sz w:val="1"/>
                <w:szCs w:val="1"/>
                <w:color w:val="auto"/>
              </w:rPr>
            </w:pPr>
          </w:p>
        </w:tc>
      </w:tr>
      <w:tr>
        <w:trPr>
          <w:trHeight w:val="206"/>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80" w:type="dxa"/>
            <w:vAlign w:val="bottom"/>
            <w:vMerge w:val="continue"/>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(7,222)</w:t>
            </w:r>
          </w:p>
        </w:tc>
        <w:tc>
          <w:tcPr>
            <w:tcW w:w="92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(249,515)</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(249,515)</w:t>
            </w:r>
          </w:p>
        </w:tc>
        <w:tc>
          <w:tcPr>
            <w:tcW w:w="0" w:type="dxa"/>
            <w:vAlign w:val="bottom"/>
          </w:tcPr>
          <w:p>
            <w:pPr>
              <w:spacing w:after="0"/>
              <w:rPr>
                <w:sz w:val="1"/>
                <w:szCs w:val="1"/>
                <w:color w:val="auto"/>
              </w:rPr>
            </w:pPr>
          </w:p>
        </w:tc>
      </w:tr>
      <w:tr>
        <w:trPr>
          <w:trHeight w:val="205"/>
        </w:trPr>
        <w:tc>
          <w:tcPr>
            <w:tcW w:w="406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1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0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w:t>
            </w:r>
          </w:p>
        </w:tc>
        <w:tc>
          <w:tcPr>
            <w:tcW w:w="1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69</w:t>
            </w:r>
          </w:p>
        </w:tc>
        <w:tc>
          <w:tcPr>
            <w:tcW w:w="92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139</w:t>
            </w:r>
          </w:p>
        </w:tc>
        <w:tc>
          <w:tcPr>
            <w:tcW w:w="10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206"/>
        </w:trPr>
        <w:tc>
          <w:tcPr>
            <w:tcW w:w="4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options and warrants</w:t>
            </w:r>
          </w:p>
        </w:tc>
        <w:tc>
          <w:tcPr>
            <w:tcW w:w="1180" w:type="dxa"/>
            <w:vAlign w:val="bottom"/>
            <w:vMerge w:val="continue"/>
            <w:shd w:val="clear" w:color="auto" w:fill="DBDBDB"/>
          </w:tcPr>
          <w:p>
            <w:pPr>
              <w:spacing w:after="0"/>
              <w:rPr>
                <w:sz w:val="17"/>
                <w:szCs w:val="17"/>
                <w:color w:val="auto"/>
              </w:rPr>
            </w:pPr>
          </w:p>
        </w:tc>
        <w:tc>
          <w:tcPr>
            <w:tcW w:w="92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060" w:type="dxa"/>
            <w:vAlign w:val="bottom"/>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w:t>
            </w:r>
          </w:p>
        </w:tc>
        <w:tc>
          <w:tcPr>
            <w:tcW w:w="11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(1,075)</w:t>
            </w:r>
          </w:p>
        </w:tc>
        <w:tc>
          <w:tcPr>
            <w:tcW w:w="1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(1,075)</w:t>
            </w:r>
          </w:p>
        </w:tc>
        <w:tc>
          <w:tcPr>
            <w:tcW w:w="0" w:type="dxa"/>
            <w:vAlign w:val="bottom"/>
          </w:tcPr>
          <w:p>
            <w:pPr>
              <w:spacing w:after="0"/>
              <w:rPr>
                <w:sz w:val="1"/>
                <w:szCs w:val="1"/>
                <w:color w:val="auto"/>
              </w:rPr>
            </w:pPr>
          </w:p>
        </w:tc>
      </w:tr>
      <w:tr>
        <w:trPr>
          <w:trHeight w:val="205"/>
        </w:trPr>
        <w:tc>
          <w:tcPr>
            <w:tcW w:w="40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based compensation</w:t>
            </w:r>
          </w:p>
        </w:tc>
        <w:tc>
          <w:tcPr>
            <w:tcW w:w="118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216,091</w:t>
            </w:r>
          </w:p>
        </w:tc>
        <w:tc>
          <w:tcPr>
            <w:tcW w:w="920" w:type="dxa"/>
            <w:vAlign w:val="bottom"/>
            <w:tcBorders>
              <w:bottom w:val="single" w:sz="8" w:color="auto"/>
            </w:tcBorders>
            <w:shd w:val="clear" w:color="auto" w:fill="DBDBDB"/>
          </w:tcPr>
          <w:p>
            <w:pPr>
              <w:jc w:val="right"/>
              <w:ind w:right="743"/>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3,295,747</w:t>
            </w:r>
          </w:p>
        </w:tc>
        <w:tc>
          <w:tcPr>
            <w:tcW w:w="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(1,466,543)</w:t>
            </w:r>
          </w:p>
        </w:tc>
        <w:tc>
          <w:tcPr>
            <w:tcW w:w="24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1,773,950</w:t>
            </w:r>
          </w:p>
        </w:tc>
        <w:tc>
          <w:tcPr>
            <w:tcW w:w="0" w:type="dxa"/>
            <w:vAlign w:val="bottom"/>
          </w:tcPr>
          <w:p>
            <w:pPr>
              <w:spacing w:after="0"/>
              <w:rPr>
                <w:sz w:val="1"/>
                <w:szCs w:val="1"/>
                <w:color w:val="auto"/>
              </w:rPr>
            </w:pPr>
          </w:p>
        </w:tc>
      </w:tr>
      <w:tr>
        <w:trPr>
          <w:trHeight w:val="20"/>
        </w:trPr>
        <w:tc>
          <w:tcPr>
            <w:tcW w:w="4060" w:type="dxa"/>
            <w:vAlign w:val="bottom"/>
            <w:tcBorders>
              <w:top w:val="single" w:sz="8" w:color="DBDBDB"/>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920" w:type="dxa"/>
            <w:vAlign w:val="bottom"/>
            <w:tcBorders>
              <w:top w:val="single" w:sz="8" w:color="DBDBDB"/>
              <w:bottom w:val="single" w:sz="8" w:color="auto"/>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6"/>
        </w:trPr>
        <w:tc>
          <w:tcPr>
            <w:tcW w:w="4120" w:type="dxa"/>
            <w:vAlign w:val="bottom"/>
            <w:shd w:val="clear" w:color="auto" w:fill="1D2758"/>
          </w:tcPr>
          <w:p>
            <w:pPr>
              <w:spacing w:after="0"/>
              <w:rPr>
                <w:sz w:val="17"/>
                <w:szCs w:val="17"/>
                <w:color w:val="auto"/>
              </w:rPr>
            </w:pPr>
          </w:p>
        </w:tc>
        <w:tc>
          <w:tcPr>
            <w:tcW w:w="3540" w:type="dxa"/>
            <w:vAlign w:val="bottom"/>
            <w:gridSpan w:val="5"/>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Six Months Ended June 30, 2021</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4120" w:type="dxa"/>
            <w:vAlign w:val="bottom"/>
            <w:shd w:val="clear" w:color="auto" w:fill="1D2758"/>
          </w:tcPr>
          <w:p>
            <w:pPr>
              <w:spacing w:after="0"/>
              <w:rPr>
                <w:sz w:val="24"/>
                <w:szCs w:val="24"/>
                <w:color w:val="auto"/>
              </w:rPr>
            </w:pPr>
          </w:p>
        </w:tc>
        <w:tc>
          <w:tcPr>
            <w:tcW w:w="1180" w:type="dxa"/>
            <w:vAlign w:val="bottom"/>
            <w:shd w:val="clear" w:color="auto" w:fill="1D2758"/>
          </w:tcPr>
          <w:p>
            <w:pPr>
              <w:spacing w:after="0"/>
              <w:rPr>
                <w:sz w:val="24"/>
                <w:szCs w:val="24"/>
                <w:color w:val="auto"/>
              </w:rPr>
            </w:pPr>
          </w:p>
        </w:tc>
        <w:tc>
          <w:tcPr>
            <w:tcW w:w="900" w:type="dxa"/>
            <w:vAlign w:val="bottom"/>
            <w:shd w:val="clear" w:color="auto" w:fill="1D2758"/>
          </w:tcPr>
          <w:p>
            <w:pPr>
              <w:spacing w:after="0"/>
              <w:rPr>
                <w:sz w:val="24"/>
                <w:szCs w:val="24"/>
                <w:color w:val="auto"/>
              </w:rPr>
            </w:pPr>
          </w:p>
        </w:tc>
        <w:tc>
          <w:tcPr>
            <w:tcW w:w="280" w:type="dxa"/>
            <w:vAlign w:val="bottom"/>
            <w:shd w:val="clear" w:color="auto" w:fill="1D2758"/>
          </w:tcPr>
          <w:p>
            <w:pPr>
              <w:spacing w:after="0"/>
              <w:rPr>
                <w:sz w:val="24"/>
                <w:szCs w:val="24"/>
                <w:color w:val="auto"/>
              </w:rPr>
            </w:pPr>
          </w:p>
        </w:tc>
        <w:tc>
          <w:tcPr>
            <w:tcW w:w="160" w:type="dxa"/>
            <w:vAlign w:val="bottom"/>
            <w:shd w:val="clear" w:color="auto" w:fill="1D2758"/>
          </w:tcPr>
          <w:p>
            <w:pPr>
              <w:spacing w:after="0"/>
              <w:rPr>
                <w:sz w:val="24"/>
                <w:szCs w:val="24"/>
                <w:color w:val="auto"/>
              </w:rPr>
            </w:pPr>
          </w:p>
        </w:tc>
        <w:tc>
          <w:tcPr>
            <w:tcW w:w="1020" w:type="dxa"/>
            <w:vAlign w:val="bottom"/>
            <w:shd w:val="clear" w:color="auto" w:fill="1D2758"/>
          </w:tcPr>
          <w:p>
            <w:pPr>
              <w:spacing w:after="0"/>
              <w:rPr>
                <w:sz w:val="24"/>
                <w:szCs w:val="24"/>
                <w:color w:val="auto"/>
              </w:rPr>
            </w:pPr>
          </w:p>
        </w:tc>
        <w:tc>
          <w:tcPr>
            <w:tcW w:w="120" w:type="dxa"/>
            <w:vAlign w:val="bottom"/>
            <w:shd w:val="clear" w:color="auto" w:fill="1D2758"/>
          </w:tcPr>
          <w:p>
            <w:pPr>
              <w:spacing w:after="0"/>
              <w:rPr>
                <w:sz w:val="24"/>
                <w:szCs w:val="24"/>
                <w:color w:val="auto"/>
              </w:rPr>
            </w:pPr>
          </w:p>
        </w:tc>
        <w:tc>
          <w:tcPr>
            <w:tcW w:w="1080" w:type="dxa"/>
            <w:vAlign w:val="bottom"/>
            <w:shd w:val="clear" w:color="auto" w:fill="1D2758"/>
          </w:tcPr>
          <w:p>
            <w:pPr>
              <w:jc w:val="center"/>
              <w:ind w:right="23"/>
              <w:spacing w:after="0"/>
              <w:rPr>
                <w:sz w:val="20"/>
                <w:szCs w:val="20"/>
                <w:color w:val="auto"/>
              </w:rPr>
            </w:pPr>
            <w:r>
              <w:rPr>
                <w:rFonts w:ascii="Arial" w:cs="Arial" w:eastAsia="Arial" w:hAnsi="Arial"/>
                <w:sz w:val="15"/>
                <w:szCs w:val="15"/>
                <w:b w:val="1"/>
                <w:bCs w:val="1"/>
                <w:color w:val="FFFFFF"/>
              </w:rPr>
              <w:t>Accumulated</w:t>
            </w:r>
          </w:p>
        </w:tc>
        <w:tc>
          <w:tcPr>
            <w:tcW w:w="120" w:type="dxa"/>
            <w:vAlign w:val="bottom"/>
            <w:shd w:val="clear" w:color="auto" w:fill="1D2758"/>
          </w:tcPr>
          <w:p>
            <w:pPr>
              <w:spacing w:after="0"/>
              <w:rPr>
                <w:sz w:val="24"/>
                <w:szCs w:val="24"/>
                <w:color w:val="auto"/>
              </w:rPr>
            </w:pPr>
          </w:p>
        </w:tc>
        <w:tc>
          <w:tcPr>
            <w:tcW w:w="1080" w:type="dxa"/>
            <w:vAlign w:val="bottom"/>
            <w:shd w:val="clear" w:color="auto" w:fill="1D2758"/>
          </w:tcPr>
          <w:p>
            <w:pPr>
              <w:spacing w:after="0"/>
              <w:rPr>
                <w:sz w:val="24"/>
                <w:szCs w:val="24"/>
                <w:color w:val="auto"/>
              </w:rPr>
            </w:pPr>
          </w:p>
        </w:tc>
        <w:tc>
          <w:tcPr>
            <w:tcW w:w="220" w:type="dxa"/>
            <w:vAlign w:val="bottom"/>
            <w:shd w:val="clear" w:color="auto" w:fill="1D2758"/>
          </w:tcPr>
          <w:p>
            <w:pPr>
              <w:spacing w:after="0"/>
              <w:rPr>
                <w:sz w:val="24"/>
                <w:szCs w:val="24"/>
                <w:color w:val="auto"/>
              </w:rPr>
            </w:pPr>
          </w:p>
        </w:tc>
        <w:tc>
          <w:tcPr>
            <w:tcW w:w="960" w:type="dxa"/>
            <w:vAlign w:val="bottom"/>
            <w:vMerge w:val="restart"/>
            <w:shd w:val="clear" w:color="auto" w:fill="1D2758"/>
          </w:tcPr>
          <w:p>
            <w:pPr>
              <w:jc w:val="center"/>
              <w:ind w:right="12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155"/>
        </w:trPr>
        <w:tc>
          <w:tcPr>
            <w:tcW w:w="4120" w:type="dxa"/>
            <w:vAlign w:val="bottom"/>
            <w:shd w:val="clear" w:color="auto" w:fill="1D2758"/>
          </w:tcPr>
          <w:p>
            <w:pPr>
              <w:spacing w:after="0"/>
              <w:rPr>
                <w:sz w:val="13"/>
                <w:szCs w:val="13"/>
                <w:color w:val="auto"/>
              </w:rPr>
            </w:pPr>
          </w:p>
        </w:tc>
        <w:tc>
          <w:tcPr>
            <w:tcW w:w="2080" w:type="dxa"/>
            <w:vAlign w:val="bottom"/>
            <w:gridSpan w:val="2"/>
            <w:vMerge w:val="restart"/>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Common Stock</w:t>
            </w:r>
          </w:p>
        </w:tc>
        <w:tc>
          <w:tcPr>
            <w:tcW w:w="280" w:type="dxa"/>
            <w:vAlign w:val="bottom"/>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080" w:type="dxa"/>
            <w:vAlign w:val="bottom"/>
            <w:shd w:val="clear" w:color="auto" w:fill="1D2758"/>
          </w:tcPr>
          <w:p>
            <w:pPr>
              <w:jc w:val="center"/>
              <w:ind w:right="23"/>
              <w:spacing w:after="0" w:line="155" w:lineRule="exact"/>
              <w:rPr>
                <w:sz w:val="20"/>
                <w:szCs w:val="20"/>
                <w:color w:val="auto"/>
              </w:rPr>
            </w:pPr>
            <w:r>
              <w:rPr>
                <w:rFonts w:ascii="Arial" w:cs="Arial" w:eastAsia="Arial" w:hAnsi="Arial"/>
                <w:sz w:val="15"/>
                <w:szCs w:val="15"/>
                <w:b w:val="1"/>
                <w:bCs w:val="1"/>
                <w:color w:val="FFFFFF"/>
              </w:rPr>
              <w:t>Other</w:t>
            </w:r>
          </w:p>
        </w:tc>
        <w:tc>
          <w:tcPr>
            <w:tcW w:w="120" w:type="dxa"/>
            <w:vAlign w:val="bottom"/>
            <w:shd w:val="clear" w:color="auto" w:fill="1D2758"/>
          </w:tcPr>
          <w:p>
            <w:pPr>
              <w:spacing w:after="0"/>
              <w:rPr>
                <w:sz w:val="13"/>
                <w:szCs w:val="13"/>
                <w:color w:val="auto"/>
              </w:rPr>
            </w:pPr>
          </w:p>
        </w:tc>
        <w:tc>
          <w:tcPr>
            <w:tcW w:w="10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96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120" w:type="dxa"/>
            <w:vAlign w:val="bottom"/>
            <w:shd w:val="clear" w:color="auto" w:fill="1D2758"/>
          </w:tcPr>
          <w:p>
            <w:pPr>
              <w:spacing w:after="0"/>
              <w:rPr>
                <w:sz w:val="10"/>
                <w:szCs w:val="10"/>
                <w:color w:val="auto"/>
              </w:rPr>
            </w:pPr>
          </w:p>
        </w:tc>
        <w:tc>
          <w:tcPr>
            <w:tcW w:w="2080" w:type="dxa"/>
            <w:vAlign w:val="bottom"/>
            <w:gridSpan w:val="2"/>
            <w:vMerge w:val="continue"/>
            <w:shd w:val="clear" w:color="auto" w:fill="1D2758"/>
          </w:tcPr>
          <w:p>
            <w:pPr>
              <w:spacing w:after="0"/>
              <w:rPr>
                <w:sz w:val="10"/>
                <w:szCs w:val="10"/>
                <w:color w:val="auto"/>
              </w:rPr>
            </w:pPr>
          </w:p>
        </w:tc>
        <w:tc>
          <w:tcPr>
            <w:tcW w:w="280" w:type="dxa"/>
            <w:vAlign w:val="bottom"/>
            <w:shd w:val="clear" w:color="auto" w:fill="1D2758"/>
          </w:tcPr>
          <w:p>
            <w:pPr>
              <w:spacing w:after="0"/>
              <w:rPr>
                <w:sz w:val="10"/>
                <w:szCs w:val="10"/>
                <w:color w:val="auto"/>
              </w:rPr>
            </w:pPr>
          </w:p>
        </w:tc>
        <w:tc>
          <w:tcPr>
            <w:tcW w:w="160" w:type="dxa"/>
            <w:vAlign w:val="bottom"/>
            <w:shd w:val="clear" w:color="auto" w:fill="1D2758"/>
          </w:tcPr>
          <w:p>
            <w:pPr>
              <w:spacing w:after="0"/>
              <w:rPr>
                <w:sz w:val="10"/>
                <w:szCs w:val="10"/>
                <w:color w:val="auto"/>
              </w:rPr>
            </w:pPr>
          </w:p>
        </w:tc>
        <w:tc>
          <w:tcPr>
            <w:tcW w:w="1020" w:type="dxa"/>
            <w:vAlign w:val="bottom"/>
            <w:vMerge w:val="restart"/>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Additional</w:t>
            </w:r>
          </w:p>
        </w:tc>
        <w:tc>
          <w:tcPr>
            <w:tcW w:w="1200" w:type="dxa"/>
            <w:vAlign w:val="bottom"/>
            <w:gridSpan w:val="2"/>
            <w:vMerge w:val="restart"/>
            <w:shd w:val="clear" w:color="auto" w:fill="1D2758"/>
          </w:tcPr>
          <w:p>
            <w:pPr>
              <w:ind w:left="20"/>
              <w:spacing w:after="0" w:line="155" w:lineRule="exact"/>
              <w:rPr>
                <w:sz w:val="20"/>
                <w:szCs w:val="20"/>
                <w:color w:val="auto"/>
              </w:rPr>
            </w:pPr>
            <w:r>
              <w:rPr>
                <w:rFonts w:ascii="Arial" w:cs="Arial" w:eastAsia="Arial" w:hAnsi="Arial"/>
                <w:sz w:val="15"/>
                <w:szCs w:val="15"/>
                <w:b w:val="1"/>
                <w:bCs w:val="1"/>
                <w:color w:val="FFFFFF"/>
              </w:rPr>
              <w:t>Comprehensive</w:t>
            </w:r>
          </w:p>
        </w:tc>
        <w:tc>
          <w:tcPr>
            <w:tcW w:w="120" w:type="dxa"/>
            <w:vAlign w:val="bottom"/>
            <w:shd w:val="clear" w:color="auto" w:fill="1D2758"/>
          </w:tcPr>
          <w:p>
            <w:pPr>
              <w:spacing w:after="0"/>
              <w:rPr>
                <w:sz w:val="10"/>
                <w:szCs w:val="10"/>
                <w:color w:val="auto"/>
              </w:rPr>
            </w:pPr>
          </w:p>
        </w:tc>
        <w:tc>
          <w:tcPr>
            <w:tcW w:w="1080" w:type="dxa"/>
            <w:vAlign w:val="bottom"/>
            <w:vMerge w:val="restart"/>
            <w:shd w:val="clear" w:color="auto" w:fill="1D2758"/>
          </w:tcPr>
          <w:p>
            <w:pPr>
              <w:jc w:val="right"/>
              <w:ind w:right="23"/>
              <w:spacing w:after="0" w:line="155" w:lineRule="exact"/>
              <w:rPr>
                <w:sz w:val="20"/>
                <w:szCs w:val="20"/>
                <w:color w:val="auto"/>
              </w:rPr>
            </w:pPr>
            <w:r>
              <w:rPr>
                <w:rFonts w:ascii="Arial" w:cs="Arial" w:eastAsia="Arial" w:hAnsi="Arial"/>
                <w:sz w:val="15"/>
                <w:szCs w:val="15"/>
                <w:b w:val="1"/>
                <w:bCs w:val="1"/>
                <w:color w:val="FFFFFF"/>
              </w:rPr>
              <w:t>Accumulated</w:t>
            </w:r>
          </w:p>
        </w:tc>
        <w:tc>
          <w:tcPr>
            <w:tcW w:w="1180" w:type="dxa"/>
            <w:vAlign w:val="bottom"/>
            <w:gridSpan w:val="2"/>
            <w:vMerge w:val="restart"/>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Shareholders'</w:t>
            </w:r>
          </w:p>
        </w:tc>
        <w:tc>
          <w:tcPr>
            <w:tcW w:w="0" w:type="dxa"/>
            <w:vAlign w:val="bottom"/>
          </w:tcPr>
          <w:p>
            <w:pPr>
              <w:spacing w:after="0"/>
              <w:rPr>
                <w:sz w:val="1"/>
                <w:szCs w:val="1"/>
                <w:color w:val="auto"/>
              </w:rPr>
            </w:pPr>
          </w:p>
        </w:tc>
      </w:tr>
      <w:tr>
        <w:trPr>
          <w:trHeight w:val="39"/>
        </w:trPr>
        <w:tc>
          <w:tcPr>
            <w:tcW w:w="41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Shares</w:t>
            </w:r>
          </w:p>
        </w:tc>
        <w:tc>
          <w:tcPr>
            <w:tcW w:w="9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Amount</w:t>
            </w:r>
          </w:p>
        </w:tc>
        <w:tc>
          <w:tcPr>
            <w:tcW w:w="280" w:type="dxa"/>
            <w:vAlign w:val="bottom"/>
            <w:shd w:val="clear" w:color="auto" w:fill="1D2758"/>
          </w:tcPr>
          <w:p>
            <w:pPr>
              <w:spacing w:after="0"/>
              <w:rPr>
                <w:sz w:val="3"/>
                <w:szCs w:val="3"/>
                <w:color w:val="auto"/>
              </w:rPr>
            </w:pPr>
          </w:p>
        </w:tc>
        <w:tc>
          <w:tcPr>
            <w:tcW w:w="160" w:type="dxa"/>
            <w:vAlign w:val="bottom"/>
            <w:shd w:val="clear" w:color="auto" w:fill="1D2758"/>
          </w:tcPr>
          <w:p>
            <w:pPr>
              <w:spacing w:after="0"/>
              <w:rPr>
                <w:sz w:val="3"/>
                <w:szCs w:val="3"/>
                <w:color w:val="auto"/>
              </w:rPr>
            </w:pPr>
          </w:p>
        </w:tc>
        <w:tc>
          <w:tcPr>
            <w:tcW w:w="1020" w:type="dxa"/>
            <w:vAlign w:val="bottom"/>
            <w:vMerge w:val="continue"/>
            <w:shd w:val="clear" w:color="auto" w:fill="1D2758"/>
          </w:tcPr>
          <w:p>
            <w:pPr>
              <w:spacing w:after="0"/>
              <w:rPr>
                <w:sz w:val="3"/>
                <w:szCs w:val="3"/>
                <w:color w:val="auto"/>
              </w:rPr>
            </w:pPr>
          </w:p>
        </w:tc>
        <w:tc>
          <w:tcPr>
            <w:tcW w:w="1200" w:type="dxa"/>
            <w:vAlign w:val="bottom"/>
            <w:gridSpan w:val="2"/>
            <w:vMerge w:val="continue"/>
            <w:shd w:val="clear" w:color="auto" w:fill="1D2758"/>
          </w:tcPr>
          <w:p>
            <w:pPr>
              <w:spacing w:after="0"/>
              <w:rPr>
                <w:sz w:val="3"/>
                <w:szCs w:val="3"/>
                <w:color w:val="auto"/>
              </w:rPr>
            </w:pPr>
          </w:p>
        </w:tc>
        <w:tc>
          <w:tcPr>
            <w:tcW w:w="120" w:type="dxa"/>
            <w:vAlign w:val="bottom"/>
            <w:shd w:val="clear" w:color="auto" w:fill="1D2758"/>
          </w:tcPr>
          <w:p>
            <w:pPr>
              <w:spacing w:after="0"/>
              <w:rPr>
                <w:sz w:val="3"/>
                <w:szCs w:val="3"/>
                <w:color w:val="auto"/>
              </w:rPr>
            </w:pPr>
          </w:p>
        </w:tc>
        <w:tc>
          <w:tcPr>
            <w:tcW w:w="1080" w:type="dxa"/>
            <w:vAlign w:val="bottom"/>
            <w:vMerge w:val="continue"/>
            <w:shd w:val="clear" w:color="auto" w:fill="1D2758"/>
          </w:tcPr>
          <w:p>
            <w:pPr>
              <w:spacing w:after="0"/>
              <w:rPr>
                <w:sz w:val="3"/>
                <w:szCs w:val="3"/>
                <w:color w:val="auto"/>
              </w:rPr>
            </w:pPr>
          </w:p>
        </w:tc>
        <w:tc>
          <w:tcPr>
            <w:tcW w:w="1180" w:type="dxa"/>
            <w:vAlign w:val="bottom"/>
            <w:gridSpan w:val="2"/>
            <w:vMerge w:val="continue"/>
            <w:shd w:val="clear" w:color="auto" w:fill="1D2758"/>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6"/>
        </w:trPr>
        <w:tc>
          <w:tcPr>
            <w:tcW w:w="4120" w:type="dxa"/>
            <w:vAlign w:val="bottom"/>
            <w:vMerge w:val="continue"/>
            <w:shd w:val="clear" w:color="auto" w:fill="1D2758"/>
          </w:tcPr>
          <w:p>
            <w:pPr>
              <w:spacing w:after="0"/>
              <w:rPr>
                <w:sz w:val="17"/>
                <w:szCs w:val="17"/>
                <w:color w:val="auto"/>
              </w:rPr>
            </w:pPr>
          </w:p>
        </w:tc>
        <w:tc>
          <w:tcPr>
            <w:tcW w:w="1180" w:type="dxa"/>
            <w:vAlign w:val="bottom"/>
            <w:vMerge w:val="continue"/>
            <w:shd w:val="clear" w:color="auto" w:fill="1D2758"/>
          </w:tcPr>
          <w:p>
            <w:pPr>
              <w:spacing w:after="0"/>
              <w:rPr>
                <w:sz w:val="17"/>
                <w:szCs w:val="17"/>
                <w:color w:val="auto"/>
              </w:rPr>
            </w:pPr>
          </w:p>
        </w:tc>
        <w:tc>
          <w:tcPr>
            <w:tcW w:w="900" w:type="dxa"/>
            <w:vAlign w:val="bottom"/>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11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Paid-in-Capital</w:t>
            </w:r>
          </w:p>
        </w:tc>
        <w:tc>
          <w:tcPr>
            <w:tcW w:w="120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Income (Loss)</w:t>
            </w:r>
          </w:p>
        </w:tc>
        <w:tc>
          <w:tcPr>
            <w:tcW w:w="120" w:type="dxa"/>
            <w:vAlign w:val="bottom"/>
            <w:shd w:val="clear" w:color="auto" w:fill="1D2758"/>
          </w:tcPr>
          <w:p>
            <w:pPr>
              <w:spacing w:after="0"/>
              <w:rPr>
                <w:sz w:val="17"/>
                <w:szCs w:val="17"/>
                <w:color w:val="auto"/>
              </w:rPr>
            </w:pPr>
          </w:p>
        </w:tc>
        <w:tc>
          <w:tcPr>
            <w:tcW w:w="10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Deficit</w:t>
            </w:r>
          </w:p>
        </w:tc>
        <w:tc>
          <w:tcPr>
            <w:tcW w:w="220" w:type="dxa"/>
            <w:vAlign w:val="bottom"/>
            <w:shd w:val="clear" w:color="auto" w:fill="1D2758"/>
          </w:tcPr>
          <w:p>
            <w:pPr>
              <w:spacing w:after="0"/>
              <w:rPr>
                <w:sz w:val="17"/>
                <w:szCs w:val="17"/>
                <w:color w:val="auto"/>
              </w:rPr>
            </w:pPr>
          </w:p>
        </w:tc>
        <w:tc>
          <w:tcPr>
            <w:tcW w:w="96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Equity</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229,038</w:t>
            </w:r>
          </w:p>
        </w:tc>
        <w:tc>
          <w:tcPr>
            <w:tcW w:w="900" w:type="dxa"/>
            <w:vAlign w:val="bottom"/>
            <w:shd w:val="clear" w:color="auto" w:fill="DBDBDB"/>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3,852,291</w:t>
            </w:r>
          </w:p>
        </w:tc>
        <w:tc>
          <w:tcPr>
            <w:tcW w:w="120" w:type="dxa"/>
            <w:vAlign w:val="bottom"/>
            <w:shd w:val="clear" w:color="auto" w:fill="DBDBDB"/>
          </w:tcPr>
          <w:p>
            <w:pPr>
              <w:ind w:left="20"/>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(1,751,234)</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2,063,873</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4,447</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4,447</w:t>
            </w:r>
          </w:p>
        </w:tc>
        <w:tc>
          <w:tcPr>
            <w:tcW w:w="0" w:type="dxa"/>
            <w:vAlign w:val="bottom"/>
          </w:tcPr>
          <w:p>
            <w:pPr>
              <w:spacing w:after="0"/>
              <w:rPr>
                <w:sz w:val="1"/>
                <w:szCs w:val="1"/>
                <w:color w:val="auto"/>
              </w:rPr>
            </w:pPr>
          </w:p>
        </w:tc>
      </w:tr>
      <w:tr>
        <w:trPr>
          <w:trHeight w:val="207"/>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7,211</w:t>
            </w:r>
          </w:p>
        </w:tc>
        <w:tc>
          <w:tcPr>
            <w:tcW w:w="0" w:type="dxa"/>
            <w:vAlign w:val="bottom"/>
          </w:tcPr>
          <w:p>
            <w:pPr>
              <w:spacing w:after="0"/>
              <w:rPr>
                <w:sz w:val="1"/>
                <w:szCs w:val="1"/>
                <w:color w:val="auto"/>
              </w:rPr>
            </w:pPr>
          </w:p>
        </w:tc>
      </w:tr>
      <w:tr>
        <w:trPr>
          <w:trHeight w:val="155"/>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229</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4,951</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4,951</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Arial" w:cs="Arial" w:eastAsia="Arial" w:hAnsi="Arial"/>
                <w:sz w:val="15"/>
                <w:szCs w:val="15"/>
                <w:color w:val="auto"/>
              </w:rPr>
              <w:t>Stock from vesting</w:t>
            </w:r>
          </w:p>
        </w:tc>
        <w:tc>
          <w:tcPr>
            <w:tcW w:w="11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(2,793)</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(76,788)</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8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 options</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341</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5,414</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5,414</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Arial" w:cs="Arial" w:eastAsia="Arial" w:hAnsi="Arial"/>
                <w:sz w:val="15"/>
                <w:szCs w:val="15"/>
                <w:color w:val="auto"/>
              </w:rPr>
              <w:t>and warrants</w:t>
            </w:r>
          </w:p>
        </w:tc>
        <w:tc>
          <w:tcPr>
            <w:tcW w:w="11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Withholding taxes on net share settlement of stock-</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based compensation</w:t>
            </w: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180" w:type="dxa"/>
            <w:vAlign w:val="bottom"/>
          </w:tcPr>
          <w:p>
            <w:pPr>
              <w:jc w:val="right"/>
              <w:spacing w:after="0"/>
              <w:rPr>
                <w:sz w:val="20"/>
                <w:szCs w:val="20"/>
                <w:color w:val="auto"/>
              </w:rPr>
            </w:pPr>
            <w:r>
              <w:rPr>
                <w:rFonts w:ascii="Arial" w:cs="Arial" w:eastAsia="Arial" w:hAnsi="Arial"/>
                <w:sz w:val="15"/>
                <w:szCs w:val="15"/>
                <w:color w:val="auto"/>
              </w:rPr>
              <w:t>226,815</w:t>
            </w:r>
          </w:p>
        </w:tc>
        <w:tc>
          <w:tcPr>
            <w:tcW w:w="900" w:type="dxa"/>
            <w:vAlign w:val="bottom"/>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3,782,649</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(29,996)</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(1,746,787)</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2,005,889</w:t>
            </w:r>
          </w:p>
        </w:tc>
        <w:tc>
          <w:tcPr>
            <w:tcW w:w="0" w:type="dxa"/>
            <w:vAlign w:val="bottom"/>
          </w:tcPr>
          <w:p>
            <w:pPr>
              <w:spacing w:after="0"/>
              <w:rPr>
                <w:sz w:val="1"/>
                <w:szCs w:val="1"/>
                <w:color w:val="auto"/>
              </w:rPr>
            </w:pPr>
          </w:p>
        </w:tc>
      </w:tr>
      <w:tr>
        <w:trPr>
          <w:trHeight w:val="207"/>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8"/>
                <w:szCs w:val="18"/>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22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Arial" w:cs="Arial" w:eastAsia="Arial" w:hAnsi="Arial"/>
                <w:sz w:val="15"/>
                <w:szCs w:val="15"/>
                <w:color w:val="auto"/>
              </w:rPr>
              <w:t>Other comprehensive income</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2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5,239</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5,239</w:t>
            </w:r>
          </w:p>
        </w:tc>
        <w:tc>
          <w:tcPr>
            <w:tcW w:w="0" w:type="dxa"/>
            <w:vAlign w:val="bottom"/>
          </w:tcPr>
          <w:p>
            <w:pPr>
              <w:spacing w:after="0"/>
              <w:rPr>
                <w:sz w:val="1"/>
                <w:szCs w:val="1"/>
                <w:color w:val="auto"/>
              </w:rPr>
            </w:pPr>
          </w:p>
        </w:tc>
      </w:tr>
      <w:tr>
        <w:trPr>
          <w:trHeight w:val="156"/>
        </w:trPr>
        <w:tc>
          <w:tcPr>
            <w:tcW w:w="41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Stock-based compensation and issuance of Common</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60</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9,038</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from vesting</w:t>
            </w:r>
          </w:p>
        </w:tc>
        <w:tc>
          <w:tcPr>
            <w:tcW w:w="1180" w:type="dxa"/>
            <w:vAlign w:val="bottom"/>
            <w:vMerge w:val="continue"/>
            <w:shd w:val="clear" w:color="auto" w:fill="DBDBDB"/>
          </w:tcPr>
          <w:p>
            <w:pPr>
              <w:spacing w:after="0"/>
              <w:rPr>
                <w:sz w:val="17"/>
                <w:szCs w:val="17"/>
                <w:color w:val="auto"/>
              </w:rPr>
            </w:pPr>
          </w:p>
        </w:tc>
        <w:tc>
          <w:tcPr>
            <w:tcW w:w="900" w:type="dxa"/>
            <w:vAlign w:val="bottom"/>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2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80" w:type="dxa"/>
            <w:vAlign w:val="bottom"/>
            <w:vMerge w:val="continue"/>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Repurchase and cancellation of Common Stock and</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(4,100)</w:t>
            </w:r>
          </w:p>
        </w:tc>
        <w:tc>
          <w:tcPr>
            <w:tcW w:w="900" w:type="dxa"/>
            <w:vAlign w:val="bottom"/>
          </w:tcPr>
          <w:p>
            <w:pPr>
              <w:spacing w:after="0"/>
              <w:rPr>
                <w:sz w:val="13"/>
                <w:szCs w:val="13"/>
                <w:color w:val="auto"/>
              </w:rPr>
            </w:pPr>
          </w:p>
        </w:tc>
        <w:tc>
          <w:tcPr>
            <w:tcW w:w="280" w:type="dxa"/>
            <w:vAlign w:val="bottom"/>
            <w:vMerge w:val="restart"/>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(35,508)</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(35,508)</w:t>
            </w:r>
          </w:p>
        </w:tc>
        <w:tc>
          <w:tcPr>
            <w:tcW w:w="0" w:type="dxa"/>
            <w:vAlign w:val="bottom"/>
          </w:tcPr>
          <w:p>
            <w:pPr>
              <w:spacing w:after="0"/>
              <w:rPr>
                <w:sz w:val="1"/>
                <w:szCs w:val="1"/>
                <w:color w:val="auto"/>
              </w:rPr>
            </w:pPr>
          </w:p>
        </w:tc>
      </w:tr>
      <w:tr>
        <w:trPr>
          <w:trHeight w:val="205"/>
        </w:trPr>
        <w:tc>
          <w:tcPr>
            <w:tcW w:w="4120" w:type="dxa"/>
            <w:vAlign w:val="bottom"/>
          </w:tcPr>
          <w:p>
            <w:pPr>
              <w:ind w:left="220"/>
              <w:spacing w:after="0"/>
              <w:rPr>
                <w:sz w:val="20"/>
                <w:szCs w:val="20"/>
                <w:color w:val="auto"/>
              </w:rPr>
            </w:pPr>
            <w:r>
              <w:rPr>
                <w:rFonts w:ascii="Arial" w:cs="Arial" w:eastAsia="Arial" w:hAnsi="Arial"/>
                <w:sz w:val="15"/>
                <w:szCs w:val="15"/>
                <w:color w:val="auto"/>
              </w:rPr>
              <w:t>warrants</w:t>
            </w:r>
          </w:p>
        </w:tc>
        <w:tc>
          <w:tcPr>
            <w:tcW w:w="11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2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Issuance of Common Stock from the exercise of</w:t>
            </w:r>
          </w:p>
        </w:tc>
        <w:tc>
          <w:tcPr>
            <w:tcW w:w="11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4,058</w:t>
            </w:r>
          </w:p>
        </w:tc>
        <w:tc>
          <w:tcPr>
            <w:tcW w:w="900" w:type="dxa"/>
            <w:vAlign w:val="bottom"/>
            <w:shd w:val="clear" w:color="auto" w:fill="DBDBDB"/>
          </w:tcPr>
          <w:p>
            <w:pPr>
              <w:spacing w:after="0"/>
              <w:rPr>
                <w:sz w:val="13"/>
                <w:szCs w:val="13"/>
                <w:color w:val="auto"/>
              </w:rPr>
            </w:pPr>
          </w:p>
        </w:tc>
        <w:tc>
          <w:tcPr>
            <w:tcW w:w="2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3"/>
                <w:szCs w:val="13"/>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DBDBDB"/>
          </w:tcPr>
          <w:p>
            <w:pPr>
              <w:spacing w:after="0"/>
              <w:rPr>
                <w:sz w:val="13"/>
                <w:szCs w:val="13"/>
                <w:color w:val="auto"/>
              </w:rPr>
            </w:pPr>
          </w:p>
        </w:tc>
        <w:tc>
          <w:tcPr>
            <w:tcW w:w="10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DBDBDB"/>
          </w:tcPr>
          <w:p>
            <w:pPr>
              <w:spacing w:after="0"/>
              <w:rPr>
                <w:sz w:val="13"/>
                <w:szCs w:val="13"/>
                <w:color w:val="auto"/>
              </w:rPr>
            </w:pP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206"/>
        </w:trPr>
        <w:tc>
          <w:tcPr>
            <w:tcW w:w="41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warrants</w:t>
            </w:r>
          </w:p>
        </w:tc>
        <w:tc>
          <w:tcPr>
            <w:tcW w:w="1180" w:type="dxa"/>
            <w:vAlign w:val="bottom"/>
            <w:tcBorders>
              <w:bottom w:val="single" w:sz="8" w:color="auto"/>
            </w:tcBorders>
            <w:vMerge w:val="continue"/>
            <w:shd w:val="clear" w:color="auto" w:fill="DBDBDB"/>
          </w:tcPr>
          <w:p>
            <w:pPr>
              <w:spacing w:after="0"/>
              <w:rPr>
                <w:sz w:val="17"/>
                <w:szCs w:val="17"/>
                <w:color w:val="auto"/>
              </w:rPr>
            </w:pPr>
          </w:p>
        </w:tc>
        <w:tc>
          <w:tcPr>
            <w:tcW w:w="900" w:type="dxa"/>
            <w:vAlign w:val="bottom"/>
            <w:tcBorders>
              <w:bottom w:val="single" w:sz="8" w:color="auto"/>
            </w:tcBorders>
            <w:shd w:val="clear" w:color="auto" w:fill="DBDBDB"/>
          </w:tcPr>
          <w:p>
            <w:pPr>
              <w:spacing w:after="0"/>
              <w:rPr>
                <w:sz w:val="17"/>
                <w:szCs w:val="17"/>
                <w:color w:val="auto"/>
              </w:rPr>
            </w:pPr>
          </w:p>
        </w:tc>
        <w:tc>
          <w:tcPr>
            <w:tcW w:w="280" w:type="dxa"/>
            <w:vAlign w:val="bottom"/>
            <w:tcBorders>
              <w:bottom w:val="single" w:sz="8" w:color="auto"/>
            </w:tcBorders>
            <w:vMerge w:val="continue"/>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vMerge w:val="continue"/>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20"/>
              <w:spacing w:after="0"/>
              <w:rPr>
                <w:sz w:val="20"/>
                <w:szCs w:val="20"/>
                <w:color w:val="auto"/>
              </w:rPr>
            </w:pPr>
            <w:r>
              <w:rPr>
                <w:rFonts w:ascii="Arial" w:cs="Arial" w:eastAsia="Arial" w:hAnsi="Arial"/>
                <w:sz w:val="15"/>
                <w:szCs w:val="15"/>
                <w:color w:val="auto"/>
              </w:rPr>
              <w:t>Balance at June 30, 2021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226,833</w:t>
            </w:r>
          </w:p>
        </w:tc>
        <w:tc>
          <w:tcPr>
            <w:tcW w:w="90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3,756,563</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(1,726,416)</w:t>
            </w: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2,005,413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color w:val="1D2758"/>
        </w:rPr>
        <w:t>WillScot Mobile Mini Holdings Corp.</w:t>
      </w:r>
    </w:p>
    <w:p>
      <w:pPr>
        <w:jc w:val="center"/>
        <w:spacing w:after="0"/>
        <w:rPr>
          <w:sz w:val="20"/>
          <w:szCs w:val="20"/>
          <w:color w:val="auto"/>
        </w:rPr>
      </w:pPr>
      <w:r>
        <w:rPr>
          <w:rFonts w:ascii="Arial" w:cs="Arial" w:eastAsia="Arial" w:hAnsi="Arial"/>
          <w:sz w:val="22"/>
          <w:szCs w:val="22"/>
          <w:color w:val="1D2758"/>
        </w:rPr>
        <w:t>Condensed Consolidated Statements of Cash Flows (Unaudited)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20" w:type="dxa"/>
            <w:vAlign w:val="bottom"/>
            <w:gridSpan w:val="4"/>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Six Months Ended June 30,</w:t>
            </w:r>
          </w:p>
        </w:tc>
        <w:tc>
          <w:tcPr>
            <w:tcW w:w="720" w:type="dxa"/>
            <w:vAlign w:val="bottom"/>
            <w:shd w:val="clear" w:color="auto" w:fill="1D2758"/>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00" w:type="dxa"/>
            <w:vAlign w:val="bottom"/>
            <w:vMerge w:val="continue"/>
            <w:shd w:val="clear" w:color="auto" w:fill="1D2758"/>
          </w:tcPr>
          <w:p>
            <w:pPr>
              <w:spacing w:after="0"/>
              <w:rPr>
                <w:sz w:val="18"/>
                <w:szCs w:val="18"/>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50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1100" w:type="dxa"/>
            <w:vAlign w:val="bottom"/>
            <w:vMerge w:val="continue"/>
            <w:shd w:val="clear" w:color="auto" w:fill="1D2758"/>
          </w:tcPr>
          <w:p>
            <w:pPr>
              <w:spacing w:after="0"/>
              <w:rPr>
                <w:sz w:val="14"/>
                <w:szCs w:val="14"/>
                <w:color w:val="auto"/>
              </w:rPr>
            </w:pPr>
          </w:p>
        </w:tc>
        <w:tc>
          <w:tcPr>
            <w:tcW w:w="7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Operating activities:</w:t>
            </w: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124,547</w:t>
            </w:r>
          </w:p>
        </w:tc>
        <w:tc>
          <w:tcPr>
            <w:tcW w:w="100" w:type="dxa"/>
            <w:vAlign w:val="bottom"/>
          </w:tcPr>
          <w:p>
            <w:pPr>
              <w:spacing w:after="0"/>
              <w:rPr>
                <w:sz w:val="17"/>
                <w:szCs w:val="17"/>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24,818</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Depreciation and amortization</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168,050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160,480</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Provision for credit losses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18,865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16,910</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Gain on sale of rental equipment and other property, plant and equipment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(14,195)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(14,793)</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Amortization of debt discounts and debt issuance costs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6,975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7,082</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Fair value loss on common stock warrant liabilities</w:t>
            </w:r>
          </w:p>
        </w:tc>
        <w:tc>
          <w:tcPr>
            <w:tcW w:w="1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Loss on extinguishment of debt</w:t>
            </w:r>
          </w:p>
        </w:tc>
        <w:tc>
          <w:tcPr>
            <w:tcW w:w="110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Stock-based compensation expense</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15,687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13,989</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Deferred income tax expense</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31,072</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24,389</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Unrealized currency gains, net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(184)</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Other</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1,916</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00" w:type="dxa"/>
            <w:vAlign w:val="bottom"/>
          </w:tcPr>
          <w:p>
            <w:pPr>
              <w:ind w:left="220"/>
              <w:spacing w:after="0"/>
              <w:rPr>
                <w:sz w:val="20"/>
                <w:szCs w:val="20"/>
                <w:color w:val="auto"/>
              </w:rPr>
            </w:pPr>
            <w:r>
              <w:rPr>
                <w:rFonts w:ascii="Arial" w:cs="Arial" w:eastAsia="Arial" w:hAnsi="Arial"/>
                <w:sz w:val="15"/>
                <w:szCs w:val="15"/>
                <w:color w:val="auto"/>
              </w:rPr>
              <w:t>Changes in operating assets and liabilities: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Trade receivables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(60,737)</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(50,324)</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(9,293)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(8,535)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Prepaid expenses and other assets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(13,907)</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10,004</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Operating lease assets and liabilities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(537)</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Accounts payable and other accrued expenses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34,756</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30,689</w:t>
            </w:r>
          </w:p>
        </w:tc>
        <w:tc>
          <w:tcPr>
            <w:tcW w:w="0" w:type="dxa"/>
            <w:vAlign w:val="bottom"/>
          </w:tcPr>
          <w:p>
            <w:pPr>
              <w:spacing w:after="0"/>
              <w:rPr>
                <w:sz w:val="1"/>
                <w:szCs w:val="1"/>
                <w:color w:val="auto"/>
              </w:rPr>
            </w:pPr>
          </w:p>
        </w:tc>
      </w:tr>
      <w:tr>
        <w:trPr>
          <w:trHeight w:val="205"/>
        </w:trPr>
        <w:tc>
          <w:tcPr>
            <w:tcW w:w="7500" w:type="dxa"/>
            <w:vAlign w:val="bottom"/>
            <w:tcBorders>
              <w:bottom w:val="single" w:sz="8" w:color="DBDBDB"/>
            </w:tcBorders>
          </w:tcPr>
          <w:p>
            <w:pPr>
              <w:ind w:left="440"/>
              <w:spacing w:after="0"/>
              <w:rPr>
                <w:sz w:val="20"/>
                <w:szCs w:val="20"/>
                <w:color w:val="auto"/>
              </w:rPr>
            </w:pPr>
            <w:r>
              <w:rPr>
                <w:rFonts w:ascii="Arial" w:cs="Arial" w:eastAsia="Arial" w:hAnsi="Arial"/>
                <w:sz w:val="15"/>
                <w:szCs w:val="15"/>
                <w:color w:val="auto"/>
              </w:rPr>
              <w:t>Deferred revenue and customer deposits</w:t>
            </w: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29,252</w:t>
            </w:r>
          </w:p>
        </w:tc>
        <w:tc>
          <w:tcPr>
            <w:tcW w:w="10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15,024</w:t>
            </w:r>
          </w:p>
        </w:tc>
        <w:tc>
          <w:tcPr>
            <w:tcW w:w="0" w:type="dxa"/>
            <w:vAlign w:val="bottom"/>
          </w:tcPr>
          <w:p>
            <w:pPr>
              <w:spacing w:after="0"/>
              <w:rPr>
                <w:sz w:val="1"/>
                <w:szCs w:val="1"/>
                <w:color w:val="auto"/>
              </w:rPr>
            </w:pPr>
          </w:p>
        </w:tc>
      </w:tr>
      <w:tr>
        <w:trPr>
          <w:trHeight w:val="200"/>
        </w:trPr>
        <w:tc>
          <w:tcPr>
            <w:tcW w:w="7500" w:type="dxa"/>
            <w:vAlign w:val="bottom"/>
            <w:shd w:val="clear" w:color="auto" w:fill="DBDBDB"/>
          </w:tcPr>
          <w:p>
            <w:pPr>
              <w:ind w:left="640"/>
              <w:spacing w:after="0"/>
              <w:rPr>
                <w:sz w:val="20"/>
                <w:szCs w:val="20"/>
                <w:color w:val="auto"/>
              </w:rPr>
            </w:pPr>
            <w:r>
              <w:rPr>
                <w:rFonts w:ascii="Arial" w:cs="Arial" w:eastAsia="Arial" w:hAnsi="Arial"/>
                <w:sz w:val="15"/>
                <w:szCs w:val="15"/>
                <w:color w:val="auto"/>
              </w:rPr>
              <w:t>Net cash provided by operating activities</w:t>
            </w: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333,853</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261,608</w:t>
            </w:r>
          </w:p>
        </w:tc>
        <w:tc>
          <w:tcPr>
            <w:tcW w:w="0" w:type="dxa"/>
            <w:vAlign w:val="bottom"/>
          </w:tcPr>
          <w:p>
            <w:pPr>
              <w:spacing w:after="0"/>
              <w:rPr>
                <w:sz w:val="1"/>
                <w:szCs w:val="1"/>
                <w:color w:val="auto"/>
              </w:rPr>
            </w:pP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Investing activities:</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Acquisitions, net of cash acquired</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(103,927)</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Proceeds from sale of rental equipment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35,080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30,437</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rental equipment and refurbishments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(225,389)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(117,817)</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Proceeds from sale of property, plant and equipment</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16,438</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Purchase of property, plant and equipment</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(20,253)</w:t>
            </w:r>
          </w:p>
        </w:tc>
        <w:tc>
          <w:tcPr>
            <w:tcW w:w="100" w:type="dxa"/>
            <w:vAlign w:val="bottom"/>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(17,450)</w:t>
            </w:r>
          </w:p>
        </w:tc>
        <w:tc>
          <w:tcPr>
            <w:tcW w:w="0" w:type="dxa"/>
            <w:vAlign w:val="bottom"/>
          </w:tcPr>
          <w:p>
            <w:pPr>
              <w:spacing w:after="0"/>
              <w:rPr>
                <w:sz w:val="1"/>
                <w:szCs w:val="1"/>
                <w:color w:val="auto"/>
              </w:rPr>
            </w:pPr>
          </w:p>
        </w:tc>
      </w:tr>
      <w:tr>
        <w:trPr>
          <w:trHeight w:val="198"/>
        </w:trPr>
        <w:tc>
          <w:tcPr>
            <w:tcW w:w="7500" w:type="dxa"/>
            <w:vAlign w:val="bottom"/>
          </w:tcPr>
          <w:p>
            <w:pPr>
              <w:ind w:left="540"/>
              <w:spacing w:after="0"/>
              <w:rPr>
                <w:sz w:val="20"/>
                <w:szCs w:val="20"/>
                <w:color w:val="auto"/>
              </w:rPr>
            </w:pPr>
            <w:r>
              <w:rPr>
                <w:rFonts w:ascii="Arial" w:cs="Arial" w:eastAsia="Arial" w:hAnsi="Arial"/>
                <w:sz w:val="15"/>
                <w:szCs w:val="15"/>
                <w:color w:val="auto"/>
              </w:rPr>
              <w:t>Net cash used in investing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(313,738)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(88,392)</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Financing activities: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Receipts from issuance of Common Stock from the exercise of options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3,452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5,798</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Repurchase and cancellation of Common Stock and warrants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(319,225)</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(214,299)</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Receipts from borrowings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454,322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387,658</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financing costs</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(8,021)</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Repayment of borrowings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(127,607)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(347,225)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Payment of debt extinguishment premium costs</w:t>
            </w:r>
          </w:p>
        </w:tc>
        <w:tc>
          <w:tcPr>
            <w:tcW w:w="110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(3,705)</w:t>
            </w:r>
          </w:p>
        </w:tc>
        <w:tc>
          <w:tcPr>
            <w:tcW w:w="0" w:type="dxa"/>
            <w:vAlign w:val="bottom"/>
          </w:tcPr>
          <w:p>
            <w:pPr>
              <w:spacing w:after="0"/>
              <w:rPr>
                <w:sz w:val="1"/>
                <w:szCs w:val="1"/>
                <w:color w:val="auto"/>
              </w:rPr>
            </w:pPr>
          </w:p>
        </w:tc>
      </w:tr>
      <w:tr>
        <w:trPr>
          <w:trHeight w:val="205"/>
        </w:trPr>
        <w:tc>
          <w:tcPr>
            <w:tcW w:w="7500" w:type="dxa"/>
            <w:vAlign w:val="bottom"/>
          </w:tcPr>
          <w:p>
            <w:pPr>
              <w:ind w:left="440"/>
              <w:spacing w:after="0"/>
              <w:rPr>
                <w:sz w:val="20"/>
                <w:szCs w:val="20"/>
                <w:color w:val="auto"/>
              </w:rPr>
            </w:pPr>
            <w:r>
              <w:rPr>
                <w:rFonts w:ascii="Arial" w:cs="Arial" w:eastAsia="Arial" w:hAnsi="Arial"/>
                <w:sz w:val="15"/>
                <w:szCs w:val="15"/>
                <w:color w:val="auto"/>
              </w:rPr>
              <w:t>Principal payments on finance lease obligations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(10,353)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(7,921)</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440"/>
              <w:spacing w:after="0"/>
              <w:rPr>
                <w:sz w:val="20"/>
                <w:szCs w:val="20"/>
                <w:color w:val="auto"/>
              </w:rPr>
            </w:pPr>
            <w:r>
              <w:rPr>
                <w:rFonts w:ascii="Arial" w:cs="Arial" w:eastAsia="Arial" w:hAnsi="Arial"/>
                <w:sz w:val="15"/>
                <w:szCs w:val="15"/>
                <w:color w:val="auto"/>
              </w:rPr>
              <w:t>Taxes paid on employee stock awards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(13,370)</w:t>
            </w:r>
          </w:p>
        </w:tc>
        <w:tc>
          <w:tcPr>
            <w:tcW w:w="100" w:type="dxa"/>
            <w:vAlign w:val="bottom"/>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(3,219)</w:t>
            </w:r>
          </w:p>
        </w:tc>
        <w:tc>
          <w:tcPr>
            <w:tcW w:w="0" w:type="dxa"/>
            <w:vAlign w:val="bottom"/>
          </w:tcPr>
          <w:p>
            <w:pPr>
              <w:spacing w:after="0"/>
              <w:rPr>
                <w:sz w:val="1"/>
                <w:szCs w:val="1"/>
                <w:color w:val="auto"/>
              </w:rPr>
            </w:pPr>
          </w:p>
        </w:tc>
      </w:tr>
      <w:tr>
        <w:trPr>
          <w:trHeight w:val="198"/>
        </w:trPr>
        <w:tc>
          <w:tcPr>
            <w:tcW w:w="7500" w:type="dxa"/>
            <w:vAlign w:val="bottom"/>
          </w:tcPr>
          <w:p>
            <w:pPr>
              <w:ind w:left="540"/>
              <w:spacing w:after="0"/>
              <w:rPr>
                <w:sz w:val="20"/>
                <w:szCs w:val="20"/>
                <w:color w:val="auto"/>
              </w:rPr>
            </w:pPr>
            <w:r>
              <w:rPr>
                <w:rFonts w:ascii="Arial" w:cs="Arial" w:eastAsia="Arial" w:hAnsi="Arial"/>
                <w:sz w:val="15"/>
                <w:szCs w:val="15"/>
                <w:color w:val="auto"/>
              </w:rPr>
              <w:t>Net cash used in financing activities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(20,802)</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(182,913)</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 of exchange rate changes on cash and cash equivalents</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(306)</w:t>
            </w:r>
          </w:p>
        </w:tc>
        <w:tc>
          <w:tcPr>
            <w:tcW w:w="100" w:type="dxa"/>
            <w:vAlign w:val="bottom"/>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198"/>
        </w:trPr>
        <w:tc>
          <w:tcPr>
            <w:tcW w:w="7500" w:type="dxa"/>
            <w:vAlign w:val="bottom"/>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(993)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(9,535)</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Cash and cash equivalents at the beginning of the period</w:t>
            </w: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12,699</w:t>
            </w:r>
          </w:p>
        </w:tc>
        <w:tc>
          <w:tcPr>
            <w:tcW w:w="100" w:type="dxa"/>
            <w:vAlign w:val="bottom"/>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24,937</w:t>
            </w:r>
          </w:p>
        </w:tc>
        <w:tc>
          <w:tcPr>
            <w:tcW w:w="0" w:type="dxa"/>
            <w:vAlign w:val="bottom"/>
          </w:tcPr>
          <w:p>
            <w:pPr>
              <w:spacing w:after="0"/>
              <w:rPr>
                <w:sz w:val="1"/>
                <w:szCs w:val="1"/>
                <w:color w:val="auto"/>
              </w:rPr>
            </w:pPr>
          </w:p>
        </w:tc>
      </w:tr>
      <w:tr>
        <w:trPr>
          <w:trHeight w:val="198"/>
        </w:trPr>
        <w:tc>
          <w:tcPr>
            <w:tcW w:w="7500" w:type="dxa"/>
            <w:vAlign w:val="bottom"/>
          </w:tcPr>
          <w:p>
            <w:pPr>
              <w:ind w:left="220"/>
              <w:spacing w:after="0"/>
              <w:rPr>
                <w:sz w:val="20"/>
                <w:szCs w:val="20"/>
                <w:color w:val="auto"/>
              </w:rPr>
            </w:pPr>
            <w:r>
              <w:rPr>
                <w:rFonts w:ascii="Arial" w:cs="Arial" w:eastAsia="Arial" w:hAnsi="Arial"/>
                <w:sz w:val="15"/>
                <w:szCs w:val="15"/>
                <w:color w:val="auto"/>
              </w:rPr>
              <w:t>Cash and cash equivalents at the end of the period</w:t>
            </w: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11,706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15,402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5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500" w:type="dxa"/>
            <w:vAlign w:val="bottom"/>
          </w:tcPr>
          <w:p>
            <w:pPr>
              <w:ind w:left="20"/>
              <w:spacing w:after="0"/>
              <w:rPr>
                <w:sz w:val="20"/>
                <w:szCs w:val="20"/>
                <w:color w:val="auto"/>
              </w:rPr>
            </w:pPr>
            <w:r>
              <w:rPr>
                <w:rFonts w:ascii="Arial" w:cs="Arial" w:eastAsia="Arial" w:hAnsi="Arial"/>
                <w:sz w:val="15"/>
                <w:szCs w:val="15"/>
                <w:color w:val="auto"/>
              </w:rPr>
              <w:t>Supplemental cash flow information:</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line="207" w:lineRule="exact"/>
              <w:rPr>
                <w:sz w:val="20"/>
                <w:szCs w:val="20"/>
                <w:color w:val="auto"/>
              </w:rPr>
            </w:pPr>
            <w:r>
              <w:rPr>
                <w:rFonts w:ascii="Arial" w:cs="Arial" w:eastAsia="Arial" w:hAnsi="Arial"/>
                <w:sz w:val="15"/>
                <w:szCs w:val="15"/>
                <w:color w:val="auto"/>
              </w:rPr>
              <w:t xml:space="preserve">Interest paid </w:t>
            </w:r>
            <w:r>
              <w:rPr>
                <w:rFonts w:ascii="Arial" w:cs="Arial" w:eastAsia="Arial" w:hAnsi="Arial"/>
                <w:sz w:val="20"/>
                <w:szCs w:val="20"/>
                <w:color w:val="auto"/>
                <w:vertAlign w:val="superscript"/>
              </w:rPr>
              <w:t>1</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59,980</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52,053</w:t>
            </w:r>
          </w:p>
        </w:tc>
        <w:tc>
          <w:tcPr>
            <w:tcW w:w="0" w:type="dxa"/>
            <w:vAlign w:val="bottom"/>
          </w:tcPr>
          <w:p>
            <w:pPr>
              <w:spacing w:after="0"/>
              <w:rPr>
                <w:sz w:val="1"/>
                <w:szCs w:val="1"/>
                <w:color w:val="auto"/>
              </w:rPr>
            </w:pPr>
          </w:p>
        </w:tc>
      </w:tr>
      <w:tr>
        <w:trPr>
          <w:trHeight w:val="205"/>
        </w:trPr>
        <w:tc>
          <w:tcPr>
            <w:tcW w:w="7500" w:type="dxa"/>
            <w:vAlign w:val="bottom"/>
          </w:tcPr>
          <w:p>
            <w:pPr>
              <w:ind w:left="220"/>
              <w:spacing w:after="0"/>
              <w:rPr>
                <w:sz w:val="20"/>
                <w:szCs w:val="20"/>
                <w:color w:val="auto"/>
              </w:rPr>
            </w:pPr>
            <w:r>
              <w:rPr>
                <w:rFonts w:ascii="Arial" w:cs="Arial" w:eastAsia="Arial" w:hAnsi="Arial"/>
                <w:sz w:val="15"/>
                <w:szCs w:val="15"/>
                <w:color w:val="auto"/>
              </w:rPr>
              <w:t>Income taxes paid, net</w:t>
            </w: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10,608</w:t>
            </w:r>
          </w:p>
        </w:tc>
        <w:tc>
          <w:tcPr>
            <w:tcW w:w="100" w:type="dxa"/>
            <w:vAlign w:val="bottom"/>
          </w:tcPr>
          <w:p>
            <w:pPr>
              <w:spacing w:after="0"/>
              <w:rPr>
                <w:sz w:val="17"/>
                <w:szCs w:val="17"/>
                <w:color w:val="auto"/>
              </w:rPr>
            </w:pPr>
          </w:p>
        </w:tc>
        <w:tc>
          <w:tcPr>
            <w:tcW w:w="1100" w:type="dxa"/>
            <w:vAlign w:val="bottom"/>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4,383</w:t>
            </w:r>
          </w:p>
        </w:tc>
        <w:tc>
          <w:tcPr>
            <w:tcW w:w="0" w:type="dxa"/>
            <w:vAlign w:val="bottom"/>
          </w:tcPr>
          <w:p>
            <w:pPr>
              <w:spacing w:after="0"/>
              <w:rPr>
                <w:sz w:val="1"/>
                <w:szCs w:val="1"/>
                <w:color w:val="auto"/>
              </w:rPr>
            </w:pPr>
          </w:p>
        </w:tc>
      </w:tr>
      <w:tr>
        <w:trPr>
          <w:trHeight w:val="207"/>
        </w:trPr>
        <w:tc>
          <w:tcPr>
            <w:tcW w:w="75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Capital expenditures accrued or payable</w:t>
            </w: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39,949</w:t>
            </w: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92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19,099</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00" w:hanging="97"/>
        <w:spacing w:after="0"/>
        <w:tabs>
          <w:tab w:leader="none" w:pos="10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Includes $5,948 of payments related to the interest rate swap for the six months ended June 30, 2021.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color w:val="1D2758"/>
        </w:rPr>
        <w:t>WillScot Mobile Mini Holdings Corp.</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2"/>
          <w:szCs w:val="22"/>
          <w:color w:val="1D2758"/>
        </w:rPr>
        <w:t>Notes to the Condensed Consolidated Financial Statements (Unaudited)</w:t>
      </w: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color w:val="1D2758"/>
        </w:rPr>
        <w:t>NOTE 1 - Summary of Significant Accounting Policies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 and Nature of Operations</w:t>
      </w:r>
    </w:p>
    <w:p>
      <w:pPr>
        <w:spacing w:after="0" w:line="6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WillScot Mobile Mini Holdings Corp. (“WillScot Mobile Mini” and, together with its subsidiaries, the “Company”) is a leading business services provider specializing in innovative flexible work space and portable storage solutions in the United States (“US”), Canada, Mexico and the United Kingdom ("UK"). The Company also maintains a fleet of specialty containment products, including liquid and solid containment solutions. The Company leases, sells, delivers and installs mobile solutions and storage products through an integrated network of branch locations that spans North America and the UK.</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Principles of Consolidation</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US Generally Accepted Accounting Principles ("GAAP") for complete financial statements. The accompanying unaudited condensed consolidated financial statements comprise the financial statements of WillScot Mobile Mini and its subsidiaries that it controls due to ownership of a majority voting interest and contain all adjustments, which are of a normal and recurring nature, considered necessary by management to present fairly the financial position, results of operations and cash flows for the interim periods presented.</w:t>
      </w:r>
    </w:p>
    <w:p>
      <w:pPr>
        <w:spacing w:after="0" w:line="6"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Subsidiaries are fully consolidated from the date of acquisition, being the date on which the Company obtains control, and continue to be consolidated until the date when such control ceases. The financial statements of the subsidiaries are prepared for the same reporting period as the Company. All intercompany balances and transactions are eliminated.</w:t>
      </w:r>
    </w:p>
    <w:p>
      <w:pPr>
        <w:jc w:val="both"/>
        <w:ind w:firstLine="619"/>
        <w:spacing w:after="0" w:line="282" w:lineRule="auto"/>
        <w:rPr>
          <w:sz w:val="20"/>
          <w:szCs w:val="20"/>
          <w:color w:val="auto"/>
        </w:rPr>
      </w:pPr>
      <w:r>
        <w:rPr>
          <w:rFonts w:ascii="Arial" w:cs="Arial" w:eastAsia="Arial" w:hAnsi="Arial"/>
          <w:sz w:val="15"/>
          <w:szCs w:val="15"/>
          <w:color w:val="auto"/>
        </w:rPr>
        <w:t>The results of operations for the three and six months ended June 30, 2022 are not necessarily indicative of the results to be expected for the full year. For further information, refer to the consolidated financial statements and notes included in the Company's Annual Report on Form 10-K for the year ended December 31, 2021.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Reclassifications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Certain reclassifications have been made to prior year financial statements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Contracts with Customers </w:t>
      </w:r>
      <w:r>
        <w:rPr>
          <w:rFonts w:ascii="Arial" w:cs="Arial" w:eastAsia="Arial" w:hAnsi="Arial"/>
          <w:sz w:val="15"/>
          <w:szCs w:val="15"/>
          <w:color w:val="auto"/>
        </w:rPr>
        <w:t>("ASU 2021-08"). ASU 2021-08 requires that an acquirer recognize and measure contract assets and liabilities acquired in a business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combination in accordance with ASU 2014-09, </w:t>
      </w:r>
      <w:r>
        <w:rPr>
          <w:rFonts w:ascii="Arial" w:cs="Arial" w:eastAsia="Arial" w:hAnsi="Arial"/>
          <w:sz w:val="15"/>
          <w:szCs w:val="15"/>
          <w:i w:val="1"/>
          <w:iCs w:val="1"/>
          <w:color w:val="auto"/>
        </w:rPr>
        <w:t>Revenue from Contracts with Customers (Topic 606)</w:t>
      </w:r>
      <w:r>
        <w:rPr>
          <w:rFonts w:ascii="Arial" w:cs="Arial" w:eastAsia="Arial" w:hAnsi="Arial"/>
          <w:sz w:val="15"/>
          <w:szCs w:val="15"/>
          <w:color w:val="auto"/>
        </w:rPr>
        <w:t xml:space="preserve"> ("ASC 606"). ASU 2021-08 is effective for annual periods beginning after December 15, 2022, including interim periods therein, with early adoption permitted. The guidance will be applied prospectively to acquisitions occurring on or after the effective date. The Company will continue to evaluate the impact of this guidance, which will depend on the contract assets and liabilities acquired in future business combinations.</w:t>
      </w: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1D2758"/>
        </w:rPr>
        <w:t>NOTE 2 - Acquisitions</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On July 1, 2020, WillScot Corporation (“WillScot”), and Mobile Mini, Inc. (“Mobile Mini”) merged (the “Merger”). Immediately following the Merger, WillScot changed its name to “WillScot Mobile Mini Holdings Corp.”</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Acquisitions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During the second quarter of 2022, the Company acquired certain assets and liabilities of several smaller entities, which consisted primarily of approximately 4,100 storage units and 1,000 modular units for $47.1 million in cash. The accompanying consolidated financial statements include $47.1 million of rental equipment as a result of these acquisitions. During the first quarter of 2022, the Company acquired certain assets and liabilities, which consisted primarily of approximately 400 blast resistant modular units.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Integration Costs</w:t>
      </w:r>
    </w:p>
    <w:p>
      <w:pPr>
        <w:spacing w:after="0" w:line="6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Company recorded $5.2 million and $7.6 million in integration costs related to acquisitions and the Merger within selling, general and administrative ("SG&amp;A") expense during the three months ended June 30, 2022 and 2021, respectively, and $9.3 million and $15.0 million in integration costs related to acquisitions and the Merger during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1D2758"/>
        </w:rPr>
        <w:t>NOTE 3 - 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Disaggregation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Geographic Areas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total revenue in the following geographic areas for the three and six months ended June 30, 2022 and 2021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w:t>
            </w:r>
          </w:p>
        </w:tc>
        <w:tc>
          <w:tcPr>
            <w:tcW w:w="1120" w:type="dxa"/>
            <w:vAlign w:val="bottom"/>
            <w:shd w:val="clear" w:color="auto" w:fill="1D2758"/>
          </w:tcPr>
          <w:p>
            <w:pPr>
              <w:spacing w:after="0"/>
              <w:rPr>
                <w:sz w:val="14"/>
                <w:szCs w:val="14"/>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June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2021</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US</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517,374</w:t>
            </w:r>
          </w:p>
        </w:tc>
        <w:tc>
          <w:tcPr>
            <w:tcW w:w="80" w:type="dxa"/>
            <w:vAlign w:val="bottom"/>
            <w:shd w:val="clear" w:color="auto" w:fill="DBDBDB"/>
          </w:tcPr>
          <w:p>
            <w:pPr>
              <w:spacing w:after="0"/>
              <w:rPr>
                <w:sz w:val="17"/>
                <w:szCs w:val="17"/>
                <w:color w:val="auto"/>
              </w:rPr>
            </w:pPr>
          </w:p>
        </w:tc>
        <w:tc>
          <w:tcPr>
            <w:tcW w:w="740" w:type="dxa"/>
            <w:vAlign w:val="bottom"/>
            <w:shd w:val="clear" w:color="auto" w:fill="DBDBDB"/>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399,280</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969,342</w:t>
            </w:r>
          </w:p>
        </w:tc>
        <w:tc>
          <w:tcPr>
            <w:tcW w:w="100" w:type="dxa"/>
            <w:vAlign w:val="bottom"/>
            <w:shd w:val="clear" w:color="auto" w:fill="DBDBDB"/>
          </w:tcPr>
          <w:p>
            <w:pPr>
              <w:spacing w:after="0"/>
              <w:rPr>
                <w:sz w:val="17"/>
                <w:szCs w:val="17"/>
                <w:color w:val="auto"/>
              </w:rPr>
            </w:pPr>
          </w:p>
        </w:tc>
        <w:tc>
          <w:tcPr>
            <w:tcW w:w="660" w:type="dxa"/>
            <w:vAlign w:val="bottom"/>
            <w:shd w:val="clear" w:color="auto" w:fill="DBDBDB"/>
          </w:tcPr>
          <w:p>
            <w:pPr>
              <w:jc w:val="right"/>
              <w:ind w:right="4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770,549</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Canada</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32,901</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29,543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58,174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53,127</w:t>
            </w: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Mexico</w:t>
            </w:r>
          </w:p>
        </w:tc>
        <w:tc>
          <w:tcPr>
            <w:tcW w:w="42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4,703</w:t>
            </w:r>
          </w:p>
        </w:tc>
        <w:tc>
          <w:tcPr>
            <w:tcW w:w="80" w:type="dxa"/>
            <w:vAlign w:val="bottom"/>
            <w:shd w:val="clear" w:color="auto" w:fill="DBDBDB"/>
          </w:tcPr>
          <w:p>
            <w:pPr>
              <w:spacing w:after="0"/>
              <w:rPr>
                <w:sz w:val="18"/>
                <w:szCs w:val="18"/>
                <w:color w:val="auto"/>
              </w:rPr>
            </w:pPr>
          </w:p>
        </w:tc>
        <w:tc>
          <w:tcPr>
            <w:tcW w:w="740" w:type="dxa"/>
            <w:vAlign w:val="bottom"/>
            <w:shd w:val="clear" w:color="auto" w:fill="DBDBDB"/>
          </w:tcPr>
          <w:p>
            <w:pPr>
              <w:spacing w:after="0"/>
              <w:rPr>
                <w:sz w:val="18"/>
                <w:szCs w:val="18"/>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3,848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8,917</w:t>
            </w:r>
          </w:p>
        </w:tc>
        <w:tc>
          <w:tcPr>
            <w:tcW w:w="10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7,311</w:t>
            </w:r>
          </w:p>
        </w:tc>
      </w:tr>
      <w:tr>
        <w:trPr>
          <w:trHeight w:val="205"/>
        </w:trPr>
        <w:tc>
          <w:tcPr>
            <w:tcW w:w="3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UK</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26,664</w:t>
            </w:r>
          </w:p>
        </w:tc>
        <w:tc>
          <w:tcPr>
            <w:tcW w:w="80" w:type="dxa"/>
            <w:vAlign w:val="bottom"/>
            <w:tcBorders>
              <w:bottom w:val="single" w:sz="8" w:color="DBDBDB"/>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28,431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54,103</w:t>
            </w:r>
          </w:p>
        </w:tc>
        <w:tc>
          <w:tcPr>
            <w:tcW w:w="100" w:type="dxa"/>
            <w:vAlign w:val="bottom"/>
            <w:tcBorders>
              <w:bottom w:val="single" w:sz="8" w:color="DBDBDB"/>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55,438</w:t>
            </w:r>
          </w:p>
        </w:tc>
      </w:tr>
      <w:tr>
        <w:trPr>
          <w:trHeight w:val="225"/>
        </w:trPr>
        <w:tc>
          <w:tcPr>
            <w:tcW w:w="38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581,642</w:t>
            </w:r>
          </w:p>
        </w:tc>
        <w:tc>
          <w:tcPr>
            <w:tcW w:w="80" w:type="dxa"/>
            <w:vAlign w:val="bottom"/>
            <w:tcBorders>
              <w:bottom w:val="single" w:sz="8" w:color="DBDBDB"/>
            </w:tcBorders>
            <w:shd w:val="clear" w:color="auto" w:fill="DBDBDB"/>
          </w:tcPr>
          <w:p>
            <w:pPr>
              <w:spacing w:after="0"/>
              <w:rPr>
                <w:sz w:val="19"/>
                <w:szCs w:val="19"/>
                <w:color w:val="auto"/>
              </w:rPr>
            </w:pPr>
          </w:p>
        </w:tc>
        <w:tc>
          <w:tcPr>
            <w:tcW w:w="74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461,102</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1,090,536</w:t>
            </w:r>
          </w:p>
        </w:tc>
        <w:tc>
          <w:tcPr>
            <w:tcW w:w="100" w:type="dxa"/>
            <w:vAlign w:val="bottom"/>
            <w:tcBorders>
              <w:bottom w:val="single" w:sz="8" w:color="DBDBDB"/>
            </w:tcBorders>
            <w:shd w:val="clear" w:color="auto" w:fill="DBDBDB"/>
          </w:tcPr>
          <w:p>
            <w:pPr>
              <w:spacing w:after="0"/>
              <w:rPr>
                <w:sz w:val="19"/>
                <w:szCs w:val="19"/>
                <w:color w:val="auto"/>
              </w:rPr>
            </w:pPr>
          </w:p>
        </w:tc>
        <w:tc>
          <w:tcPr>
            <w:tcW w:w="66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886,425</w:t>
            </w:r>
          </w:p>
        </w:tc>
      </w:tr>
      <w:tr>
        <w:trPr>
          <w:trHeight w:val="20"/>
        </w:trPr>
        <w:tc>
          <w:tcPr>
            <w:tcW w:w="38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4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Major Product and Service Lines</w:t>
      </w:r>
    </w:p>
    <w:p>
      <w:pPr>
        <w:spacing w:after="0" w:line="7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Equipment leasing is the Company's core business and the primary driver of the Company's revenue and cash flows. This includes modular space, portable storage and tank and pump units along with value-added products and services ("VAPS"), which include furniture, steps, ramps, basic appliances, internet connectivity devices, security products, shelving systems and other items used by customers in connection with the Company's products. Leasing is complemented by new unit sales and sales of rental units. In connection with its leasing and sales activities, the Company provides services including delivery and installation, maintenance and ad hoc services and removal services at the end of lease transactions. The Company’s revenue by major product and service line for the three and six months ended June 30, 2022 and 2021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1D2758"/>
          </w:tcPr>
          <w:p>
            <w:pPr>
              <w:spacing w:after="0"/>
              <w:rPr>
                <w:sz w:val="14"/>
                <w:szCs w:val="14"/>
                <w:color w:val="auto"/>
              </w:rPr>
            </w:pPr>
          </w:p>
        </w:tc>
        <w:tc>
          <w:tcPr>
            <w:tcW w:w="420" w:type="dxa"/>
            <w:vAlign w:val="bottom"/>
            <w:shd w:val="clear" w:color="auto" w:fill="1D2758"/>
          </w:tcPr>
          <w:p>
            <w:pPr>
              <w:spacing w:after="0"/>
              <w:rPr>
                <w:sz w:val="14"/>
                <w:szCs w:val="14"/>
                <w:color w:val="auto"/>
              </w:rPr>
            </w:pPr>
          </w:p>
        </w:tc>
        <w:tc>
          <w:tcPr>
            <w:tcW w:w="22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w:t>
            </w:r>
          </w:p>
        </w:tc>
        <w:tc>
          <w:tcPr>
            <w:tcW w:w="1060" w:type="dxa"/>
            <w:vAlign w:val="bottom"/>
            <w:shd w:val="clear" w:color="auto" w:fill="1D2758"/>
          </w:tcPr>
          <w:p>
            <w:pPr>
              <w:spacing w:after="0"/>
              <w:rPr>
                <w:sz w:val="14"/>
                <w:szCs w:val="14"/>
                <w:color w:val="auto"/>
              </w:rPr>
            </w:pPr>
          </w:p>
        </w:tc>
        <w:tc>
          <w:tcPr>
            <w:tcW w:w="100" w:type="dxa"/>
            <w:vAlign w:val="bottom"/>
            <w:shd w:val="clear" w:color="auto" w:fill="1D2758"/>
          </w:tcPr>
          <w:p>
            <w:pPr>
              <w:spacing w:after="0"/>
              <w:rPr>
                <w:sz w:val="14"/>
                <w:szCs w:val="14"/>
                <w:color w:val="auto"/>
              </w:rPr>
            </w:pPr>
          </w:p>
        </w:tc>
        <w:tc>
          <w:tcPr>
            <w:tcW w:w="400" w:type="dxa"/>
            <w:vAlign w:val="bottom"/>
            <w:shd w:val="clear" w:color="auto" w:fill="1D2758"/>
          </w:tcPr>
          <w:p>
            <w:pPr>
              <w:spacing w:after="0"/>
              <w:rPr>
                <w:sz w:val="14"/>
                <w:szCs w:val="14"/>
                <w:color w:val="auto"/>
              </w:rPr>
            </w:pPr>
          </w:p>
        </w:tc>
        <w:tc>
          <w:tcPr>
            <w:tcW w:w="214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w:t>
            </w:r>
          </w:p>
        </w:tc>
        <w:tc>
          <w:tcPr>
            <w:tcW w:w="1120" w:type="dxa"/>
            <w:vAlign w:val="bottom"/>
            <w:shd w:val="clear" w:color="auto" w:fill="1D2758"/>
          </w:tcPr>
          <w:p>
            <w:pPr>
              <w:spacing w:after="0"/>
              <w:rPr>
                <w:sz w:val="14"/>
                <w:szCs w:val="14"/>
                <w:color w:val="auto"/>
              </w:rPr>
            </w:pPr>
          </w:p>
        </w:tc>
      </w:tr>
      <w:tr>
        <w:trPr>
          <w:trHeight w:val="206"/>
        </w:trPr>
        <w:tc>
          <w:tcPr>
            <w:tcW w:w="38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2200" w:type="dxa"/>
            <w:vAlign w:val="bottom"/>
            <w:gridSpan w:val="3"/>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June 30,</w:t>
            </w:r>
          </w:p>
        </w:tc>
        <w:tc>
          <w:tcPr>
            <w:tcW w:w="106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2140" w:type="dxa"/>
            <w:vAlign w:val="bottom"/>
            <w:gridSpan w:val="3"/>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June 30,</w:t>
            </w:r>
          </w:p>
        </w:tc>
        <w:tc>
          <w:tcPr>
            <w:tcW w:w="1120" w:type="dxa"/>
            <w:vAlign w:val="bottom"/>
            <w:shd w:val="clear" w:color="auto" w:fill="1D2758"/>
          </w:tcPr>
          <w:p>
            <w:pPr>
              <w:spacing w:after="0"/>
              <w:rPr>
                <w:sz w:val="17"/>
                <w:szCs w:val="17"/>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740" w:type="dxa"/>
            <w:vAlign w:val="bottom"/>
            <w:shd w:val="clear" w:color="auto" w:fill="1D2758"/>
          </w:tcPr>
          <w:p>
            <w:pPr>
              <w:spacing w:after="0"/>
              <w:rPr>
                <w:sz w:val="17"/>
                <w:szCs w:val="17"/>
                <w:color w:val="auto"/>
              </w:rPr>
            </w:pPr>
          </w:p>
        </w:tc>
        <w:tc>
          <w:tcPr>
            <w:tcW w:w="10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w w:val="95"/>
              </w:rPr>
              <w:t>2021</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8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66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Modular space leasing revenue</w:t>
            </w:r>
          </w:p>
        </w:tc>
        <w:tc>
          <w:tcPr>
            <w:tcW w:w="420" w:type="dxa"/>
            <w:vAlign w:val="bottom"/>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212,862</w:t>
            </w:r>
          </w:p>
        </w:tc>
        <w:tc>
          <w:tcPr>
            <w:tcW w:w="80" w:type="dxa"/>
            <w:vAlign w:val="bottom"/>
            <w:shd w:val="clear" w:color="auto" w:fill="DDDDDD"/>
          </w:tcPr>
          <w:p>
            <w:pPr>
              <w:spacing w:after="0"/>
              <w:rPr>
                <w:sz w:val="17"/>
                <w:szCs w:val="17"/>
                <w:color w:val="auto"/>
              </w:rPr>
            </w:pPr>
          </w:p>
        </w:tc>
        <w:tc>
          <w:tcPr>
            <w:tcW w:w="740" w:type="dxa"/>
            <w:vAlign w:val="bottom"/>
            <w:shd w:val="clear" w:color="auto" w:fill="DDDDDD"/>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181,376</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411,939</w:t>
            </w:r>
          </w:p>
        </w:tc>
        <w:tc>
          <w:tcPr>
            <w:tcW w:w="100" w:type="dxa"/>
            <w:vAlign w:val="bottom"/>
            <w:shd w:val="clear" w:color="auto" w:fill="DDDDDD"/>
          </w:tcPr>
          <w:p>
            <w:pPr>
              <w:spacing w:after="0"/>
              <w:rPr>
                <w:sz w:val="17"/>
                <w:szCs w:val="17"/>
                <w:color w:val="auto"/>
              </w:rPr>
            </w:pPr>
          </w:p>
        </w:tc>
        <w:tc>
          <w:tcPr>
            <w:tcW w:w="660" w:type="dxa"/>
            <w:vAlign w:val="bottom"/>
            <w:shd w:val="clear" w:color="auto" w:fill="DDDDDD"/>
          </w:tcPr>
          <w:p>
            <w:pPr>
              <w:jc w:val="right"/>
              <w:ind w:right="48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351,328</w:t>
            </w: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Portable storage leasing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88,548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58,848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166,532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113,461</w:t>
            </w:r>
          </w:p>
        </w:tc>
      </w:tr>
      <w:tr>
        <w:trPr>
          <w:trHeight w:val="207"/>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Tank and pump leasing revenue</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20,706</w:t>
            </w: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17,109</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39,937</w:t>
            </w:r>
          </w:p>
        </w:tc>
        <w:tc>
          <w:tcPr>
            <w:tcW w:w="10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32,869</w:t>
            </w:r>
          </w:p>
        </w:tc>
      </w:tr>
      <w:tr>
        <w:trPr>
          <w:trHeight w:val="206"/>
        </w:trPr>
        <w:tc>
          <w:tcPr>
            <w:tcW w:w="3800" w:type="dxa"/>
            <w:vAlign w:val="bottom"/>
          </w:tcPr>
          <w:p>
            <w:pPr>
              <w:ind w:left="20"/>
              <w:spacing w:after="0" w:line="207" w:lineRule="exact"/>
              <w:rPr>
                <w:sz w:val="20"/>
                <w:szCs w:val="20"/>
                <w:color w:val="auto"/>
              </w:rPr>
            </w:pPr>
            <w:r>
              <w:rPr>
                <w:rFonts w:ascii="Arial" w:cs="Arial" w:eastAsia="Arial" w:hAnsi="Arial"/>
                <w:sz w:val="15"/>
                <w:szCs w:val="15"/>
                <w:color w:val="auto"/>
              </w:rPr>
              <w:t>VAPS and third party leasing revenues</w:t>
            </w:r>
            <w:r>
              <w:rPr>
                <w:rFonts w:ascii="Arial" w:cs="Arial" w:eastAsia="Arial" w:hAnsi="Arial"/>
                <w:sz w:val="20"/>
                <w:szCs w:val="20"/>
                <w:color w:val="auto"/>
                <w:vertAlign w:val="superscript"/>
              </w:rPr>
              <w:t>(a)</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87,498</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70,880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168,424</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133,306</w:t>
            </w:r>
          </w:p>
        </w:tc>
      </w:tr>
      <w:tr>
        <w:trPr>
          <w:trHeight w:val="206"/>
        </w:trPr>
        <w:tc>
          <w:tcPr>
            <w:tcW w:w="3800" w:type="dxa"/>
            <w:vAlign w:val="bottom"/>
            <w:shd w:val="clear" w:color="auto" w:fill="DDDDDD"/>
          </w:tcPr>
          <w:p>
            <w:pPr>
              <w:ind w:left="20"/>
              <w:spacing w:after="0" w:line="207" w:lineRule="exact"/>
              <w:rPr>
                <w:sz w:val="20"/>
                <w:szCs w:val="20"/>
                <w:color w:val="auto"/>
              </w:rPr>
            </w:pPr>
            <w:r>
              <w:rPr>
                <w:rFonts w:ascii="Arial" w:cs="Arial" w:eastAsia="Arial" w:hAnsi="Arial"/>
                <w:sz w:val="15"/>
                <w:szCs w:val="15"/>
                <w:color w:val="auto"/>
              </w:rPr>
              <w:t>Other leasing-related revenue</w:t>
            </w:r>
            <w:r>
              <w:rPr>
                <w:rFonts w:ascii="Arial" w:cs="Arial" w:eastAsia="Arial" w:hAnsi="Arial"/>
                <w:sz w:val="20"/>
                <w:szCs w:val="20"/>
                <w:color w:val="auto"/>
                <w:vertAlign w:val="superscript"/>
              </w:rPr>
              <w:t>(b)</w:t>
            </w:r>
          </w:p>
        </w:tc>
        <w:tc>
          <w:tcPr>
            <w:tcW w:w="4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19,006</w:t>
            </w:r>
          </w:p>
        </w:tc>
        <w:tc>
          <w:tcPr>
            <w:tcW w:w="80" w:type="dxa"/>
            <w:vAlign w:val="bottom"/>
            <w:shd w:val="clear" w:color="auto" w:fill="DDDDDD"/>
          </w:tcPr>
          <w:p>
            <w:pPr>
              <w:spacing w:after="0"/>
              <w:rPr>
                <w:sz w:val="17"/>
                <w:szCs w:val="17"/>
                <w:color w:val="auto"/>
              </w:rPr>
            </w:pPr>
          </w:p>
        </w:tc>
        <w:tc>
          <w:tcPr>
            <w:tcW w:w="740" w:type="dxa"/>
            <w:vAlign w:val="bottom"/>
            <w:tcBorders>
              <w:bottom w:val="single" w:sz="8" w:color="auto"/>
            </w:tcBorders>
            <w:shd w:val="clear" w:color="auto" w:fill="DDDDDD"/>
          </w:tcPr>
          <w:p>
            <w:pPr>
              <w:spacing w:after="0"/>
              <w:rPr>
                <w:sz w:val="17"/>
                <w:szCs w:val="17"/>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14,966</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34,980</w:t>
            </w:r>
          </w:p>
        </w:tc>
        <w:tc>
          <w:tcPr>
            <w:tcW w:w="100" w:type="dxa"/>
            <w:vAlign w:val="bottom"/>
            <w:shd w:val="clear" w:color="auto" w:fill="DDDDDD"/>
          </w:tcPr>
          <w:p>
            <w:pPr>
              <w:spacing w:after="0"/>
              <w:rPr>
                <w:sz w:val="17"/>
                <w:szCs w:val="17"/>
                <w:color w:val="auto"/>
              </w:rPr>
            </w:pPr>
          </w:p>
        </w:tc>
        <w:tc>
          <w:tcPr>
            <w:tcW w:w="660" w:type="dxa"/>
            <w:vAlign w:val="bottom"/>
            <w:tcBorders>
              <w:bottom w:val="single" w:sz="8" w:color="auto"/>
            </w:tcBorders>
            <w:shd w:val="clear" w:color="auto" w:fill="DDDDDD"/>
          </w:tcPr>
          <w:p>
            <w:pPr>
              <w:spacing w:after="0"/>
              <w:rPr>
                <w:sz w:val="17"/>
                <w:szCs w:val="17"/>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27,877</w:t>
            </w:r>
          </w:p>
        </w:tc>
      </w:tr>
      <w:tr>
        <w:trPr>
          <w:trHeight w:val="198"/>
        </w:trPr>
        <w:tc>
          <w:tcPr>
            <w:tcW w:w="3800" w:type="dxa"/>
            <w:vAlign w:val="bottom"/>
          </w:tcPr>
          <w:p>
            <w:pPr>
              <w:ind w:left="220"/>
              <w:spacing w:after="0"/>
              <w:rPr>
                <w:sz w:val="20"/>
                <w:szCs w:val="20"/>
                <w:color w:val="auto"/>
              </w:rPr>
            </w:pPr>
            <w:r>
              <w:rPr>
                <w:rFonts w:ascii="Arial" w:cs="Arial" w:eastAsia="Arial" w:hAnsi="Arial"/>
                <w:sz w:val="15"/>
                <w:szCs w:val="15"/>
                <w:color w:val="auto"/>
              </w:rPr>
              <w:t>Leasing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428,620</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343,179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821,812</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658,841</w:t>
            </w:r>
          </w:p>
        </w:tc>
      </w:tr>
      <w:tr>
        <w:trPr>
          <w:trHeight w:val="207"/>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Delivery and installation revenue</w:t>
            </w:r>
          </w:p>
        </w:tc>
        <w:tc>
          <w:tcPr>
            <w:tcW w:w="420" w:type="dxa"/>
            <w:vAlign w:val="bottom"/>
            <w:tcBorders>
              <w:bottom w:val="single" w:sz="8" w:color="auto"/>
            </w:tcBorders>
            <w:shd w:val="clear" w:color="auto" w:fill="DDDDDD"/>
          </w:tcPr>
          <w:p>
            <w:pPr>
              <w:spacing w:after="0"/>
              <w:rPr>
                <w:sz w:val="18"/>
                <w:szCs w:val="18"/>
                <w:color w:val="auto"/>
              </w:rPr>
            </w:pP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125,403</w:t>
            </w:r>
          </w:p>
        </w:tc>
        <w:tc>
          <w:tcPr>
            <w:tcW w:w="80" w:type="dxa"/>
            <w:vAlign w:val="bottom"/>
            <w:shd w:val="clear" w:color="auto" w:fill="DDDDDD"/>
          </w:tcPr>
          <w:p>
            <w:pPr>
              <w:spacing w:after="0"/>
              <w:rPr>
                <w:sz w:val="18"/>
                <w:szCs w:val="18"/>
                <w:color w:val="auto"/>
              </w:rPr>
            </w:pPr>
          </w:p>
        </w:tc>
        <w:tc>
          <w:tcPr>
            <w:tcW w:w="740" w:type="dxa"/>
            <w:vAlign w:val="bottom"/>
            <w:tcBorders>
              <w:bottom w:val="single" w:sz="8" w:color="auto"/>
            </w:tcBorders>
            <w:shd w:val="clear" w:color="auto" w:fill="DDDDDD"/>
          </w:tcPr>
          <w:p>
            <w:pPr>
              <w:spacing w:after="0"/>
              <w:rPr>
                <w:sz w:val="18"/>
                <w:szCs w:val="18"/>
                <w:color w:val="auto"/>
              </w:rPr>
            </w:pP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91,680</w:t>
            </w:r>
          </w:p>
        </w:tc>
        <w:tc>
          <w:tcPr>
            <w:tcW w:w="100" w:type="dxa"/>
            <w:vAlign w:val="bottom"/>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spacing w:after="0"/>
              <w:rPr>
                <w:sz w:val="18"/>
                <w:szCs w:val="18"/>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225,734</w:t>
            </w:r>
          </w:p>
        </w:tc>
        <w:tc>
          <w:tcPr>
            <w:tcW w:w="100" w:type="dxa"/>
            <w:vAlign w:val="bottom"/>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spacing w:after="0"/>
              <w:rPr>
                <w:sz w:val="18"/>
                <w:szCs w:val="18"/>
                <w:color w:val="auto"/>
              </w:rPr>
            </w:pP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175,184</w:t>
            </w:r>
          </w:p>
        </w:tc>
      </w:tr>
      <w:tr>
        <w:trPr>
          <w:trHeight w:val="198"/>
        </w:trPr>
        <w:tc>
          <w:tcPr>
            <w:tcW w:w="3800" w:type="dxa"/>
            <w:vAlign w:val="bottom"/>
          </w:tcPr>
          <w:p>
            <w:pPr>
              <w:ind w:left="220"/>
              <w:spacing w:after="0"/>
              <w:rPr>
                <w:sz w:val="20"/>
                <w:szCs w:val="20"/>
                <w:color w:val="auto"/>
              </w:rPr>
            </w:pPr>
            <w:r>
              <w:rPr>
                <w:rFonts w:ascii="Arial" w:cs="Arial" w:eastAsia="Arial" w:hAnsi="Arial"/>
                <w:sz w:val="15"/>
                <w:szCs w:val="15"/>
                <w:color w:val="auto"/>
              </w:rPr>
              <w:t>Total leasing and services revenue</w:t>
            </w:r>
          </w:p>
        </w:tc>
        <w:tc>
          <w:tcPr>
            <w:tcW w:w="420" w:type="dxa"/>
            <w:vAlign w:val="bottom"/>
          </w:tcPr>
          <w:p>
            <w:pPr>
              <w:spacing w:after="0"/>
              <w:rPr>
                <w:sz w:val="17"/>
                <w:szCs w:val="17"/>
                <w:color w:val="auto"/>
              </w:rPr>
            </w:pPr>
          </w:p>
        </w:tc>
        <w:tc>
          <w:tcPr>
            <w:tcW w:w="1380" w:type="dxa"/>
            <w:vAlign w:val="bottom"/>
          </w:tcPr>
          <w:p>
            <w:pPr>
              <w:jc w:val="right"/>
              <w:ind w:right="3"/>
              <w:spacing w:after="0"/>
              <w:rPr>
                <w:sz w:val="20"/>
                <w:szCs w:val="20"/>
                <w:color w:val="auto"/>
              </w:rPr>
            </w:pPr>
            <w:r>
              <w:rPr>
                <w:rFonts w:ascii="Arial" w:cs="Arial" w:eastAsia="Arial" w:hAnsi="Arial"/>
                <w:sz w:val="15"/>
                <w:szCs w:val="15"/>
                <w:color w:val="auto"/>
              </w:rPr>
              <w:t>554,023</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434,859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1,047,546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834,025</w:t>
            </w:r>
          </w:p>
        </w:tc>
      </w:tr>
      <w:tr>
        <w:trPr>
          <w:trHeight w:val="207"/>
        </w:trPr>
        <w:tc>
          <w:tcPr>
            <w:tcW w:w="3800" w:type="dxa"/>
            <w:vAlign w:val="bottom"/>
            <w:shd w:val="clear" w:color="auto" w:fill="DDDDDD"/>
          </w:tcPr>
          <w:p>
            <w:pPr>
              <w:ind w:left="20"/>
              <w:spacing w:after="0"/>
              <w:rPr>
                <w:sz w:val="20"/>
                <w:szCs w:val="20"/>
                <w:color w:val="auto"/>
              </w:rPr>
            </w:pPr>
            <w:r>
              <w:rPr>
                <w:rFonts w:ascii="Arial" w:cs="Arial" w:eastAsia="Arial" w:hAnsi="Arial"/>
                <w:sz w:val="15"/>
                <w:szCs w:val="15"/>
                <w:color w:val="auto"/>
              </w:rPr>
              <w:t>New unit sales revenue</w:t>
            </w:r>
          </w:p>
        </w:tc>
        <w:tc>
          <w:tcPr>
            <w:tcW w:w="4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11,094</w:t>
            </w:r>
          </w:p>
        </w:tc>
        <w:tc>
          <w:tcPr>
            <w:tcW w:w="80" w:type="dxa"/>
            <w:vAlign w:val="bottom"/>
            <w:shd w:val="clear" w:color="auto" w:fill="DDDDDD"/>
          </w:tcPr>
          <w:p>
            <w:pPr>
              <w:spacing w:after="0"/>
              <w:rPr>
                <w:sz w:val="18"/>
                <w:szCs w:val="18"/>
                <w:color w:val="auto"/>
              </w:rPr>
            </w:pPr>
          </w:p>
        </w:tc>
        <w:tc>
          <w:tcPr>
            <w:tcW w:w="740" w:type="dxa"/>
            <w:vAlign w:val="bottom"/>
            <w:shd w:val="clear" w:color="auto" w:fill="DDDDDD"/>
          </w:tcPr>
          <w:p>
            <w:pPr>
              <w:spacing w:after="0"/>
              <w:rPr>
                <w:sz w:val="18"/>
                <w:szCs w:val="18"/>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11,008</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17,691</w:t>
            </w:r>
          </w:p>
        </w:tc>
        <w:tc>
          <w:tcPr>
            <w:tcW w:w="10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21,963</w:t>
            </w:r>
          </w:p>
        </w:tc>
      </w:tr>
      <w:tr>
        <w:trPr>
          <w:trHeight w:val="205"/>
        </w:trPr>
        <w:tc>
          <w:tcPr>
            <w:tcW w:w="3800" w:type="dxa"/>
            <w:vAlign w:val="bottom"/>
            <w:tcBorders>
              <w:bottom w:val="single" w:sz="8" w:color="DDDDDD"/>
            </w:tcBorders>
          </w:tcPr>
          <w:p>
            <w:pPr>
              <w:ind w:left="20"/>
              <w:spacing w:after="0"/>
              <w:rPr>
                <w:sz w:val="20"/>
                <w:szCs w:val="20"/>
                <w:color w:val="auto"/>
              </w:rPr>
            </w:pPr>
            <w:r>
              <w:rPr>
                <w:rFonts w:ascii="Arial" w:cs="Arial" w:eastAsia="Arial" w:hAnsi="Arial"/>
                <w:sz w:val="15"/>
                <w:szCs w:val="15"/>
                <w:color w:val="auto"/>
              </w:rPr>
              <w:t>Rental unit sales revenue</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16,525</w:t>
            </w:r>
          </w:p>
        </w:tc>
        <w:tc>
          <w:tcPr>
            <w:tcW w:w="80" w:type="dxa"/>
            <w:vAlign w:val="bottom"/>
            <w:tcBorders>
              <w:bottom w:val="single" w:sz="8" w:color="DDDDDD"/>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15,235</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25,299</w:t>
            </w:r>
          </w:p>
        </w:tc>
        <w:tc>
          <w:tcPr>
            <w:tcW w:w="100" w:type="dxa"/>
            <w:vAlign w:val="bottom"/>
            <w:tcBorders>
              <w:bottom w:val="single" w:sz="8" w:color="DDDDDD"/>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30,437</w:t>
            </w:r>
          </w:p>
        </w:tc>
      </w:tr>
      <w:tr>
        <w:trPr>
          <w:trHeight w:val="225"/>
        </w:trPr>
        <w:tc>
          <w:tcPr>
            <w:tcW w:w="3800" w:type="dxa"/>
            <w:vAlign w:val="bottom"/>
            <w:tcBorders>
              <w:bottom w:val="single" w:sz="8" w:color="DDDDDD"/>
            </w:tcBorders>
            <w:shd w:val="clear" w:color="auto" w:fill="DDDDDD"/>
          </w:tcPr>
          <w:p>
            <w:pPr>
              <w:ind w:left="320"/>
              <w:spacing w:after="0"/>
              <w:rPr>
                <w:sz w:val="20"/>
                <w:szCs w:val="20"/>
                <w:color w:val="auto"/>
              </w:rPr>
            </w:pPr>
            <w:r>
              <w:rPr>
                <w:rFonts w:ascii="Arial" w:cs="Arial" w:eastAsia="Arial" w:hAnsi="Arial"/>
                <w:sz w:val="15"/>
                <w:szCs w:val="15"/>
                <w:color w:val="auto"/>
              </w:rPr>
              <w:t>Total revenues</w:t>
            </w:r>
          </w:p>
        </w:tc>
        <w:tc>
          <w:tcPr>
            <w:tcW w:w="420" w:type="dxa"/>
            <w:vAlign w:val="bottom"/>
            <w:tcBorders>
              <w:bottom w:val="single" w:sz="8" w:color="auto"/>
            </w:tcBorders>
            <w:shd w:val="clear" w:color="auto" w:fill="DDDDDD"/>
          </w:tcPr>
          <w:p>
            <w:pPr>
              <w:jc w:val="right"/>
              <w:ind w:right="24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581,642</w:t>
            </w:r>
          </w:p>
        </w:tc>
        <w:tc>
          <w:tcPr>
            <w:tcW w:w="80" w:type="dxa"/>
            <w:vAlign w:val="bottom"/>
            <w:tcBorders>
              <w:bottom w:val="single" w:sz="8" w:color="DDDDDD"/>
            </w:tcBorders>
            <w:shd w:val="clear" w:color="auto" w:fill="DDDDDD"/>
          </w:tcPr>
          <w:p>
            <w:pPr>
              <w:spacing w:after="0"/>
              <w:rPr>
                <w:sz w:val="19"/>
                <w:szCs w:val="19"/>
                <w:color w:val="auto"/>
              </w:rPr>
            </w:pPr>
          </w:p>
        </w:tc>
        <w:tc>
          <w:tcPr>
            <w:tcW w:w="740" w:type="dxa"/>
            <w:vAlign w:val="bottom"/>
            <w:tcBorders>
              <w:bottom w:val="single" w:sz="8" w:color="auto"/>
            </w:tcBorders>
            <w:shd w:val="clear" w:color="auto" w:fill="DDDDDD"/>
          </w:tcPr>
          <w:p>
            <w:pPr>
              <w:jc w:val="right"/>
              <w:ind w:right="543"/>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461,102</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1,090,536</w:t>
            </w:r>
          </w:p>
        </w:tc>
        <w:tc>
          <w:tcPr>
            <w:tcW w:w="100" w:type="dxa"/>
            <w:vAlign w:val="bottom"/>
            <w:tcBorders>
              <w:bottom w:val="single" w:sz="8" w:color="DDDDDD"/>
            </w:tcBorders>
            <w:shd w:val="clear" w:color="auto" w:fill="DDDDDD"/>
          </w:tcPr>
          <w:p>
            <w:pPr>
              <w:spacing w:after="0"/>
              <w:rPr>
                <w:sz w:val="19"/>
                <w:szCs w:val="19"/>
                <w:color w:val="auto"/>
              </w:rPr>
            </w:pPr>
          </w:p>
        </w:tc>
        <w:tc>
          <w:tcPr>
            <w:tcW w:w="660" w:type="dxa"/>
            <w:vAlign w:val="bottom"/>
            <w:tcBorders>
              <w:bottom w:val="single" w:sz="8" w:color="auto"/>
            </w:tcBorders>
            <w:shd w:val="clear" w:color="auto" w:fill="DDDDDD"/>
          </w:tcPr>
          <w:p>
            <w:pPr>
              <w:jc w:val="right"/>
              <w:ind w:right="483"/>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886,425</w:t>
            </w:r>
          </w:p>
        </w:tc>
      </w:tr>
      <w:tr>
        <w:trPr>
          <w:trHeight w:val="20"/>
        </w:trPr>
        <w:tc>
          <w:tcPr>
            <w:tcW w:w="3800" w:type="dxa"/>
            <w:vAlign w:val="bottom"/>
            <w:tcBorders>
              <w:top w:val="single" w:sz="8" w:color="DDDDDD"/>
            </w:tcBorders>
          </w:tcPr>
          <w:p>
            <w:pPr>
              <w:spacing w:after="0" w:line="20" w:lineRule="exact"/>
              <w:rPr>
                <w:sz w:val="1"/>
                <w:szCs w:val="1"/>
                <w:color w:val="auto"/>
              </w:rPr>
            </w:pPr>
          </w:p>
        </w:tc>
        <w:tc>
          <w:tcPr>
            <w:tcW w:w="42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740" w:type="dxa"/>
            <w:vAlign w:val="bottom"/>
            <w:tcBorders>
              <w:top w:val="single" w:sz="8" w:color="DDDDDD"/>
              <w:bottom w:val="single" w:sz="8" w:color="auto"/>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w:t>
      </w:r>
    </w:p>
    <w:p>
      <w:pPr>
        <w:ind w:left="480" w:right="20"/>
        <w:spacing w:after="0" w:line="221" w:lineRule="auto"/>
        <w:rPr>
          <w:sz w:val="20"/>
          <w:szCs w:val="20"/>
          <w:color w:val="auto"/>
        </w:rPr>
      </w:pPr>
      <w:r>
        <w:rPr>
          <w:rFonts w:ascii="Arial" w:cs="Arial" w:eastAsia="Arial" w:hAnsi="Arial"/>
          <w:sz w:val="14"/>
          <w:szCs w:val="14"/>
          <w:color w:val="auto"/>
        </w:rPr>
        <w:t>Includes $6.8 million and $7.8 million of service revenue for the three months ended June 30, 2022 and 2021, respectively, and $14.3 million and $14.0 million of service revenue for the six months ended June 30, 2022 and 2021, respectively.</w:t>
      </w:r>
    </w:p>
    <w:p>
      <w:pPr>
        <w:spacing w:after="0" w:line="14" w:lineRule="exact"/>
        <w:rPr>
          <w:sz w:val="20"/>
          <w:szCs w:val="20"/>
          <w:color w:val="auto"/>
        </w:rPr>
      </w:pPr>
    </w:p>
    <w:p>
      <w:pPr>
        <w:ind w:left="480" w:hanging="460"/>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Leasing and Services Revenue</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majority of revenue (73% and 74% for the three and six months ended June 30, 2022, respectively, and 73% for both the three and six months ended</w:t>
      </w:r>
    </w:p>
    <w:p>
      <w:pPr>
        <w:spacing w:after="0" w:line="6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 xml:space="preserve">June 30, 2021) was generated by rental income subject to the guidance of ASU 2018-11, </w:t>
      </w:r>
      <w:r>
        <w:rPr>
          <w:rFonts w:ascii="Arial" w:cs="Arial" w:eastAsia="Arial" w:hAnsi="Arial"/>
          <w:sz w:val="15"/>
          <w:szCs w:val="15"/>
          <w:i w:val="1"/>
          <w:iCs w:val="1"/>
          <w:color w:val="auto"/>
        </w:rPr>
        <w:t>Leases (Topic 842)</w:t>
      </w:r>
      <w:r>
        <w:rPr>
          <w:rFonts w:ascii="Arial" w:cs="Arial" w:eastAsia="Arial" w:hAnsi="Arial"/>
          <w:sz w:val="15"/>
          <w:szCs w:val="15"/>
          <w:color w:val="auto"/>
        </w:rPr>
        <w:t xml:space="preserve"> ("ASC 842"). The remaining revenue was generated by performance obligations in contracts with customers for services or sale of units subject to the guidance in ASC 606.</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and Credit Losses</w:t>
      </w:r>
    </w:p>
    <w:p>
      <w:pPr>
        <w:spacing w:after="0" w:line="6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is exposed to credit losses from trade receivables and manages credit risk at the customer level. Because the same customers generate the revenues that are accounted for under both ASC 606 and ASC 842, the discussions below on credit risk and the Company's allowance for credit losses address the Company's total revenues.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0" w:name="page11"/>
    <w:bookmarkEnd w:id="10"/>
    <w:p>
      <w:pPr>
        <w:jc w:val="both"/>
        <w:spacing w:after="0" w:line="294" w:lineRule="auto"/>
        <w:rPr>
          <w:sz w:val="20"/>
          <w:szCs w:val="20"/>
          <w:color w:val="auto"/>
        </w:rPr>
      </w:pPr>
      <w:r>
        <w:rPr>
          <w:rFonts w:ascii="Arial" w:cs="Arial" w:eastAsia="Arial" w:hAnsi="Arial"/>
          <w:sz w:val="15"/>
          <w:szCs w:val="15"/>
          <w:color w:val="auto"/>
        </w:rPr>
        <w:t>Concentration of credit risk with respect to the Company's receivables is limited because of a large number of geographically diverse customers who operate in a variety of end user markets.</w:t>
      </w:r>
    </w:p>
    <w:p>
      <w:pPr>
        <w:spacing w:after="0" w:line="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assesses each customer’s ability to pay for the products it leases or sells by conducting a credit review that considers expected billing exposure, timing for payment and the customer’s established credit rating. The Company performs its credit review of new customers at inception of the customer relationship and for existing customers when the customer transacts after a defined period of dormancy. The Company also considers contract terms and conditions, country risk and business strategy in the evaluation.</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monitors ongoing credit exposure through an active review of customer balances against contract terms and due dates. The Company may employ collection agencies and legal counsel to pursue recovery of defaulted receivables. The allowance for credit losses reflects the estimate of the amount of receivables that the Company will be unable to collect based on historical collection experience and, as applicable, current conditions and reasonable and supportable forecasts that affect collectability. The Company's estimate reflects changing circumstances, including changes in the economy or in the particular circumstances of individual customers. Accordingly, the Company may be required to increase or decrease its allowance.</w:t>
      </w:r>
    </w:p>
    <w:p>
      <w:pPr>
        <w:spacing w:after="0" w:line="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Activity in the allowance for credit losses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40" w:type="dxa"/>
            <w:vAlign w:val="bottom"/>
            <w:shd w:val="clear" w:color="auto" w:fill="1D2758"/>
          </w:tcPr>
          <w:p>
            <w:pPr>
              <w:spacing w:after="0"/>
              <w:rPr>
                <w:sz w:val="17"/>
                <w:szCs w:val="17"/>
                <w:color w:val="auto"/>
              </w:rPr>
            </w:pPr>
          </w:p>
        </w:tc>
        <w:tc>
          <w:tcPr>
            <w:tcW w:w="2980" w:type="dxa"/>
            <w:vAlign w:val="bottom"/>
            <w:gridSpan w:val="4"/>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Three Months Ended June 30,</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200" w:type="dxa"/>
            <w:vAlign w:val="bottom"/>
            <w:gridSpan w:val="4"/>
            <w:shd w:val="clear" w:color="auto" w:fill="1D2758"/>
          </w:tcPr>
          <w:p>
            <w:pPr>
              <w:jc w:val="right"/>
              <w:ind w:right="723"/>
              <w:spacing w:after="0"/>
              <w:rPr>
                <w:sz w:val="20"/>
                <w:szCs w:val="20"/>
                <w:color w:val="auto"/>
              </w:rPr>
            </w:pPr>
            <w:r>
              <w:rPr>
                <w:rFonts w:ascii="Arial" w:cs="Arial" w:eastAsia="Arial" w:hAnsi="Arial"/>
                <w:sz w:val="15"/>
                <w:szCs w:val="15"/>
                <w:b w:val="1"/>
                <w:bCs w:val="1"/>
                <w:color w:val="FFFFFF"/>
              </w:rPr>
              <w:t>Six Months Ended June 30,</w:t>
            </w:r>
          </w:p>
        </w:tc>
      </w:tr>
      <w:tr>
        <w:trPr>
          <w:trHeight w:val="206"/>
        </w:trPr>
        <w:tc>
          <w:tcPr>
            <w:tcW w:w="39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120" w:type="dxa"/>
            <w:vAlign w:val="bottom"/>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2022</w:t>
            </w:r>
          </w:p>
        </w:tc>
        <w:tc>
          <w:tcPr>
            <w:tcW w:w="62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140" w:type="dxa"/>
            <w:vAlign w:val="bottom"/>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2021</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r>
      <w:tr>
        <w:trPr>
          <w:trHeight w:val="206"/>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beginning of period</w:t>
            </w:r>
          </w:p>
        </w:tc>
        <w:tc>
          <w:tcPr>
            <w:tcW w:w="1120" w:type="dxa"/>
            <w:vAlign w:val="bottom"/>
            <w:shd w:val="clear" w:color="auto" w:fill="DDDDDD"/>
          </w:tcPr>
          <w:p>
            <w:pPr>
              <w:jc w:val="right"/>
              <w:ind w:right="94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49,258</w:t>
            </w:r>
          </w:p>
        </w:tc>
        <w:tc>
          <w:tcPr>
            <w:tcW w:w="100" w:type="dxa"/>
            <w:vAlign w:val="bottom"/>
            <w:shd w:val="clear" w:color="auto" w:fill="DDDDDD"/>
          </w:tcPr>
          <w:p>
            <w:pPr>
              <w:spacing w:after="0"/>
              <w:rPr>
                <w:sz w:val="17"/>
                <w:szCs w:val="17"/>
                <w:color w:val="auto"/>
              </w:rPr>
            </w:pPr>
          </w:p>
        </w:tc>
        <w:tc>
          <w:tcPr>
            <w:tcW w:w="1140" w:type="dxa"/>
            <w:vAlign w:val="bottom"/>
            <w:shd w:val="clear" w:color="auto" w:fill="DDDDDD"/>
          </w:tcPr>
          <w:p>
            <w:pPr>
              <w:jc w:val="right"/>
              <w:ind w:right="963"/>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31,630</w:t>
            </w:r>
          </w:p>
        </w:tc>
        <w:tc>
          <w:tcPr>
            <w:tcW w:w="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47,629</w:t>
            </w:r>
          </w:p>
        </w:tc>
        <w:tc>
          <w:tcPr>
            <w:tcW w:w="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29,258</w:t>
            </w:r>
          </w:p>
        </w:tc>
      </w:tr>
      <w:tr>
        <w:trPr>
          <w:trHeight w:val="205"/>
        </w:trPr>
        <w:tc>
          <w:tcPr>
            <w:tcW w:w="3940" w:type="dxa"/>
            <w:vAlign w:val="bottom"/>
          </w:tcPr>
          <w:p>
            <w:pPr>
              <w:ind w:left="20"/>
              <w:spacing w:after="0"/>
              <w:rPr>
                <w:sz w:val="20"/>
                <w:szCs w:val="20"/>
                <w:color w:val="auto"/>
              </w:rPr>
            </w:pPr>
            <w:r>
              <w:rPr>
                <w:rFonts w:ascii="Arial" w:cs="Arial" w:eastAsia="Arial" w:hAnsi="Arial"/>
                <w:sz w:val="15"/>
                <w:szCs w:val="15"/>
                <w:color w:val="auto"/>
              </w:rPr>
              <w:t>Provision for credit losses, net of recoveries</w:t>
            </w:r>
          </w:p>
        </w:tc>
        <w:tc>
          <w:tcPr>
            <w:tcW w:w="1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10,264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jc w:val="right"/>
              <w:ind w:right="3"/>
              <w:spacing w:after="0"/>
              <w:rPr>
                <w:sz w:val="20"/>
                <w:szCs w:val="20"/>
                <w:color w:val="auto"/>
              </w:rPr>
            </w:pPr>
            <w:r>
              <w:rPr>
                <w:rFonts w:ascii="Arial" w:cs="Arial" w:eastAsia="Arial" w:hAnsi="Arial"/>
                <w:sz w:val="15"/>
                <w:szCs w:val="15"/>
                <w:color w:val="auto"/>
              </w:rPr>
              <w:t>8,390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color w:val="auto"/>
              </w:rPr>
              <w:t>18,865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16,910</w:t>
            </w:r>
          </w:p>
        </w:tc>
      </w:tr>
      <w:tr>
        <w:trPr>
          <w:trHeight w:val="207"/>
        </w:trPr>
        <w:tc>
          <w:tcPr>
            <w:tcW w:w="3940" w:type="dxa"/>
            <w:vAlign w:val="bottom"/>
            <w:shd w:val="clear" w:color="auto" w:fill="DBDBDB"/>
          </w:tcPr>
          <w:p>
            <w:pPr>
              <w:ind w:left="20"/>
              <w:spacing w:after="0"/>
              <w:rPr>
                <w:sz w:val="20"/>
                <w:szCs w:val="20"/>
                <w:color w:val="auto"/>
              </w:rPr>
            </w:pPr>
            <w:r>
              <w:rPr>
                <w:rFonts w:ascii="Arial" w:cs="Arial" w:eastAsia="Arial" w:hAnsi="Arial"/>
                <w:sz w:val="15"/>
                <w:szCs w:val="15"/>
                <w:color w:val="auto"/>
              </w:rPr>
              <w:t>Write-offs</w:t>
            </w:r>
          </w:p>
        </w:tc>
        <w:tc>
          <w:tcPr>
            <w:tcW w:w="1120" w:type="dxa"/>
            <w:vAlign w:val="bottom"/>
            <w:shd w:val="clear" w:color="auto" w:fill="DDDDDD"/>
          </w:tcPr>
          <w:p>
            <w:pPr>
              <w:spacing w:after="0"/>
              <w:rPr>
                <w:sz w:val="18"/>
                <w:szCs w:val="18"/>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(5,900)</w:t>
            </w:r>
          </w:p>
        </w:tc>
        <w:tc>
          <w:tcPr>
            <w:tcW w:w="100" w:type="dxa"/>
            <w:vAlign w:val="bottom"/>
            <w:shd w:val="clear" w:color="auto" w:fill="DDDDDD"/>
          </w:tcPr>
          <w:p>
            <w:pPr>
              <w:spacing w:after="0"/>
              <w:rPr>
                <w:sz w:val="18"/>
                <w:szCs w:val="18"/>
                <w:color w:val="auto"/>
              </w:rPr>
            </w:pPr>
          </w:p>
        </w:tc>
        <w:tc>
          <w:tcPr>
            <w:tcW w:w="1140" w:type="dxa"/>
            <w:vAlign w:val="bottom"/>
            <w:shd w:val="clear" w:color="auto" w:fill="DDDDDD"/>
          </w:tcPr>
          <w:p>
            <w:pPr>
              <w:spacing w:after="0"/>
              <w:rPr>
                <w:sz w:val="18"/>
                <w:szCs w:val="18"/>
                <w:color w:val="auto"/>
              </w:rPr>
            </w:pPr>
          </w:p>
        </w:tc>
        <w:tc>
          <w:tcPr>
            <w:tcW w:w="6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(4,058)</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(12,910)</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(9,872)</w:t>
            </w:r>
          </w:p>
        </w:tc>
      </w:tr>
      <w:tr>
        <w:trPr>
          <w:trHeight w:val="205"/>
        </w:trPr>
        <w:tc>
          <w:tcPr>
            <w:tcW w:w="39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Foreign currency translation and other</w:t>
            </w:r>
          </w:p>
        </w:tc>
        <w:tc>
          <w:tcPr>
            <w:tcW w:w="1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w:t>
            </w:r>
          </w:p>
        </w:tc>
        <w:tc>
          <w:tcPr>
            <w:tcW w:w="100" w:type="dxa"/>
            <w:vAlign w:val="bottom"/>
            <w:tcBorders>
              <w:bottom w:val="single" w:sz="8" w:color="DDDDDD"/>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823</w:t>
            </w:r>
          </w:p>
        </w:tc>
        <w:tc>
          <w:tcPr>
            <w:tcW w:w="8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w:t>
            </w:r>
          </w:p>
        </w:tc>
        <w:tc>
          <w:tcPr>
            <w:tcW w:w="8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489</w:t>
            </w:r>
          </w:p>
        </w:tc>
      </w:tr>
      <w:tr>
        <w:trPr>
          <w:trHeight w:val="224"/>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end of period</w:t>
            </w:r>
          </w:p>
        </w:tc>
        <w:tc>
          <w:tcPr>
            <w:tcW w:w="1120" w:type="dxa"/>
            <w:vAlign w:val="bottom"/>
            <w:tcBorders>
              <w:bottom w:val="single" w:sz="8" w:color="auto"/>
            </w:tcBorders>
            <w:shd w:val="clear" w:color="auto" w:fill="DDDDDD"/>
          </w:tcPr>
          <w:p>
            <w:pPr>
              <w:jc w:val="right"/>
              <w:ind w:right="94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53,544</w:t>
            </w:r>
          </w:p>
        </w:tc>
        <w:tc>
          <w:tcPr>
            <w:tcW w:w="100" w:type="dxa"/>
            <w:vAlign w:val="bottom"/>
            <w:tcBorders>
              <w:bottom w:val="single" w:sz="8" w:color="DDDDDD"/>
            </w:tcBorders>
            <w:shd w:val="clear" w:color="auto" w:fill="DDDDDD"/>
          </w:tcPr>
          <w:p>
            <w:pPr>
              <w:spacing w:after="0"/>
              <w:rPr>
                <w:sz w:val="19"/>
                <w:szCs w:val="19"/>
                <w:color w:val="auto"/>
              </w:rPr>
            </w:pPr>
          </w:p>
        </w:tc>
        <w:tc>
          <w:tcPr>
            <w:tcW w:w="1140" w:type="dxa"/>
            <w:vAlign w:val="bottom"/>
            <w:tcBorders>
              <w:bottom w:val="single" w:sz="8" w:color="auto"/>
            </w:tcBorders>
            <w:shd w:val="clear" w:color="auto" w:fill="DDDDDD"/>
          </w:tcPr>
          <w:p>
            <w:pPr>
              <w:jc w:val="right"/>
              <w:ind w:right="963"/>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36,785</w:t>
            </w:r>
          </w:p>
        </w:tc>
        <w:tc>
          <w:tcPr>
            <w:tcW w:w="8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53,544</w:t>
            </w:r>
          </w:p>
        </w:tc>
        <w:tc>
          <w:tcPr>
            <w:tcW w:w="8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auto"/>
            </w:tcBorders>
            <w:shd w:val="clear" w:color="auto" w:fill="DDDDDD"/>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36,785</w:t>
            </w:r>
          </w:p>
        </w:tc>
      </w:tr>
      <w:tr>
        <w:trPr>
          <w:trHeight w:val="20"/>
        </w:trPr>
        <w:tc>
          <w:tcPr>
            <w:tcW w:w="394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14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8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Assets and Liabilities</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When customers are billed in advance for services, the Company defers recognition of revenue until the related services are performed, which generally occurs at the end of the contract. The balance sheet classification of deferred revenue is determined based on the contractual lease term. For contracts that continue beyond their initial contractual lease term, revenue continues to be deferred until the services are performed. During the three months ended June 30, 2022, deferred revenue relating to services billed in advance of $20.7 million was recognized as revenue. As of June 30, 2022 and December 31, 2021, the Company had approximately $95.7 million and $79.4 million, respectively, of deferred revenue related to these services.</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does not have material contract assets and it did not recognize any material impairments of contract assets. The Company's uncompleted contracts with customers have unsatisfied (or partially satisfied) performance obligations. For the future services revenues that are expected to be recognized within twelve months, the Company has elected to utilize the optional disclosure exemption made available regarding transaction price allocated to unsatisfied (or partially unsatisfied) performance obligations. The transaction price for performance obligations that will be completed in greater than twelve months is variable based on the costs ultimately incurred to provide those services and therefore the Company is applying the optional expedient to omit disclosure of such amounts.</w:t>
      </w:r>
    </w:p>
    <w:p>
      <w:pPr>
        <w:spacing w:after="0" w:line="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primary costs to obtain contracts for new and rental unit sales with the Company's customers are commissions. The Company pays its sales force commissions on the sale of new and rental units. For new and rental unit sales, the period benefited by each commission is less than one year; therefore, the commissions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1D2758"/>
        </w:rPr>
        <w:t>NOTE 4 - Leases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760" w:type="dxa"/>
            <w:vAlign w:val="bottom"/>
            <w:gridSpan w:val="4"/>
          </w:tcPr>
          <w:p>
            <w:pPr>
              <w:ind w:left="620"/>
              <w:spacing w:after="0"/>
              <w:rPr>
                <w:sz w:val="20"/>
                <w:szCs w:val="20"/>
                <w:color w:val="auto"/>
              </w:rPr>
            </w:pPr>
            <w:r>
              <w:rPr>
                <w:rFonts w:ascii="Arial" w:cs="Arial" w:eastAsia="Arial" w:hAnsi="Arial"/>
                <w:sz w:val="15"/>
                <w:szCs w:val="15"/>
                <w:color w:val="auto"/>
              </w:rPr>
              <w:t>As of June 30, 2022, the undiscounted future lease payments for operating and finance lease liabilities were as follows:</w:t>
            </w: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118"/>
        </w:trPr>
        <w:tc>
          <w:tcPr>
            <w:tcW w:w="6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40" w:type="dxa"/>
            <w:vAlign w:val="bottom"/>
          </w:tcPr>
          <w:p>
            <w:pPr>
              <w:spacing w:after="0"/>
              <w:rPr>
                <w:sz w:val="10"/>
                <w:szCs w:val="10"/>
                <w:color w:val="auto"/>
              </w:rPr>
            </w:pPr>
          </w:p>
        </w:tc>
      </w:tr>
      <w:tr>
        <w:trPr>
          <w:trHeight w:val="206"/>
        </w:trPr>
        <w:tc>
          <w:tcPr>
            <w:tcW w:w="62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0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ind w:left="380"/>
              <w:spacing w:after="0"/>
              <w:rPr>
                <w:sz w:val="20"/>
                <w:szCs w:val="20"/>
                <w:color w:val="auto"/>
              </w:rPr>
            </w:pPr>
            <w:r>
              <w:rPr>
                <w:rFonts w:ascii="Arial" w:cs="Arial" w:eastAsia="Arial" w:hAnsi="Arial"/>
                <w:sz w:val="15"/>
                <w:szCs w:val="15"/>
                <w:b w:val="1"/>
                <w:bCs w:val="1"/>
                <w:color w:val="FFFFFF"/>
              </w:rPr>
              <w:t>Operating</w:t>
            </w:r>
          </w:p>
        </w:tc>
        <w:tc>
          <w:tcPr>
            <w:tcW w:w="540" w:type="dxa"/>
            <w:vAlign w:val="bottom"/>
            <w:shd w:val="clear" w:color="auto" w:fill="1D2758"/>
          </w:tcPr>
          <w:p>
            <w:pPr>
              <w:spacing w:after="0"/>
              <w:rPr>
                <w:sz w:val="17"/>
                <w:szCs w:val="17"/>
                <w:color w:val="auto"/>
              </w:rPr>
            </w:pPr>
          </w:p>
        </w:tc>
        <w:tc>
          <w:tcPr>
            <w:tcW w:w="194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Finance</w:t>
            </w:r>
          </w:p>
        </w:tc>
      </w:tr>
      <w:tr>
        <w:trPr>
          <w:trHeight w:val="206"/>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2022 (remaining)</w:t>
            </w:r>
          </w:p>
        </w:tc>
        <w:tc>
          <w:tcPr>
            <w:tcW w:w="50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32,125</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11,992</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2023</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56,620</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20,004</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2024</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47,858</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17,092</w:t>
            </w:r>
          </w:p>
        </w:tc>
      </w:tr>
      <w:tr>
        <w:trPr>
          <w:trHeight w:val="205"/>
        </w:trPr>
        <w:tc>
          <w:tcPr>
            <w:tcW w:w="6200" w:type="dxa"/>
            <w:vAlign w:val="bottom"/>
          </w:tcPr>
          <w:p>
            <w:pPr>
              <w:ind w:left="20"/>
              <w:spacing w:after="0"/>
              <w:rPr>
                <w:sz w:val="20"/>
                <w:szCs w:val="20"/>
                <w:color w:val="auto"/>
              </w:rPr>
            </w:pPr>
            <w:r>
              <w:rPr>
                <w:rFonts w:ascii="Arial" w:cs="Arial" w:eastAsia="Arial" w:hAnsi="Arial"/>
                <w:sz w:val="15"/>
                <w:szCs w:val="15"/>
                <w:color w:val="auto"/>
              </w:rPr>
              <w:t>2025</w:t>
            </w:r>
          </w:p>
        </w:tc>
        <w:tc>
          <w:tcPr>
            <w:tcW w:w="50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5"/>
                <w:szCs w:val="15"/>
                <w:color w:val="auto"/>
              </w:rPr>
              <w:t>40,227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5"/>
                <w:szCs w:val="15"/>
                <w:color w:val="auto"/>
              </w:rPr>
              <w:t>17,200</w:t>
            </w:r>
          </w:p>
        </w:tc>
      </w:tr>
      <w:tr>
        <w:trPr>
          <w:trHeight w:val="207"/>
        </w:trPr>
        <w:tc>
          <w:tcPr>
            <w:tcW w:w="620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2026</w:t>
            </w:r>
          </w:p>
        </w:tc>
        <w:tc>
          <w:tcPr>
            <w:tcW w:w="500" w:type="dxa"/>
            <w:vAlign w:val="bottom"/>
            <w:shd w:val="clear" w:color="auto" w:fill="DBDBDB"/>
          </w:tcPr>
          <w:p>
            <w:pPr>
              <w:spacing w:after="0"/>
              <w:rPr>
                <w:sz w:val="18"/>
                <w:szCs w:val="18"/>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29,457</w:t>
            </w:r>
          </w:p>
        </w:tc>
        <w:tc>
          <w:tcPr>
            <w:tcW w:w="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15,202</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Thereafter</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69,628</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21,304</w:t>
            </w:r>
          </w:p>
        </w:tc>
      </w:tr>
      <w:tr>
        <w:trPr>
          <w:trHeight w:val="200"/>
        </w:trPr>
        <w:tc>
          <w:tcPr>
            <w:tcW w:w="620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lease payments</w:t>
            </w:r>
          </w:p>
        </w:tc>
        <w:tc>
          <w:tcPr>
            <w:tcW w:w="500" w:type="dxa"/>
            <w:vAlign w:val="bottom"/>
            <w:shd w:val="clear" w:color="auto" w:fill="DBDBDB"/>
          </w:tcPr>
          <w:p>
            <w:pPr>
              <w:spacing w:after="0"/>
              <w:rPr>
                <w:sz w:val="17"/>
                <w:szCs w:val="17"/>
                <w:color w:val="auto"/>
              </w:rPr>
            </w:pPr>
          </w:p>
        </w:tc>
        <w:tc>
          <w:tcPr>
            <w:tcW w:w="1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275,915</w:t>
            </w:r>
          </w:p>
        </w:tc>
        <w:tc>
          <w:tcPr>
            <w:tcW w:w="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19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102,794</w:t>
            </w:r>
          </w:p>
        </w:tc>
      </w:tr>
      <w:tr>
        <w:trPr>
          <w:trHeight w:val="205"/>
        </w:trPr>
        <w:tc>
          <w:tcPr>
            <w:tcW w:w="62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interest</w:t>
            </w:r>
          </w:p>
        </w:tc>
        <w:tc>
          <w:tcPr>
            <w:tcW w:w="5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(39,569)</w:t>
            </w:r>
          </w:p>
        </w:tc>
        <w:tc>
          <w:tcPr>
            <w:tcW w:w="80" w:type="dxa"/>
            <w:vAlign w:val="bottom"/>
            <w:tcBorders>
              <w:bottom w:val="single" w:sz="8" w:color="DBDBDB"/>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(7,651)</w:t>
            </w:r>
          </w:p>
        </w:tc>
      </w:tr>
      <w:tr>
        <w:trPr>
          <w:trHeight w:val="224"/>
        </w:trPr>
        <w:tc>
          <w:tcPr>
            <w:tcW w:w="6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Present value of lease liabilities</w:t>
            </w:r>
          </w:p>
        </w:tc>
        <w:tc>
          <w:tcPr>
            <w:tcW w:w="50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5"/>
                <w:szCs w:val="15"/>
                <w:color w:val="auto"/>
                <w:w w:val="95"/>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236,346</w:t>
            </w:r>
          </w:p>
        </w:tc>
        <w:tc>
          <w:tcPr>
            <w:tcW w:w="80" w:type="dxa"/>
            <w:vAlign w:val="bottom"/>
            <w:tcBorders>
              <w:bottom w:val="single" w:sz="8" w:color="DBDBDB"/>
            </w:tcBorders>
            <w:shd w:val="clear" w:color="auto" w:fill="DBDBDB"/>
          </w:tcPr>
          <w:p>
            <w:pPr>
              <w:spacing w:after="0"/>
              <w:rPr>
                <w:sz w:val="19"/>
                <w:szCs w:val="19"/>
                <w:color w:val="auto"/>
              </w:rPr>
            </w:pPr>
          </w:p>
        </w:tc>
        <w:tc>
          <w:tcPr>
            <w:tcW w:w="54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5"/>
                <w:szCs w:val="15"/>
                <w:color w:val="auto"/>
              </w:rPr>
              <w:t>$</w:t>
            </w:r>
          </w:p>
        </w:tc>
        <w:tc>
          <w:tcPr>
            <w:tcW w:w="19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95,143</w:t>
            </w:r>
          </w:p>
        </w:tc>
      </w:tr>
      <w:tr>
        <w:trPr>
          <w:trHeight w:val="20"/>
        </w:trPr>
        <w:tc>
          <w:tcPr>
            <w:tcW w:w="620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940" w:type="dxa"/>
            <w:vAlign w:val="bottom"/>
            <w:tcBorders>
              <w:top w:val="single" w:sz="8" w:color="DBDBDB"/>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Finance lease liabilities are included within long-term debt and current portion of long-term debt on the condensed consolidated balance sheets.</w:t>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lease activity during the six months ended June 30, 2022 and 2021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80" w:type="dxa"/>
            <w:vAlign w:val="bottom"/>
            <w:shd w:val="clear" w:color="auto" w:fill="1D2758"/>
          </w:tcPr>
          <w:p>
            <w:pPr>
              <w:spacing w:after="0"/>
              <w:rPr>
                <w:sz w:val="17"/>
                <w:szCs w:val="17"/>
                <w:color w:val="auto"/>
              </w:rPr>
            </w:pPr>
          </w:p>
        </w:tc>
        <w:tc>
          <w:tcPr>
            <w:tcW w:w="298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 June 30,</w:t>
            </w:r>
          </w:p>
        </w:tc>
        <w:tc>
          <w:tcPr>
            <w:tcW w:w="1460" w:type="dxa"/>
            <w:vAlign w:val="bottom"/>
            <w:shd w:val="clear" w:color="auto" w:fill="1D2758"/>
          </w:tcPr>
          <w:p>
            <w:pPr>
              <w:spacing w:after="0"/>
              <w:rPr>
                <w:sz w:val="17"/>
                <w:szCs w:val="17"/>
                <w:color w:val="auto"/>
              </w:rPr>
            </w:pPr>
          </w:p>
        </w:tc>
      </w:tr>
      <w:tr>
        <w:trPr>
          <w:trHeight w:val="206"/>
        </w:trPr>
        <w:tc>
          <w:tcPr>
            <w:tcW w:w="62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Financial Statement Line</w:t>
            </w:r>
          </w:p>
        </w:tc>
        <w:tc>
          <w:tcPr>
            <w:tcW w:w="580" w:type="dxa"/>
            <w:vAlign w:val="bottom"/>
            <w:shd w:val="clear" w:color="auto" w:fill="1D2758"/>
          </w:tcPr>
          <w:p>
            <w:pPr>
              <w:spacing w:after="0"/>
              <w:rPr>
                <w:sz w:val="17"/>
                <w:szCs w:val="17"/>
                <w:color w:val="auto"/>
              </w:rPr>
            </w:pPr>
          </w:p>
        </w:tc>
        <w:tc>
          <w:tcPr>
            <w:tcW w:w="188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46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220" w:type="dxa"/>
            <w:vAlign w:val="bottom"/>
            <w:shd w:val="clear" w:color="auto" w:fill="DBDBDB"/>
          </w:tcPr>
          <w:p>
            <w:pPr>
              <w:ind w:left="20"/>
              <w:spacing w:after="0"/>
              <w:rPr>
                <w:sz w:val="20"/>
                <w:szCs w:val="20"/>
                <w:color w:val="auto"/>
              </w:rPr>
            </w:pPr>
            <w:r>
              <w:rPr>
                <w:rFonts w:ascii="Arial" w:cs="Arial" w:eastAsia="Arial" w:hAnsi="Arial"/>
                <w:sz w:val="15"/>
                <w:szCs w:val="15"/>
                <w:color w:val="auto"/>
              </w:rPr>
              <w:t>Finance Lease Expense</w:t>
            </w:r>
          </w:p>
        </w:tc>
        <w:tc>
          <w:tcPr>
            <w:tcW w:w="580" w:type="dxa"/>
            <w:vAlign w:val="bottom"/>
            <w:shd w:val="clear" w:color="auto" w:fill="DBDBDB"/>
          </w:tcPr>
          <w:p>
            <w:pPr>
              <w:spacing w:after="0"/>
              <w:rPr>
                <w:sz w:val="17"/>
                <w:szCs w:val="17"/>
                <w:color w:val="auto"/>
              </w:rPr>
            </w:pPr>
          </w:p>
        </w:tc>
        <w:tc>
          <w:tcPr>
            <w:tcW w:w="18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r>
      <w:tr>
        <w:trPr>
          <w:trHeight w:val="205"/>
        </w:trPr>
        <w:tc>
          <w:tcPr>
            <w:tcW w:w="6220" w:type="dxa"/>
            <w:vAlign w:val="bottom"/>
          </w:tcPr>
          <w:p>
            <w:pPr>
              <w:ind w:left="320"/>
              <w:spacing w:after="0"/>
              <w:rPr>
                <w:sz w:val="20"/>
                <w:szCs w:val="20"/>
                <w:color w:val="auto"/>
              </w:rPr>
            </w:pPr>
            <w:r>
              <w:rPr>
                <w:rFonts w:ascii="Arial" w:cs="Arial" w:eastAsia="Arial" w:hAnsi="Arial"/>
                <w:sz w:val="15"/>
                <w:szCs w:val="15"/>
                <w:color w:val="auto"/>
              </w:rPr>
              <w:t>Amortization of finance lease assets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10,546</w:t>
            </w:r>
          </w:p>
        </w:tc>
        <w:tc>
          <w:tcPr>
            <w:tcW w:w="80" w:type="dxa"/>
            <w:vAlign w:val="bottom"/>
          </w:tcPr>
          <w:p>
            <w:pPr>
              <w:spacing w:after="0"/>
              <w:rPr>
                <w:sz w:val="17"/>
                <w:szCs w:val="17"/>
                <w:color w:val="auto"/>
              </w:rPr>
            </w:pPr>
          </w:p>
        </w:tc>
        <w:tc>
          <w:tcPr>
            <w:tcW w:w="1020" w:type="dxa"/>
            <w:vAlign w:val="bottom"/>
          </w:tcPr>
          <w:p>
            <w:pPr>
              <w:jc w:val="right"/>
              <w:ind w:right="82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9,514</w:t>
            </w:r>
          </w:p>
        </w:tc>
      </w:tr>
      <w:tr>
        <w:trPr>
          <w:trHeight w:val="206"/>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Interest on obligations under finance leases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1,299</w:t>
            </w:r>
          </w:p>
        </w:tc>
        <w:tc>
          <w:tcPr>
            <w:tcW w:w="80" w:type="dxa"/>
            <w:vAlign w:val="bottom"/>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1,098</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finance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11,845</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10,612</w:t>
            </w:r>
          </w:p>
        </w:tc>
      </w:tr>
      <w:tr>
        <w:trPr>
          <w:trHeight w:val="20"/>
        </w:trPr>
        <w:tc>
          <w:tcPr>
            <w:tcW w:w="622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1"/>
        </w:trPr>
        <w:tc>
          <w:tcPr>
            <w:tcW w:w="622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5"/>
                <w:szCs w:val="15"/>
                <w:color w:val="auto"/>
              </w:rPr>
              <w:t>Operating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22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Fixed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Pr>
          <w:p>
            <w:pPr>
              <w:jc w:val="right"/>
              <w:spacing w:after="0"/>
              <w:rPr>
                <w:sz w:val="20"/>
                <w:szCs w:val="20"/>
                <w:color w:val="auto"/>
              </w:rPr>
            </w:pPr>
            <w:r>
              <w:rPr>
                <w:rFonts w:ascii="Arial" w:cs="Arial" w:eastAsia="Arial" w:hAnsi="Arial"/>
                <w:sz w:val="15"/>
                <w:szCs w:val="15"/>
                <w:color w:val="auto"/>
              </w:rPr>
              <w:t>1,574</w:t>
            </w:r>
          </w:p>
        </w:tc>
        <w:tc>
          <w:tcPr>
            <w:tcW w:w="80" w:type="dxa"/>
            <w:vAlign w:val="bottom"/>
          </w:tcPr>
          <w:p>
            <w:pPr>
              <w:spacing w:after="0"/>
              <w:rPr>
                <w:sz w:val="17"/>
                <w:szCs w:val="17"/>
                <w:color w:val="auto"/>
              </w:rPr>
            </w:pPr>
          </w:p>
        </w:tc>
        <w:tc>
          <w:tcPr>
            <w:tcW w:w="1020" w:type="dxa"/>
            <w:vAlign w:val="bottom"/>
          </w:tcPr>
          <w:p>
            <w:pPr>
              <w:jc w:val="right"/>
              <w:ind w:right="823"/>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2,131</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32,430</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29,359</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213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1,107</w:t>
            </w:r>
          </w:p>
        </w:tc>
      </w:tr>
      <w:tr>
        <w:trPr>
          <w:trHeight w:val="207"/>
        </w:trPr>
        <w:tc>
          <w:tcPr>
            <w:tcW w:w="62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Short-term lease expense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spacing w:after="0"/>
              <w:rPr>
                <w:sz w:val="18"/>
                <w:szCs w:val="18"/>
                <w:color w:val="auto"/>
              </w:rPr>
            </w:pP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17,056</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11,575</w:t>
            </w: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1,071</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723</w:t>
            </w:r>
          </w:p>
        </w:tc>
      </w:tr>
      <w:tr>
        <w:trPr>
          <w:trHeight w:val="205"/>
        </w:trPr>
        <w:tc>
          <w:tcPr>
            <w:tcW w:w="6220" w:type="dxa"/>
            <w:vAlign w:val="bottom"/>
          </w:tcPr>
          <w:p>
            <w:pPr>
              <w:ind w:left="220"/>
              <w:spacing w:after="0"/>
              <w:rPr>
                <w:sz w:val="20"/>
                <w:szCs w:val="20"/>
                <w:color w:val="auto"/>
              </w:rPr>
            </w:pPr>
            <w:r>
              <w:rPr>
                <w:rFonts w:ascii="Arial" w:cs="Arial" w:eastAsia="Arial" w:hAnsi="Arial"/>
                <w:sz w:val="15"/>
                <w:szCs w:val="15"/>
                <w:color w:val="auto"/>
              </w:rPr>
              <w:t>Variable lease expense</w:t>
            </w:r>
          </w:p>
        </w:tc>
        <w:tc>
          <w:tcPr>
            <w:tcW w:w="5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7"/>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Cost of leasing and services</w:t>
            </w:r>
          </w:p>
        </w:tc>
        <w:tc>
          <w:tcPr>
            <w:tcW w:w="580" w:type="dxa"/>
            <w:vAlign w:val="bottom"/>
            <w:shd w:val="clear" w:color="auto" w:fill="DBDBDB"/>
          </w:tcPr>
          <w:p>
            <w:pPr>
              <w:spacing w:after="0"/>
              <w:rPr>
                <w:sz w:val="18"/>
                <w:szCs w:val="18"/>
                <w:color w:val="auto"/>
              </w:rPr>
            </w:pPr>
          </w:p>
        </w:tc>
        <w:tc>
          <w:tcPr>
            <w:tcW w:w="1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2,822</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3,373</w:t>
            </w:r>
          </w:p>
        </w:tc>
      </w:tr>
      <w:tr>
        <w:trPr>
          <w:trHeight w:val="205"/>
        </w:trPr>
        <w:tc>
          <w:tcPr>
            <w:tcW w:w="6220" w:type="dxa"/>
            <w:vAlign w:val="bottom"/>
          </w:tcPr>
          <w:p>
            <w:pPr>
              <w:ind w:left="540"/>
              <w:spacing w:after="0"/>
              <w:rPr>
                <w:sz w:val="20"/>
                <w:szCs w:val="20"/>
                <w:color w:val="auto"/>
              </w:rPr>
            </w:pPr>
            <w:r>
              <w:rPr>
                <w:rFonts w:ascii="Arial" w:cs="Arial" w:eastAsia="Arial" w:hAnsi="Arial"/>
                <w:sz w:val="15"/>
                <w:szCs w:val="15"/>
                <w:color w:val="auto"/>
              </w:rPr>
              <w:t>Selling, general and administrative</w:t>
            </w:r>
          </w:p>
        </w:tc>
        <w:tc>
          <w:tcPr>
            <w:tcW w:w="580" w:type="dxa"/>
            <w:vAlign w:val="bottom"/>
          </w:tcPr>
          <w:p>
            <w:pPr>
              <w:spacing w:after="0"/>
              <w:rPr>
                <w:sz w:val="17"/>
                <w:szCs w:val="17"/>
                <w:color w:val="auto"/>
              </w:rPr>
            </w:pPr>
          </w:p>
        </w:tc>
        <w:tc>
          <w:tcPr>
            <w:tcW w:w="1880" w:type="dxa"/>
            <w:vAlign w:val="bottom"/>
          </w:tcPr>
          <w:p>
            <w:pPr>
              <w:jc w:val="right"/>
              <w:spacing w:after="0"/>
              <w:rPr>
                <w:sz w:val="20"/>
                <w:szCs w:val="20"/>
                <w:color w:val="auto"/>
              </w:rPr>
            </w:pPr>
            <w:r>
              <w:rPr>
                <w:rFonts w:ascii="Arial" w:cs="Arial" w:eastAsia="Arial" w:hAnsi="Arial"/>
                <w:sz w:val="15"/>
                <w:szCs w:val="15"/>
                <w:color w:val="auto"/>
              </w:rPr>
              <w:t>4,273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3,792</w:t>
            </w:r>
          </w:p>
        </w:tc>
      </w:tr>
      <w:tr>
        <w:trPr>
          <w:trHeight w:val="206"/>
        </w:trPr>
        <w:tc>
          <w:tcPr>
            <w:tcW w:w="6220" w:type="dxa"/>
            <w:vAlign w:val="bottom"/>
            <w:shd w:val="clear" w:color="auto" w:fill="DBDBDB"/>
          </w:tcPr>
          <w:p>
            <w:pPr>
              <w:ind w:left="540"/>
              <w:spacing w:after="0"/>
              <w:rPr>
                <w:sz w:val="20"/>
                <w:szCs w:val="20"/>
                <w:color w:val="auto"/>
              </w:rPr>
            </w:pPr>
            <w:r>
              <w:rPr>
                <w:rFonts w:ascii="Arial" w:cs="Arial" w:eastAsia="Arial" w:hAnsi="Arial"/>
                <w:sz w:val="15"/>
                <w:szCs w:val="15"/>
                <w:color w:val="auto"/>
              </w:rPr>
              <w:t>Lease impairment expense and other related charges</w:t>
            </w:r>
          </w:p>
        </w:tc>
        <w:tc>
          <w:tcPr>
            <w:tcW w:w="580" w:type="dxa"/>
            <w:vAlign w:val="bottom"/>
            <w:tcBorders>
              <w:bottom w:val="single" w:sz="8" w:color="auto"/>
            </w:tcBorders>
            <w:shd w:val="clear" w:color="auto" w:fill="DBDBDB"/>
          </w:tcPr>
          <w:p>
            <w:pPr>
              <w:spacing w:after="0"/>
              <w:rPr>
                <w:sz w:val="17"/>
                <w:szCs w:val="17"/>
                <w:color w:val="auto"/>
              </w:rPr>
            </w:pPr>
          </w:p>
        </w:tc>
        <w:tc>
          <w:tcPr>
            <w:tcW w:w="1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w:t>
            </w:r>
          </w:p>
        </w:tc>
        <w:tc>
          <w:tcPr>
            <w:tcW w:w="80" w:type="dxa"/>
            <w:vAlign w:val="bottom"/>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335</w:t>
            </w:r>
          </w:p>
        </w:tc>
      </w:tr>
      <w:tr>
        <w:trPr>
          <w:trHeight w:val="200"/>
        </w:trPr>
        <w:tc>
          <w:tcPr>
            <w:tcW w:w="6220" w:type="dxa"/>
            <w:vAlign w:val="bottom"/>
          </w:tcPr>
          <w:p>
            <w:pPr>
              <w:ind w:left="20"/>
              <w:spacing w:after="0"/>
              <w:rPr>
                <w:sz w:val="20"/>
                <w:szCs w:val="20"/>
                <w:color w:val="auto"/>
              </w:rPr>
            </w:pPr>
            <w:r>
              <w:rPr>
                <w:rFonts w:ascii="Arial" w:cs="Arial" w:eastAsia="Arial" w:hAnsi="Arial"/>
                <w:sz w:val="15"/>
                <w:szCs w:val="15"/>
                <w:color w:val="auto"/>
              </w:rPr>
              <w:t>Total operating lease expense</w:t>
            </w:r>
          </w:p>
        </w:tc>
        <w:tc>
          <w:tcPr>
            <w:tcW w:w="5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w w:val="95"/>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59,479</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52,395</w:t>
            </w:r>
          </w:p>
        </w:tc>
      </w:tr>
      <w:tr>
        <w:trPr>
          <w:trHeight w:val="20"/>
        </w:trPr>
        <w:tc>
          <w:tcPr>
            <w:tcW w:w="6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Lease impairment expense and other related charges relate to closed locations that are no longer used in operations as a result of consolidation activities within the Company. During the six months ended June 30, 2022, the Company recorded $0.3 million in lease impairment expense and other related charges which is comprised of closed location rent expense. During the six months ended June 30, 2021, the Company recorded $1.7 million in lease impairment expense and other related charges which is comprised of $1.5 million in closed location rent expense and $0.2 million loss on lease exit and impairment charges.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2" w:name="page13"/>
    <w:bookmarkEnd w:id="12"/>
    <w:p>
      <w:pPr>
        <w:ind w:left="620"/>
        <w:spacing w:after="0"/>
        <w:rPr>
          <w:sz w:val="20"/>
          <w:szCs w:val="20"/>
          <w:color w:val="auto"/>
        </w:rPr>
      </w:pPr>
      <w:r>
        <w:rPr>
          <w:rFonts w:ascii="Arial" w:cs="Arial" w:eastAsia="Arial" w:hAnsi="Arial"/>
          <w:sz w:val="15"/>
          <w:szCs w:val="15"/>
          <w:color w:val="auto"/>
        </w:rPr>
        <w:t>Supplemental cash flow information related to leases for the six months ended June 30, 2022 and 2021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520" w:type="dxa"/>
            <w:vAlign w:val="bottom"/>
            <w:shd w:val="clear" w:color="auto" w:fill="1D2758"/>
          </w:tcPr>
          <w:p>
            <w:pPr>
              <w:spacing w:after="0"/>
              <w:rPr>
                <w:sz w:val="17"/>
                <w:szCs w:val="17"/>
                <w:color w:val="auto"/>
              </w:rPr>
            </w:pPr>
          </w:p>
        </w:tc>
        <w:tc>
          <w:tcPr>
            <w:tcW w:w="4000" w:type="dxa"/>
            <w:vAlign w:val="bottom"/>
            <w:gridSpan w:val="3"/>
            <w:shd w:val="clear" w:color="auto" w:fill="1D2758"/>
          </w:tcPr>
          <w:p>
            <w:pPr>
              <w:jc w:val="right"/>
              <w:ind w:right="1183"/>
              <w:spacing w:after="0"/>
              <w:rPr>
                <w:sz w:val="20"/>
                <w:szCs w:val="20"/>
                <w:color w:val="auto"/>
              </w:rPr>
            </w:pPr>
            <w:r>
              <w:rPr>
                <w:rFonts w:ascii="Arial" w:cs="Arial" w:eastAsia="Arial" w:hAnsi="Arial"/>
                <w:sz w:val="15"/>
                <w:szCs w:val="15"/>
                <w:b w:val="1"/>
                <w:bCs w:val="1"/>
                <w:color w:val="FFFFFF"/>
              </w:rPr>
              <w:t>Six Months Ended June 30,</w:t>
            </w:r>
          </w:p>
        </w:tc>
      </w:tr>
      <w:tr>
        <w:trPr>
          <w:trHeight w:val="206"/>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Supplemental Cash Flow Information</w:t>
            </w:r>
          </w:p>
        </w:tc>
        <w:tc>
          <w:tcPr>
            <w:tcW w:w="520" w:type="dxa"/>
            <w:vAlign w:val="bottom"/>
            <w:shd w:val="clear" w:color="auto" w:fill="1D2758"/>
          </w:tcPr>
          <w:p>
            <w:pPr>
              <w:spacing w:after="0"/>
              <w:rPr>
                <w:sz w:val="17"/>
                <w:szCs w:val="17"/>
                <w:color w:val="auto"/>
              </w:rPr>
            </w:pPr>
          </w:p>
        </w:tc>
        <w:tc>
          <w:tcPr>
            <w:tcW w:w="1720" w:type="dxa"/>
            <w:vAlign w:val="bottom"/>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2022</w:t>
            </w:r>
          </w:p>
        </w:tc>
        <w:tc>
          <w:tcPr>
            <w:tcW w:w="580" w:type="dxa"/>
            <w:vAlign w:val="bottom"/>
            <w:shd w:val="clear" w:color="auto" w:fill="1D2758"/>
          </w:tcPr>
          <w:p>
            <w:pPr>
              <w:spacing w:after="0"/>
              <w:rPr>
                <w:sz w:val="17"/>
                <w:szCs w:val="17"/>
                <w:color w:val="auto"/>
              </w:rPr>
            </w:pPr>
          </w:p>
        </w:tc>
        <w:tc>
          <w:tcPr>
            <w:tcW w:w="1700" w:type="dxa"/>
            <w:vAlign w:val="bottom"/>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2021</w:t>
            </w: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paid for the amounts included in the measurement of lease liabilities:</w:t>
            </w:r>
          </w:p>
        </w:tc>
        <w:tc>
          <w:tcPr>
            <w:tcW w:w="520" w:type="dxa"/>
            <w:vAlign w:val="bottom"/>
            <w:shd w:val="clear" w:color="auto" w:fill="DBDBDB"/>
          </w:tcPr>
          <w:p>
            <w:pPr>
              <w:spacing w:after="0"/>
              <w:rPr>
                <w:sz w:val="17"/>
                <w:szCs w:val="17"/>
                <w:color w:val="auto"/>
              </w:rPr>
            </w:pPr>
          </w:p>
        </w:tc>
        <w:tc>
          <w:tcPr>
            <w:tcW w:w="172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1700" w:type="dxa"/>
            <w:vAlign w:val="bottom"/>
            <w:shd w:val="clear" w:color="auto" w:fill="DBDBDB"/>
          </w:tcPr>
          <w:p>
            <w:pPr>
              <w:spacing w:after="0"/>
              <w:rPr>
                <w:sz w:val="17"/>
                <w:szCs w:val="17"/>
                <w:color w:val="auto"/>
              </w:rPr>
            </w:pP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Operating cash outflows from operating leases</w:t>
            </w: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33,850</w:t>
            </w:r>
          </w:p>
        </w:tc>
        <w:tc>
          <w:tcPr>
            <w:tcW w:w="58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33,409</w:t>
            </w:r>
          </w:p>
        </w:tc>
      </w:tr>
      <w:tr>
        <w:trPr>
          <w:trHeight w:val="207"/>
        </w:trPr>
        <w:tc>
          <w:tcPr>
            <w:tcW w:w="6720" w:type="dxa"/>
            <w:vAlign w:val="bottom"/>
            <w:shd w:val="clear" w:color="auto" w:fill="DBDBDB"/>
          </w:tcPr>
          <w:p>
            <w:pPr>
              <w:ind w:left="120"/>
              <w:spacing w:after="0"/>
              <w:rPr>
                <w:sz w:val="20"/>
                <w:szCs w:val="20"/>
                <w:color w:val="auto"/>
              </w:rPr>
            </w:pPr>
            <w:r>
              <w:rPr>
                <w:rFonts w:ascii="Arial" w:cs="Arial" w:eastAsia="Arial" w:hAnsi="Arial"/>
                <w:sz w:val="15"/>
                <w:szCs w:val="15"/>
                <w:color w:val="auto"/>
              </w:rPr>
              <w:t>Operating cash outflows from finance leases</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1,297</w:t>
            </w:r>
          </w:p>
        </w:tc>
        <w:tc>
          <w:tcPr>
            <w:tcW w:w="58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1,095</w:t>
            </w:r>
          </w:p>
        </w:tc>
      </w:tr>
      <w:tr>
        <w:trPr>
          <w:trHeight w:val="205"/>
        </w:trPr>
        <w:tc>
          <w:tcPr>
            <w:tcW w:w="6720" w:type="dxa"/>
            <w:vAlign w:val="bottom"/>
          </w:tcPr>
          <w:p>
            <w:pPr>
              <w:ind w:left="120"/>
              <w:spacing w:after="0"/>
              <w:rPr>
                <w:sz w:val="20"/>
                <w:szCs w:val="20"/>
                <w:color w:val="auto"/>
              </w:rPr>
            </w:pPr>
            <w:r>
              <w:rPr>
                <w:rFonts w:ascii="Arial" w:cs="Arial" w:eastAsia="Arial" w:hAnsi="Arial"/>
                <w:sz w:val="15"/>
                <w:szCs w:val="15"/>
                <w:color w:val="auto"/>
              </w:rPr>
              <w:t>Financing cash outflows from finance leases</w:t>
            </w: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10,371</w:t>
            </w:r>
          </w:p>
        </w:tc>
        <w:tc>
          <w:tcPr>
            <w:tcW w:w="58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6,935</w:t>
            </w:r>
          </w:p>
        </w:tc>
      </w:tr>
      <w:tr>
        <w:trPr>
          <w:trHeight w:val="246"/>
        </w:trPr>
        <w:tc>
          <w:tcPr>
            <w:tcW w:w="6720" w:type="dxa"/>
            <w:vAlign w:val="bottom"/>
            <w:shd w:val="clear" w:color="auto" w:fill="DBDBDB"/>
          </w:tcPr>
          <w:p>
            <w:pPr>
              <w:spacing w:after="0"/>
              <w:rPr>
                <w:sz w:val="21"/>
                <w:szCs w:val="21"/>
                <w:color w:val="auto"/>
              </w:rPr>
            </w:pPr>
          </w:p>
        </w:tc>
        <w:tc>
          <w:tcPr>
            <w:tcW w:w="520" w:type="dxa"/>
            <w:vAlign w:val="bottom"/>
            <w:shd w:val="clear" w:color="auto" w:fill="DBDBDB"/>
          </w:tcPr>
          <w:p>
            <w:pPr>
              <w:spacing w:after="0"/>
              <w:rPr>
                <w:sz w:val="21"/>
                <w:szCs w:val="21"/>
                <w:color w:val="auto"/>
              </w:rPr>
            </w:pPr>
          </w:p>
        </w:tc>
        <w:tc>
          <w:tcPr>
            <w:tcW w:w="1720" w:type="dxa"/>
            <w:vAlign w:val="bottom"/>
            <w:shd w:val="clear" w:color="auto" w:fill="DBDBDB"/>
          </w:tcPr>
          <w:p>
            <w:pPr>
              <w:spacing w:after="0"/>
              <w:rPr>
                <w:sz w:val="21"/>
                <w:szCs w:val="21"/>
                <w:color w:val="auto"/>
              </w:rPr>
            </w:pPr>
          </w:p>
        </w:tc>
        <w:tc>
          <w:tcPr>
            <w:tcW w:w="580" w:type="dxa"/>
            <w:vAlign w:val="bottom"/>
            <w:shd w:val="clear" w:color="auto" w:fill="DBDBDB"/>
          </w:tcPr>
          <w:p>
            <w:pPr>
              <w:spacing w:after="0"/>
              <w:rPr>
                <w:sz w:val="21"/>
                <w:szCs w:val="21"/>
                <w:color w:val="auto"/>
              </w:rPr>
            </w:pPr>
          </w:p>
        </w:tc>
        <w:tc>
          <w:tcPr>
            <w:tcW w:w="1700" w:type="dxa"/>
            <w:vAlign w:val="bottom"/>
            <w:shd w:val="clear" w:color="auto" w:fill="DBDBDB"/>
          </w:tcPr>
          <w:p>
            <w:pPr>
              <w:spacing w:after="0"/>
              <w:rPr>
                <w:sz w:val="21"/>
                <w:szCs w:val="2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Right of use assets obtained in exchange for lease obligations</w:t>
            </w:r>
          </w:p>
        </w:tc>
        <w:tc>
          <w:tcPr>
            <w:tcW w:w="520" w:type="dxa"/>
            <w:vAlign w:val="bottom"/>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tcPr>
          <w:p>
            <w:pPr>
              <w:jc w:val="right"/>
              <w:ind w:right="23"/>
              <w:spacing w:after="0"/>
              <w:rPr>
                <w:sz w:val="20"/>
                <w:szCs w:val="20"/>
                <w:color w:val="auto"/>
              </w:rPr>
            </w:pPr>
            <w:r>
              <w:rPr>
                <w:rFonts w:ascii="Arial" w:cs="Arial" w:eastAsia="Arial" w:hAnsi="Arial"/>
                <w:sz w:val="15"/>
                <w:szCs w:val="15"/>
                <w:color w:val="auto"/>
              </w:rPr>
              <w:t>19,504</w:t>
            </w:r>
          </w:p>
        </w:tc>
        <w:tc>
          <w:tcPr>
            <w:tcW w:w="580" w:type="dxa"/>
            <w:vAlign w:val="bottom"/>
          </w:tcPr>
          <w:p>
            <w:pPr>
              <w:jc w:val="right"/>
              <w:ind w:right="32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28,288</w:t>
            </w: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Assets obtained in exchange for finance leases</w:t>
            </w:r>
          </w:p>
        </w:tc>
        <w:tc>
          <w:tcPr>
            <w:tcW w:w="520" w:type="dxa"/>
            <w:vAlign w:val="bottom"/>
            <w:shd w:val="clear" w:color="auto" w:fill="DBDBDB"/>
          </w:tcPr>
          <w:p>
            <w:pPr>
              <w:jc w:val="right"/>
              <w:ind w:right="343"/>
              <w:spacing w:after="0"/>
              <w:rPr>
                <w:sz w:val="20"/>
                <w:szCs w:val="20"/>
                <w:color w:val="auto"/>
              </w:rPr>
            </w:pPr>
            <w:r>
              <w:rPr>
                <w:rFonts w:ascii="Arial" w:cs="Arial" w:eastAsia="Arial" w:hAnsi="Arial"/>
                <w:sz w:val="15"/>
                <w:szCs w:val="15"/>
                <w:color w:val="auto"/>
                <w:w w:val="95"/>
              </w:rPr>
              <w:t>$</w:t>
            </w:r>
          </w:p>
        </w:tc>
        <w:tc>
          <w:tcPr>
            <w:tcW w:w="17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17,065</w:t>
            </w:r>
          </w:p>
        </w:tc>
        <w:tc>
          <w:tcPr>
            <w:tcW w:w="580" w:type="dxa"/>
            <w:vAlign w:val="bottom"/>
            <w:shd w:val="clear" w:color="auto" w:fill="DBDBDB"/>
          </w:tcPr>
          <w:p>
            <w:pPr>
              <w:jc w:val="right"/>
              <w:ind w:right="32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11,530</w:t>
            </w:r>
          </w:p>
        </w:tc>
      </w:tr>
    </w:tbl>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Weighted-average remaining operating lease terms and the weighted average discount rates as of June 30, 2022 and December 31, 2021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20" w:type="dxa"/>
            <w:vAlign w:val="bottom"/>
            <w:shd w:val="clear" w:color="auto" w:fill="1D2758"/>
          </w:tcPr>
          <w:p>
            <w:pPr>
              <w:ind w:left="20"/>
              <w:spacing w:after="0"/>
              <w:rPr>
                <w:sz w:val="20"/>
                <w:szCs w:val="20"/>
                <w:color w:val="auto"/>
              </w:rPr>
            </w:pPr>
            <w:r>
              <w:rPr>
                <w:rFonts w:ascii="Arial" w:cs="Arial" w:eastAsia="Arial" w:hAnsi="Arial"/>
                <w:sz w:val="15"/>
                <w:szCs w:val="15"/>
                <w:b w:val="1"/>
                <w:bCs w:val="1"/>
                <w:color w:val="FFFFFF"/>
              </w:rPr>
              <w:t>Lease Terms and Discount Rates</w:t>
            </w:r>
          </w:p>
        </w:tc>
        <w:tc>
          <w:tcPr>
            <w:tcW w:w="3500" w:type="dxa"/>
            <w:vAlign w:val="bottom"/>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June 30, 2022</w:t>
            </w:r>
          </w:p>
        </w:tc>
        <w:tc>
          <w:tcPr>
            <w:tcW w:w="212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operating leases</w:t>
            </w:r>
          </w:p>
        </w:tc>
        <w:tc>
          <w:tcPr>
            <w:tcW w:w="35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6.1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 years</w:t>
            </w:r>
          </w:p>
        </w:tc>
      </w:tr>
      <w:tr>
        <w:trPr>
          <w:trHeight w:val="205"/>
        </w:trPr>
        <w:tc>
          <w:tcPr>
            <w:tcW w:w="5620" w:type="dxa"/>
            <w:vAlign w:val="bottom"/>
          </w:tcPr>
          <w:p>
            <w:pPr>
              <w:ind w:left="20"/>
              <w:spacing w:after="0"/>
              <w:rPr>
                <w:sz w:val="20"/>
                <w:szCs w:val="20"/>
                <w:color w:val="auto"/>
              </w:rPr>
            </w:pPr>
            <w:r>
              <w:rPr>
                <w:rFonts w:ascii="Arial" w:cs="Arial" w:eastAsia="Arial" w:hAnsi="Arial"/>
                <w:sz w:val="15"/>
                <w:szCs w:val="15"/>
                <w:color w:val="auto"/>
              </w:rPr>
              <w:t>Weighted-average discount rate - operating leases</w:t>
            </w:r>
          </w:p>
        </w:tc>
        <w:tc>
          <w:tcPr>
            <w:tcW w:w="3500" w:type="dxa"/>
            <w:vAlign w:val="bottom"/>
          </w:tcPr>
          <w:p>
            <w:pPr>
              <w:jc w:val="right"/>
              <w:ind w:right="203"/>
              <w:spacing w:after="0"/>
              <w:rPr>
                <w:sz w:val="20"/>
                <w:szCs w:val="20"/>
                <w:color w:val="auto"/>
              </w:rPr>
            </w:pPr>
            <w:r>
              <w:rPr>
                <w:rFonts w:ascii="Arial" w:cs="Arial" w:eastAsia="Arial" w:hAnsi="Arial"/>
                <w:sz w:val="15"/>
                <w:szCs w:val="15"/>
                <w:color w:val="auto"/>
              </w:rPr>
              <w:t>4.9 %</w:t>
            </w:r>
          </w:p>
        </w:tc>
        <w:tc>
          <w:tcPr>
            <w:tcW w:w="2120" w:type="dxa"/>
            <w:vAlign w:val="bottom"/>
          </w:tcPr>
          <w:p>
            <w:pPr>
              <w:jc w:val="right"/>
              <w:spacing w:after="0"/>
              <w:rPr>
                <w:sz w:val="20"/>
                <w:szCs w:val="20"/>
                <w:color w:val="auto"/>
              </w:rPr>
            </w:pPr>
            <w:r>
              <w:rPr>
                <w:rFonts w:ascii="Arial" w:cs="Arial" w:eastAsia="Arial" w:hAnsi="Arial"/>
                <w:sz w:val="15"/>
                <w:szCs w:val="15"/>
                <w:color w:val="auto"/>
              </w:rPr>
              <w:t>5.0 %</w:t>
            </w:r>
          </w:p>
        </w:tc>
      </w:tr>
      <w:tr>
        <w:trPr>
          <w:trHeight w:val="207"/>
        </w:trPr>
        <w:tc>
          <w:tcPr>
            <w:tcW w:w="5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Weighted-average remaining lease term - finance leases</w:t>
            </w:r>
          </w:p>
        </w:tc>
        <w:tc>
          <w:tcPr>
            <w:tcW w:w="350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4.8 years</w:t>
            </w:r>
          </w:p>
        </w:tc>
        <w:tc>
          <w:tcPr>
            <w:tcW w:w="21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 years</w:t>
            </w:r>
          </w:p>
        </w:tc>
      </w:tr>
      <w:tr>
        <w:trPr>
          <w:trHeight w:val="205"/>
        </w:trPr>
        <w:tc>
          <w:tcPr>
            <w:tcW w:w="5620" w:type="dxa"/>
            <w:vAlign w:val="bottom"/>
          </w:tcPr>
          <w:p>
            <w:pPr>
              <w:ind w:left="20"/>
              <w:spacing w:after="0"/>
              <w:rPr>
                <w:sz w:val="20"/>
                <w:szCs w:val="20"/>
                <w:color w:val="auto"/>
              </w:rPr>
            </w:pPr>
            <w:r>
              <w:rPr>
                <w:rFonts w:ascii="Arial" w:cs="Arial" w:eastAsia="Arial" w:hAnsi="Arial"/>
                <w:sz w:val="15"/>
                <w:szCs w:val="15"/>
                <w:color w:val="auto"/>
              </w:rPr>
              <w:t>Weighted-average discount rate - finance leases</w:t>
            </w:r>
          </w:p>
        </w:tc>
        <w:tc>
          <w:tcPr>
            <w:tcW w:w="3500" w:type="dxa"/>
            <w:vAlign w:val="bottom"/>
          </w:tcPr>
          <w:p>
            <w:pPr>
              <w:jc w:val="right"/>
              <w:ind w:right="203"/>
              <w:spacing w:after="0"/>
              <w:rPr>
                <w:sz w:val="20"/>
                <w:szCs w:val="20"/>
                <w:color w:val="auto"/>
              </w:rPr>
            </w:pPr>
            <w:r>
              <w:rPr>
                <w:rFonts w:ascii="Arial" w:cs="Arial" w:eastAsia="Arial" w:hAnsi="Arial"/>
                <w:sz w:val="15"/>
                <w:szCs w:val="15"/>
                <w:color w:val="auto"/>
              </w:rPr>
              <w:t>3.2 %</w:t>
            </w:r>
          </w:p>
        </w:tc>
        <w:tc>
          <w:tcPr>
            <w:tcW w:w="2120" w:type="dxa"/>
            <w:vAlign w:val="bottom"/>
          </w:tcPr>
          <w:p>
            <w:pPr>
              <w:jc w:val="right"/>
              <w:spacing w:after="0"/>
              <w:rPr>
                <w:sz w:val="20"/>
                <w:szCs w:val="20"/>
                <w:color w:val="auto"/>
              </w:rPr>
            </w:pPr>
            <w:r>
              <w:rPr>
                <w:rFonts w:ascii="Arial" w:cs="Arial" w:eastAsia="Arial" w:hAnsi="Arial"/>
                <w:sz w:val="15"/>
                <w:szCs w:val="15"/>
                <w:color w:val="auto"/>
              </w:rPr>
              <w:t>2.9 %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1D2758"/>
        </w:rPr>
        <w:t>NOTE 5 - Inventories</w:t>
      </w:r>
    </w:p>
    <w:p>
      <w:pPr>
        <w:spacing w:after="0" w:line="6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Inventories at the respective balance sheet dates consisted of the following: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6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June 30, 2022</w:t>
            </w:r>
          </w:p>
        </w:tc>
        <w:tc>
          <w:tcPr>
            <w:tcW w:w="580" w:type="dxa"/>
            <w:vAlign w:val="bottom"/>
            <w:shd w:val="clear" w:color="auto" w:fill="1D2758"/>
          </w:tcPr>
          <w:p>
            <w:pPr>
              <w:spacing w:after="0"/>
              <w:rPr>
                <w:sz w:val="20"/>
                <w:szCs w:val="20"/>
                <w:color w:val="auto"/>
              </w:rPr>
            </w:pPr>
          </w:p>
        </w:tc>
        <w:tc>
          <w:tcPr>
            <w:tcW w:w="80" w:type="dxa"/>
            <w:vAlign w:val="bottom"/>
            <w:shd w:val="clear" w:color="auto" w:fill="1D2758"/>
          </w:tcPr>
          <w:p>
            <w:pPr>
              <w:spacing w:after="0"/>
              <w:rPr>
                <w:sz w:val="20"/>
                <w:szCs w:val="20"/>
                <w:color w:val="auto"/>
              </w:rPr>
            </w:pP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1640" w:type="dxa"/>
            <w:vAlign w:val="bottom"/>
            <w:vMerge w:val="continue"/>
            <w:shd w:val="clear" w:color="auto" w:fill="1D2758"/>
          </w:tcPr>
          <w:p>
            <w:pPr>
              <w:spacing w:after="0"/>
              <w:rPr>
                <w:sz w:val="5"/>
                <w:szCs w:val="5"/>
                <w:color w:val="auto"/>
              </w:rPr>
            </w:pPr>
          </w:p>
        </w:tc>
        <w:tc>
          <w:tcPr>
            <w:tcW w:w="580" w:type="dxa"/>
            <w:vAlign w:val="bottom"/>
            <w:shd w:val="clear" w:color="auto" w:fill="1D2758"/>
          </w:tcPr>
          <w:p>
            <w:pPr>
              <w:spacing w:after="0"/>
              <w:rPr>
                <w:sz w:val="5"/>
                <w:szCs w:val="5"/>
                <w:color w:val="auto"/>
              </w:rPr>
            </w:pPr>
          </w:p>
        </w:tc>
        <w:tc>
          <w:tcPr>
            <w:tcW w:w="80" w:type="dxa"/>
            <w:vAlign w:val="bottom"/>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Raw materials</w:t>
            </w:r>
          </w:p>
        </w:tc>
        <w:tc>
          <w:tcPr>
            <w:tcW w:w="1640" w:type="dxa"/>
            <w:vAlign w:val="bottom"/>
            <w:shd w:val="clear" w:color="auto" w:fill="DBDBDB"/>
          </w:tcPr>
          <w:p>
            <w:pPr>
              <w:jc w:val="right"/>
              <w:ind w:right="146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35,411</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26,854</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Finished units</w:t>
            </w:r>
          </w:p>
        </w:tc>
        <w:tc>
          <w:tcPr>
            <w:tcW w:w="1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6,413</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5,885</w:t>
            </w:r>
          </w:p>
        </w:tc>
        <w:tc>
          <w:tcPr>
            <w:tcW w:w="0" w:type="dxa"/>
            <w:vAlign w:val="bottom"/>
          </w:tcPr>
          <w:p>
            <w:pPr>
              <w:spacing w:after="0"/>
              <w:rPr>
                <w:sz w:val="1"/>
                <w:szCs w:val="1"/>
                <w:color w:val="auto"/>
              </w:rPr>
            </w:pPr>
          </w:p>
        </w:tc>
      </w:tr>
      <w:tr>
        <w:trPr>
          <w:trHeight w:val="225"/>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Inventories</w:t>
            </w:r>
          </w:p>
        </w:tc>
        <w:tc>
          <w:tcPr>
            <w:tcW w:w="1640" w:type="dxa"/>
            <w:vAlign w:val="bottom"/>
            <w:tcBorders>
              <w:bottom w:val="single" w:sz="8" w:color="auto"/>
            </w:tcBorders>
            <w:shd w:val="clear" w:color="auto" w:fill="DBDBDB"/>
          </w:tcPr>
          <w:p>
            <w:pPr>
              <w:jc w:val="right"/>
              <w:ind w:right="146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41,824</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32,739</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rPr>
          <w:sz w:val="20"/>
          <w:szCs w:val="20"/>
          <w:color w:val="auto"/>
        </w:rPr>
      </w:pPr>
      <w:r>
        <w:rPr>
          <w:rFonts w:ascii="Arial" w:cs="Arial" w:eastAsia="Arial" w:hAnsi="Arial"/>
          <w:sz w:val="22"/>
          <w:szCs w:val="22"/>
          <w:color w:val="1D2758"/>
        </w:rPr>
        <w:t>NOTE 6 - Rental Equipment, net</w:t>
      </w:r>
    </w:p>
    <w:p>
      <w:pPr>
        <w:spacing w:after="0" w:line="7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Rental equipment, net at the respective balance sheet dates consisted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20"/>
                <w:szCs w:val="20"/>
                <w:color w:val="auto"/>
              </w:rPr>
            </w:pPr>
          </w:p>
        </w:tc>
        <w:tc>
          <w:tcPr>
            <w:tcW w:w="1940" w:type="dxa"/>
            <w:vAlign w:val="bottom"/>
            <w:gridSpan w:val="2"/>
            <w:vMerge w:val="restart"/>
            <w:shd w:val="clear" w:color="auto" w:fill="1D2758"/>
          </w:tcPr>
          <w:p>
            <w:pPr>
              <w:ind w:left="240"/>
              <w:spacing w:after="0"/>
              <w:rPr>
                <w:sz w:val="20"/>
                <w:szCs w:val="20"/>
                <w:color w:val="auto"/>
              </w:rPr>
            </w:pPr>
            <w:r>
              <w:rPr>
                <w:rFonts w:ascii="Arial" w:cs="Arial" w:eastAsia="Arial" w:hAnsi="Arial"/>
                <w:sz w:val="15"/>
                <w:szCs w:val="15"/>
                <w:b w:val="1"/>
                <w:bCs w:val="1"/>
                <w:color w:val="FFFFFF"/>
              </w:rPr>
              <w:t>June 30, 2022</w:t>
            </w:r>
          </w:p>
        </w:tc>
        <w:tc>
          <w:tcPr>
            <w:tcW w:w="260" w:type="dxa"/>
            <w:vAlign w:val="bottom"/>
            <w:shd w:val="clear" w:color="auto" w:fill="1D2758"/>
          </w:tcPr>
          <w:p>
            <w:pPr>
              <w:spacing w:after="0"/>
              <w:rPr>
                <w:sz w:val="20"/>
                <w:szCs w:val="20"/>
                <w:color w:val="auto"/>
              </w:rPr>
            </w:pPr>
          </w:p>
        </w:tc>
        <w:tc>
          <w:tcPr>
            <w:tcW w:w="1960" w:type="dxa"/>
            <w:vAlign w:val="bottom"/>
            <w:vMerge w:val="restart"/>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December 31, 2021</w:t>
            </w:r>
          </w:p>
        </w:tc>
        <w:tc>
          <w:tcPr>
            <w:tcW w:w="0" w:type="dxa"/>
            <w:vAlign w:val="bottom"/>
          </w:tcPr>
          <w:p>
            <w:pPr>
              <w:spacing w:after="0"/>
              <w:rPr>
                <w:sz w:val="1"/>
                <w:szCs w:val="1"/>
                <w:color w:val="auto"/>
              </w:rPr>
            </w:pPr>
          </w:p>
        </w:tc>
      </w:tr>
      <w:tr>
        <w:trPr>
          <w:trHeight w:val="65"/>
        </w:trPr>
        <w:tc>
          <w:tcPr>
            <w:tcW w:w="6720" w:type="dxa"/>
            <w:vAlign w:val="bottom"/>
            <w:shd w:val="clear" w:color="auto" w:fill="1D2758"/>
          </w:tcPr>
          <w:p>
            <w:pPr>
              <w:spacing w:after="0"/>
              <w:rPr>
                <w:sz w:val="5"/>
                <w:szCs w:val="5"/>
                <w:color w:val="auto"/>
              </w:rPr>
            </w:pPr>
          </w:p>
        </w:tc>
        <w:tc>
          <w:tcPr>
            <w:tcW w:w="360" w:type="dxa"/>
            <w:vAlign w:val="bottom"/>
            <w:shd w:val="clear" w:color="auto" w:fill="1D2758"/>
          </w:tcPr>
          <w:p>
            <w:pPr>
              <w:spacing w:after="0"/>
              <w:rPr>
                <w:sz w:val="5"/>
                <w:szCs w:val="5"/>
                <w:color w:val="auto"/>
              </w:rPr>
            </w:pPr>
          </w:p>
        </w:tc>
        <w:tc>
          <w:tcPr>
            <w:tcW w:w="1940" w:type="dxa"/>
            <w:vAlign w:val="bottom"/>
            <w:gridSpan w:val="2"/>
            <w:vMerge w:val="continue"/>
            <w:shd w:val="clear" w:color="auto" w:fill="1D2758"/>
          </w:tcPr>
          <w:p>
            <w:pPr>
              <w:spacing w:after="0"/>
              <w:rPr>
                <w:sz w:val="5"/>
                <w:szCs w:val="5"/>
                <w:color w:val="auto"/>
              </w:rPr>
            </w:pPr>
          </w:p>
        </w:tc>
        <w:tc>
          <w:tcPr>
            <w:tcW w:w="260" w:type="dxa"/>
            <w:vAlign w:val="bottom"/>
            <w:shd w:val="clear" w:color="auto" w:fill="1D2758"/>
          </w:tcPr>
          <w:p>
            <w:pPr>
              <w:spacing w:after="0"/>
              <w:rPr>
                <w:sz w:val="5"/>
                <w:szCs w:val="5"/>
                <w:color w:val="auto"/>
              </w:rPr>
            </w:pPr>
          </w:p>
        </w:tc>
        <w:tc>
          <w:tcPr>
            <w:tcW w:w="1960" w:type="dxa"/>
            <w:vAlign w:val="bottom"/>
            <w:vMerge w:val="continue"/>
            <w:shd w:val="clear" w:color="auto" w:fill="1D2758"/>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Modular space units</w:t>
            </w:r>
          </w:p>
        </w:tc>
        <w:tc>
          <w:tcPr>
            <w:tcW w:w="3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3,185,153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3,005,195</w:t>
            </w:r>
          </w:p>
        </w:tc>
        <w:tc>
          <w:tcPr>
            <w:tcW w:w="0" w:type="dxa"/>
            <w:vAlign w:val="bottom"/>
          </w:tcPr>
          <w:p>
            <w:pPr>
              <w:spacing w:after="0"/>
              <w:rPr>
                <w:sz w:val="1"/>
                <w:szCs w:val="1"/>
                <w:color w:val="auto"/>
              </w:rPr>
            </w:pPr>
          </w:p>
        </w:tc>
      </w:tr>
      <w:tr>
        <w:trPr>
          <w:trHeight w:val="205"/>
        </w:trPr>
        <w:tc>
          <w:tcPr>
            <w:tcW w:w="6720" w:type="dxa"/>
            <w:vAlign w:val="bottom"/>
          </w:tcPr>
          <w:p>
            <w:pPr>
              <w:ind w:left="20"/>
              <w:spacing w:after="0"/>
              <w:rPr>
                <w:sz w:val="20"/>
                <w:szCs w:val="20"/>
                <w:color w:val="auto"/>
              </w:rPr>
            </w:pPr>
            <w:r>
              <w:rPr>
                <w:rFonts w:ascii="Arial" w:cs="Arial" w:eastAsia="Arial" w:hAnsi="Arial"/>
                <w:sz w:val="15"/>
                <w:szCs w:val="15"/>
                <w:color w:val="auto"/>
              </w:rPr>
              <w:t>Portable storage units</w:t>
            </w:r>
          </w:p>
        </w:tc>
        <w:tc>
          <w:tcPr>
            <w:tcW w:w="360" w:type="dxa"/>
            <w:vAlign w:val="bottom"/>
          </w:tcPr>
          <w:p>
            <w:pPr>
              <w:spacing w:after="0"/>
              <w:rPr>
                <w:sz w:val="17"/>
                <w:szCs w:val="17"/>
                <w:color w:val="auto"/>
              </w:rPr>
            </w:pPr>
          </w:p>
        </w:tc>
        <w:tc>
          <w:tcPr>
            <w:tcW w:w="1860" w:type="dxa"/>
            <w:vAlign w:val="bottom"/>
          </w:tcPr>
          <w:p>
            <w:pPr>
              <w:jc w:val="right"/>
              <w:ind w:right="3"/>
              <w:spacing w:after="0"/>
              <w:rPr>
                <w:sz w:val="20"/>
                <w:szCs w:val="20"/>
                <w:color w:val="auto"/>
              </w:rPr>
            </w:pPr>
            <w:r>
              <w:rPr>
                <w:rFonts w:ascii="Arial" w:cs="Arial" w:eastAsia="Arial" w:hAnsi="Arial"/>
                <w:sz w:val="15"/>
                <w:szCs w:val="15"/>
                <w:color w:val="auto"/>
              </w:rPr>
              <w:t>821,582</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758,619</w:t>
            </w:r>
          </w:p>
        </w:tc>
        <w:tc>
          <w:tcPr>
            <w:tcW w:w="0" w:type="dxa"/>
            <w:vAlign w:val="bottom"/>
          </w:tcPr>
          <w:p>
            <w:pPr>
              <w:spacing w:after="0"/>
              <w:rPr>
                <w:sz w:val="1"/>
                <w:szCs w:val="1"/>
                <w:color w:val="auto"/>
              </w:rPr>
            </w:pPr>
          </w:p>
        </w:tc>
      </w:tr>
      <w:tr>
        <w:trPr>
          <w:trHeight w:val="207"/>
        </w:trPr>
        <w:tc>
          <w:tcPr>
            <w:tcW w:w="6720" w:type="dxa"/>
            <w:vAlign w:val="bottom"/>
            <w:shd w:val="clear" w:color="auto" w:fill="DBDBDB"/>
          </w:tcPr>
          <w:p>
            <w:pPr>
              <w:ind w:left="20"/>
              <w:spacing w:after="0"/>
              <w:rPr>
                <w:sz w:val="20"/>
                <w:szCs w:val="20"/>
                <w:color w:val="auto"/>
              </w:rPr>
            </w:pPr>
            <w:r>
              <w:rPr>
                <w:rFonts w:ascii="Arial" w:cs="Arial" w:eastAsia="Arial" w:hAnsi="Arial"/>
                <w:sz w:val="15"/>
                <w:szCs w:val="15"/>
                <w:color w:val="auto"/>
              </w:rPr>
              <w:t>Tank and pump products</w:t>
            </w:r>
          </w:p>
        </w:tc>
        <w:tc>
          <w:tcPr>
            <w:tcW w:w="3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167,854</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156,112</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Value added products</w:t>
            </w: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189,534</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168,419</w:t>
            </w:r>
          </w:p>
        </w:tc>
        <w:tc>
          <w:tcPr>
            <w:tcW w:w="0" w:type="dxa"/>
            <w:vAlign w:val="bottom"/>
          </w:tcPr>
          <w:p>
            <w:pPr>
              <w:spacing w:after="0"/>
              <w:rPr>
                <w:sz w:val="1"/>
                <w:szCs w:val="1"/>
                <w:color w:val="auto"/>
              </w:rPr>
            </w:pPr>
          </w:p>
        </w:tc>
      </w:tr>
      <w:tr>
        <w:trPr>
          <w:trHeight w:val="200"/>
        </w:trPr>
        <w:tc>
          <w:tcPr>
            <w:tcW w:w="67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rental equipment</w:t>
            </w:r>
          </w:p>
        </w:tc>
        <w:tc>
          <w:tcPr>
            <w:tcW w:w="360" w:type="dxa"/>
            <w:vAlign w:val="bottom"/>
            <w:shd w:val="clear" w:color="auto" w:fill="DBDBDB"/>
          </w:tcPr>
          <w:p>
            <w:pPr>
              <w:spacing w:after="0"/>
              <w:rPr>
                <w:sz w:val="17"/>
                <w:szCs w:val="17"/>
                <w:color w:val="auto"/>
              </w:rPr>
            </w:pPr>
          </w:p>
        </w:tc>
        <w:tc>
          <w:tcPr>
            <w:tcW w:w="18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4,364,123</w:t>
            </w:r>
          </w:p>
        </w:tc>
        <w:tc>
          <w:tcPr>
            <w:tcW w:w="8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4,088,345</w:t>
            </w:r>
          </w:p>
        </w:tc>
        <w:tc>
          <w:tcPr>
            <w:tcW w:w="0" w:type="dxa"/>
            <w:vAlign w:val="bottom"/>
          </w:tcPr>
          <w:p>
            <w:pPr>
              <w:spacing w:after="0"/>
              <w:rPr>
                <w:sz w:val="1"/>
                <w:szCs w:val="1"/>
                <w:color w:val="auto"/>
              </w:rPr>
            </w:pPr>
          </w:p>
        </w:tc>
      </w:tr>
      <w:tr>
        <w:trPr>
          <w:trHeight w:val="205"/>
        </w:trPr>
        <w:tc>
          <w:tcPr>
            <w:tcW w:w="67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accumulated depreciation</w:t>
            </w:r>
          </w:p>
        </w:tc>
        <w:tc>
          <w:tcPr>
            <w:tcW w:w="3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(1,106,648)</w:t>
            </w:r>
          </w:p>
        </w:tc>
        <w:tc>
          <w:tcPr>
            <w:tcW w:w="80" w:type="dxa"/>
            <w:vAlign w:val="bottom"/>
            <w:tcBorders>
              <w:bottom w:val="single" w:sz="8" w:color="DBDBDB"/>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(1,007,364)</w:t>
            </w:r>
          </w:p>
        </w:tc>
        <w:tc>
          <w:tcPr>
            <w:tcW w:w="0" w:type="dxa"/>
            <w:vAlign w:val="bottom"/>
          </w:tcPr>
          <w:p>
            <w:pPr>
              <w:spacing w:after="0"/>
              <w:rPr>
                <w:sz w:val="1"/>
                <w:szCs w:val="1"/>
                <w:color w:val="auto"/>
              </w:rPr>
            </w:pPr>
          </w:p>
        </w:tc>
      </w:tr>
      <w:tr>
        <w:trPr>
          <w:trHeight w:val="224"/>
        </w:trPr>
        <w:tc>
          <w:tcPr>
            <w:tcW w:w="67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Rental equipment, net</w:t>
            </w:r>
          </w:p>
        </w:tc>
        <w:tc>
          <w:tcPr>
            <w:tcW w:w="360" w:type="dxa"/>
            <w:vAlign w:val="bottom"/>
            <w:tcBorders>
              <w:bottom w:val="single" w:sz="8" w:color="auto"/>
            </w:tcBorders>
            <w:shd w:val="clear" w:color="auto" w:fill="DBDBDB"/>
          </w:tcPr>
          <w:p>
            <w:pPr>
              <w:jc w:val="right"/>
              <w:ind w:right="183"/>
              <w:spacing w:after="0"/>
              <w:rPr>
                <w:sz w:val="20"/>
                <w:szCs w:val="20"/>
                <w:color w:val="auto"/>
              </w:rPr>
            </w:pPr>
            <w:r>
              <w:rPr>
                <w:rFonts w:ascii="Arial" w:cs="Arial" w:eastAsia="Arial" w:hAnsi="Arial"/>
                <w:sz w:val="15"/>
                <w:szCs w:val="15"/>
                <w:color w:val="auto"/>
                <w:w w:val="95"/>
              </w:rPr>
              <w:t>$</w:t>
            </w:r>
          </w:p>
        </w:tc>
        <w:tc>
          <w:tcPr>
            <w:tcW w:w="18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3,257,475</w:t>
            </w:r>
          </w:p>
        </w:tc>
        <w:tc>
          <w:tcPr>
            <w:tcW w:w="80" w:type="dxa"/>
            <w:vAlign w:val="bottom"/>
            <w:tcBorders>
              <w:bottom w:val="single" w:sz="8" w:color="DBDBDB"/>
            </w:tcBorders>
            <w:shd w:val="clear" w:color="auto" w:fill="DBDBDB"/>
          </w:tcPr>
          <w:p>
            <w:pPr>
              <w:spacing w:after="0"/>
              <w:rPr>
                <w:sz w:val="19"/>
                <w:szCs w:val="19"/>
                <w:color w:val="auto"/>
              </w:rPr>
            </w:pP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3,080,981</w:t>
            </w:r>
          </w:p>
        </w:tc>
        <w:tc>
          <w:tcPr>
            <w:tcW w:w="0" w:type="dxa"/>
            <w:vAlign w:val="bottom"/>
          </w:tcPr>
          <w:p>
            <w:pPr>
              <w:spacing w:after="0"/>
              <w:rPr>
                <w:sz w:val="1"/>
                <w:szCs w:val="1"/>
                <w:color w:val="auto"/>
              </w:rPr>
            </w:pPr>
          </w:p>
        </w:tc>
      </w:tr>
      <w:tr>
        <w:trPr>
          <w:trHeight w:val="20"/>
        </w:trPr>
        <w:tc>
          <w:tcPr>
            <w:tcW w:w="67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1D2758"/>
        </w:rPr>
        <w:t>NOTE 7 - Goodwill</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tcPr>
          <w:p>
            <w:pPr>
              <w:ind w:left="620"/>
              <w:spacing w:after="0"/>
              <w:rPr>
                <w:sz w:val="20"/>
                <w:szCs w:val="20"/>
                <w:color w:val="auto"/>
              </w:rPr>
            </w:pPr>
            <w:r>
              <w:rPr>
                <w:rFonts w:ascii="Arial" w:cs="Arial" w:eastAsia="Arial" w:hAnsi="Arial"/>
                <w:sz w:val="15"/>
                <w:szCs w:val="15"/>
                <w:color w:val="auto"/>
              </w:rPr>
              <w:t>Changes in the carrying amount of goodwill were as follows: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66"/>
        </w:trPr>
        <w:tc>
          <w:tcPr>
            <w:tcW w:w="4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06"/>
        </w:trPr>
        <w:tc>
          <w:tcPr>
            <w:tcW w:w="47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40" w:type="dxa"/>
            <w:vAlign w:val="bottom"/>
            <w:shd w:val="clear" w:color="auto" w:fill="1D2758"/>
          </w:tcPr>
          <w:p>
            <w:pPr>
              <w:spacing w:after="0"/>
              <w:rPr>
                <w:sz w:val="17"/>
                <w:szCs w:val="17"/>
                <w:color w:val="auto"/>
              </w:rPr>
            </w:pPr>
          </w:p>
        </w:tc>
        <w:tc>
          <w:tcPr>
            <w:tcW w:w="114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NA Modular</w:t>
            </w:r>
          </w:p>
        </w:tc>
        <w:tc>
          <w:tcPr>
            <w:tcW w:w="18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NA Storage</w:t>
            </w:r>
          </w:p>
        </w:tc>
        <w:tc>
          <w:tcPr>
            <w:tcW w:w="200" w:type="dxa"/>
            <w:vAlign w:val="bottom"/>
            <w:shd w:val="clear" w:color="auto" w:fill="1D2758"/>
          </w:tcPr>
          <w:p>
            <w:pPr>
              <w:spacing w:after="0"/>
              <w:rPr>
                <w:sz w:val="17"/>
                <w:szCs w:val="17"/>
                <w:color w:val="auto"/>
              </w:rPr>
            </w:pPr>
          </w:p>
        </w:tc>
        <w:tc>
          <w:tcPr>
            <w:tcW w:w="1120" w:type="dxa"/>
            <w:vAlign w:val="bottom"/>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UK Storage</w:t>
            </w:r>
          </w:p>
        </w:tc>
        <w:tc>
          <w:tcPr>
            <w:tcW w:w="1320" w:type="dxa"/>
            <w:vAlign w:val="bottom"/>
            <w:gridSpan w:val="2"/>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Tank and Pump</w:t>
            </w:r>
          </w:p>
        </w:tc>
        <w:tc>
          <w:tcPr>
            <w:tcW w:w="32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Total</w:t>
            </w:r>
          </w:p>
        </w:tc>
      </w:tr>
      <w:tr>
        <w:trPr>
          <w:trHeight w:val="206"/>
        </w:trPr>
        <w:tc>
          <w:tcPr>
            <w:tcW w:w="474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235,828</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726,529</w:t>
            </w:r>
          </w:p>
        </w:tc>
        <w:tc>
          <w:tcPr>
            <w:tcW w:w="2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65,600</w:t>
            </w:r>
          </w:p>
        </w:tc>
        <w:tc>
          <w:tcPr>
            <w:tcW w:w="40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143,262</w:t>
            </w:r>
          </w:p>
        </w:tc>
        <w:tc>
          <w:tcPr>
            <w:tcW w:w="3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1,171,219</w:t>
            </w:r>
          </w:p>
        </w:tc>
      </w:tr>
      <w:tr>
        <w:trPr>
          <w:trHeight w:val="205"/>
        </w:trPr>
        <w:tc>
          <w:tcPr>
            <w:tcW w:w="4740" w:type="dxa"/>
            <w:vAlign w:val="bottom"/>
          </w:tcPr>
          <w:p>
            <w:pPr>
              <w:ind w:left="220"/>
              <w:spacing w:after="0"/>
              <w:rPr>
                <w:sz w:val="20"/>
                <w:szCs w:val="20"/>
                <w:color w:val="auto"/>
              </w:rPr>
            </w:pPr>
            <w:r>
              <w:rPr>
                <w:rFonts w:ascii="Arial" w:cs="Arial" w:eastAsia="Arial" w:hAnsi="Arial"/>
                <w:sz w:val="15"/>
                <w:szCs w:val="15"/>
                <w:color w:val="auto"/>
              </w:rPr>
              <w:t>Changes to Mobile Mini purchase accounting</w:t>
            </w:r>
          </w:p>
        </w:tc>
        <w:tc>
          <w:tcPr>
            <w:tcW w:w="14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285,000</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(233,666)</w:t>
            </w:r>
          </w:p>
        </w:tc>
        <w:tc>
          <w:tcPr>
            <w:tcW w:w="20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(43,173)</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8,161</w:t>
            </w: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1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221</w:t>
            </w:r>
          </w:p>
        </w:tc>
        <w:tc>
          <w:tcPr>
            <w:tcW w:w="18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(311)</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(502)</w:t>
            </w:r>
          </w:p>
        </w:tc>
        <w:tc>
          <w:tcPr>
            <w:tcW w:w="4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18</w:t>
            </w:r>
          </w:p>
        </w:tc>
        <w:tc>
          <w:tcPr>
            <w:tcW w:w="3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(574)</w:t>
            </w:r>
          </w:p>
        </w:tc>
      </w:tr>
      <w:tr>
        <w:trPr>
          <w:trHeight w:val="198"/>
        </w:trPr>
        <w:tc>
          <w:tcPr>
            <w:tcW w:w="4740" w:type="dxa"/>
            <w:vAlign w:val="bottom"/>
          </w:tcPr>
          <w:p>
            <w:pPr>
              <w:ind w:left="20"/>
              <w:spacing w:after="0"/>
              <w:rPr>
                <w:sz w:val="20"/>
                <w:szCs w:val="20"/>
                <w:color w:val="auto"/>
              </w:rPr>
            </w:pPr>
            <w:r>
              <w:rPr>
                <w:rFonts w:ascii="Arial" w:cs="Arial" w:eastAsia="Arial" w:hAnsi="Arial"/>
                <w:sz w:val="15"/>
                <w:szCs w:val="15"/>
                <w:color w:val="auto"/>
              </w:rPr>
              <w:t>Balance at December 31, 2021</w:t>
            </w:r>
          </w:p>
        </w:tc>
        <w:tc>
          <w:tcPr>
            <w:tcW w:w="140" w:type="dxa"/>
            <w:vAlign w:val="bottom"/>
          </w:tcPr>
          <w:p>
            <w:pPr>
              <w:spacing w:after="0"/>
              <w:rPr>
                <w:sz w:val="17"/>
                <w:szCs w:val="17"/>
                <w:color w:val="auto"/>
              </w:rPr>
            </w:pPr>
          </w:p>
        </w:tc>
        <w:tc>
          <w:tcPr>
            <w:tcW w:w="1140" w:type="dxa"/>
            <w:vAlign w:val="bottom"/>
          </w:tcPr>
          <w:p>
            <w:pPr>
              <w:jc w:val="right"/>
              <w:ind w:right="43"/>
              <w:spacing w:after="0"/>
              <w:rPr>
                <w:sz w:val="20"/>
                <w:szCs w:val="20"/>
                <w:color w:val="auto"/>
              </w:rPr>
            </w:pPr>
            <w:r>
              <w:rPr>
                <w:rFonts w:ascii="Arial" w:cs="Arial" w:eastAsia="Arial" w:hAnsi="Arial"/>
                <w:sz w:val="15"/>
                <w:szCs w:val="15"/>
                <w:color w:val="auto"/>
              </w:rPr>
              <w:t>521,049</w:t>
            </w:r>
          </w:p>
        </w:tc>
        <w:tc>
          <w:tcPr>
            <w:tcW w:w="18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492,552</w:t>
            </w:r>
          </w:p>
        </w:tc>
        <w:tc>
          <w:tcPr>
            <w:tcW w:w="200" w:type="dxa"/>
            <w:vAlign w:val="bottom"/>
          </w:tcPr>
          <w:p>
            <w:pPr>
              <w:spacing w:after="0"/>
              <w:rPr>
                <w:sz w:val="17"/>
                <w:szCs w:val="17"/>
                <w:color w:val="auto"/>
              </w:rPr>
            </w:pPr>
          </w:p>
        </w:tc>
        <w:tc>
          <w:tcPr>
            <w:tcW w:w="1120" w:type="dxa"/>
            <w:vAlign w:val="bottom"/>
          </w:tcPr>
          <w:p>
            <w:pPr>
              <w:jc w:val="right"/>
              <w:ind w:right="23"/>
              <w:spacing w:after="0"/>
              <w:rPr>
                <w:sz w:val="20"/>
                <w:szCs w:val="20"/>
                <w:color w:val="auto"/>
              </w:rPr>
            </w:pPr>
            <w:r>
              <w:rPr>
                <w:rFonts w:ascii="Arial" w:cs="Arial" w:eastAsia="Arial" w:hAnsi="Arial"/>
                <w:sz w:val="15"/>
                <w:szCs w:val="15"/>
                <w:color w:val="auto"/>
              </w:rPr>
              <w:t>65,098</w:t>
            </w:r>
          </w:p>
        </w:tc>
        <w:tc>
          <w:tcPr>
            <w:tcW w:w="400" w:type="dxa"/>
            <w:vAlign w:val="bottom"/>
          </w:tcPr>
          <w:p>
            <w:pPr>
              <w:spacing w:after="0"/>
              <w:rPr>
                <w:sz w:val="17"/>
                <w:szCs w:val="17"/>
                <w:color w:val="auto"/>
              </w:rPr>
            </w:pPr>
          </w:p>
        </w:tc>
        <w:tc>
          <w:tcPr>
            <w:tcW w:w="920" w:type="dxa"/>
            <w:vAlign w:val="bottom"/>
          </w:tcPr>
          <w:p>
            <w:pPr>
              <w:jc w:val="right"/>
              <w:ind w:right="43"/>
              <w:spacing w:after="0"/>
              <w:rPr>
                <w:sz w:val="20"/>
                <w:szCs w:val="20"/>
                <w:color w:val="auto"/>
              </w:rPr>
            </w:pPr>
            <w:r>
              <w:rPr>
                <w:rFonts w:ascii="Arial" w:cs="Arial" w:eastAsia="Arial" w:hAnsi="Arial"/>
                <w:sz w:val="15"/>
                <w:szCs w:val="15"/>
                <w:color w:val="auto"/>
              </w:rPr>
              <w:t>100,107</w:t>
            </w:r>
          </w:p>
        </w:tc>
        <w:tc>
          <w:tcPr>
            <w:tcW w:w="3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1,178,806</w:t>
            </w:r>
          </w:p>
        </w:tc>
      </w:tr>
      <w:tr>
        <w:trPr>
          <w:trHeight w:val="207"/>
        </w:trPr>
        <w:tc>
          <w:tcPr>
            <w:tcW w:w="47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Effects of movements in foreign exchange rates</w:t>
            </w:r>
          </w:p>
        </w:tc>
        <w:tc>
          <w:tcPr>
            <w:tcW w:w="140" w:type="dxa"/>
            <w:vAlign w:val="bottom"/>
            <w:tcBorders>
              <w:bottom w:val="single" w:sz="8" w:color="auto"/>
            </w:tcBorders>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(354)</w:t>
            </w:r>
          </w:p>
        </w:tc>
        <w:tc>
          <w:tcPr>
            <w:tcW w:w="18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(234)</w:t>
            </w:r>
          </w:p>
        </w:tc>
        <w:tc>
          <w:tcPr>
            <w:tcW w:w="20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(6,493)</w:t>
            </w:r>
          </w:p>
        </w:tc>
        <w:tc>
          <w:tcPr>
            <w:tcW w:w="400" w:type="dxa"/>
            <w:vAlign w:val="bottom"/>
            <w:tcBorders>
              <w:bottom w:val="single" w:sz="8" w:color="auto"/>
            </w:tcBorders>
            <w:shd w:val="clear" w:color="auto" w:fill="DBDBDB"/>
          </w:tcPr>
          <w:p>
            <w:pPr>
              <w:spacing w:after="0"/>
              <w:rPr>
                <w:sz w:val="18"/>
                <w:szCs w:val="18"/>
                <w:color w:val="auto"/>
              </w:rPr>
            </w:pPr>
          </w:p>
        </w:tc>
        <w:tc>
          <w:tcPr>
            <w:tcW w:w="9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(7,081)</w:t>
            </w:r>
          </w:p>
        </w:tc>
      </w:tr>
      <w:tr>
        <w:trPr>
          <w:trHeight w:val="198"/>
        </w:trPr>
        <w:tc>
          <w:tcPr>
            <w:tcW w:w="4740" w:type="dxa"/>
            <w:vAlign w:val="bottom"/>
          </w:tcPr>
          <w:p>
            <w:pPr>
              <w:ind w:left="20"/>
              <w:spacing w:after="0"/>
              <w:rPr>
                <w:sz w:val="20"/>
                <w:szCs w:val="20"/>
                <w:color w:val="auto"/>
              </w:rPr>
            </w:pPr>
            <w:r>
              <w:rPr>
                <w:rFonts w:ascii="Arial" w:cs="Arial" w:eastAsia="Arial" w:hAnsi="Arial"/>
                <w:sz w:val="15"/>
                <w:szCs w:val="15"/>
                <w:color w:val="auto"/>
              </w:rPr>
              <w:t>Balance at June 30, 2022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520,695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492,318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58,605</w:t>
            </w:r>
          </w:p>
        </w:tc>
        <w:tc>
          <w:tcPr>
            <w:tcW w:w="4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100,107</w:t>
            </w:r>
          </w:p>
        </w:tc>
        <w:tc>
          <w:tcPr>
            <w:tcW w:w="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1,171,725</w:t>
            </w: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had no goodwill impairment during the six months ended June 30, 2022 or the year ended December 31, 2021.</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1D2758"/>
        </w:rPr>
        <w:t>NOTE 8 - Intangibles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Intangible assets other than goodwill at the respective balance sheet dates consisted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June 30, 2022</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6.1</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209,000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(52,422)</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156,578</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4.0</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(52,922)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446,578</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500" w:type="dxa"/>
            <w:vAlign w:val="bottom"/>
            <w:tcBorders>
              <w:top w:val="single" w:sz="8" w:color="DBDBDB"/>
              <w:bottom w:val="single" w:sz="8" w:color="auto"/>
            </w:tcBorders>
            <w:gridSpan w:val="2"/>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1D2758"/>
          </w:tcPr>
          <w:p>
            <w:pPr>
              <w:spacing w:after="0"/>
              <w:rPr>
                <w:sz w:val="17"/>
                <w:szCs w:val="17"/>
                <w:color w:val="auto"/>
              </w:rPr>
            </w:pPr>
          </w:p>
        </w:tc>
        <w:tc>
          <w:tcPr>
            <w:tcW w:w="1560" w:type="dxa"/>
            <w:vAlign w:val="bottom"/>
            <w:vMerge w:val="restart"/>
            <w:shd w:val="clear" w:color="auto" w:fill="1D2758"/>
          </w:tcPr>
          <w:p>
            <w:pPr>
              <w:jc w:val="center"/>
              <w:ind w:right="3"/>
              <w:spacing w:after="0"/>
              <w:rPr>
                <w:sz w:val="20"/>
                <w:szCs w:val="20"/>
                <w:color w:val="auto"/>
              </w:rPr>
            </w:pPr>
            <w:r>
              <w:rPr>
                <w:rFonts w:ascii="Arial" w:cs="Arial" w:eastAsia="Arial" w:hAnsi="Arial"/>
                <w:sz w:val="15"/>
                <w:szCs w:val="15"/>
                <w:b w:val="1"/>
                <w:bCs w:val="1"/>
                <w:color w:val="FFFFFF"/>
              </w:rPr>
              <w:t>Weighted average</w:t>
            </w:r>
          </w:p>
        </w:tc>
        <w:tc>
          <w:tcPr>
            <w:tcW w:w="160" w:type="dxa"/>
            <w:vAlign w:val="bottom"/>
            <w:shd w:val="clear" w:color="auto" w:fill="1D2758"/>
          </w:tcPr>
          <w:p>
            <w:pPr>
              <w:spacing w:after="0"/>
              <w:rPr>
                <w:sz w:val="17"/>
                <w:szCs w:val="17"/>
                <w:color w:val="auto"/>
              </w:rPr>
            </w:pPr>
          </w:p>
        </w:tc>
        <w:tc>
          <w:tcPr>
            <w:tcW w:w="2980" w:type="dxa"/>
            <w:vAlign w:val="bottom"/>
            <w:gridSpan w:val="5"/>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December 31, 2021</w:t>
            </w:r>
          </w:p>
        </w:tc>
        <w:tc>
          <w:tcPr>
            <w:tcW w:w="140" w:type="dxa"/>
            <w:vAlign w:val="bottom"/>
            <w:shd w:val="clear" w:color="auto" w:fill="1D2758"/>
          </w:tcPr>
          <w:p>
            <w:pPr>
              <w:spacing w:after="0"/>
              <w:rPr>
                <w:sz w:val="17"/>
                <w:szCs w:val="17"/>
                <w:color w:val="auto"/>
              </w:rPr>
            </w:pPr>
          </w:p>
        </w:tc>
        <w:tc>
          <w:tcPr>
            <w:tcW w:w="134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060" w:type="dxa"/>
            <w:vAlign w:val="bottom"/>
            <w:shd w:val="clear" w:color="auto" w:fill="1D2758"/>
          </w:tcPr>
          <w:p>
            <w:pPr>
              <w:spacing w:after="0"/>
              <w:rPr>
                <w:sz w:val="13"/>
                <w:szCs w:val="13"/>
                <w:color w:val="auto"/>
              </w:rPr>
            </w:pPr>
          </w:p>
        </w:tc>
        <w:tc>
          <w:tcPr>
            <w:tcW w:w="1560" w:type="dxa"/>
            <w:vAlign w:val="bottom"/>
            <w:vMerge w:val="continue"/>
            <w:shd w:val="clear" w:color="auto" w:fill="1D2758"/>
          </w:tcPr>
          <w:p>
            <w:pPr>
              <w:spacing w:after="0"/>
              <w:rPr>
                <w:sz w:val="13"/>
                <w:szCs w:val="13"/>
                <w:color w:val="auto"/>
              </w:rPr>
            </w:pPr>
          </w:p>
        </w:tc>
        <w:tc>
          <w:tcPr>
            <w:tcW w:w="16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20"/>
              <w:spacing w:after="0"/>
              <w:rPr>
                <w:sz w:val="20"/>
                <w:szCs w:val="20"/>
                <w:color w:val="auto"/>
              </w:rPr>
            </w:pPr>
            <w:r>
              <w:rPr>
                <w:rFonts w:ascii="Arial" w:cs="Arial" w:eastAsia="Arial" w:hAnsi="Arial"/>
                <w:sz w:val="15"/>
                <w:szCs w:val="15"/>
                <w:b w:val="1"/>
                <w:bCs w:val="1"/>
                <w:color w:val="FFFFFF"/>
              </w:rPr>
              <w:t>Gross carrying</w:t>
            </w:r>
          </w:p>
        </w:tc>
        <w:tc>
          <w:tcPr>
            <w:tcW w:w="180" w:type="dxa"/>
            <w:vAlign w:val="bottom"/>
            <w:shd w:val="clear" w:color="auto" w:fill="1D2758"/>
          </w:tcPr>
          <w:p>
            <w:pPr>
              <w:spacing w:after="0"/>
              <w:rPr>
                <w:sz w:val="13"/>
                <w:szCs w:val="13"/>
                <w:color w:val="auto"/>
              </w:rPr>
            </w:pPr>
          </w:p>
        </w:tc>
        <w:tc>
          <w:tcPr>
            <w:tcW w:w="1400" w:type="dxa"/>
            <w:vAlign w:val="bottom"/>
            <w:gridSpan w:val="2"/>
            <w:vMerge w:val="restart"/>
            <w:shd w:val="clear" w:color="auto" w:fill="1D2758"/>
          </w:tcPr>
          <w:p>
            <w:pPr>
              <w:jc w:val="center"/>
              <w:ind w:right="260"/>
              <w:spacing w:after="0"/>
              <w:rPr>
                <w:sz w:val="20"/>
                <w:szCs w:val="20"/>
                <w:color w:val="auto"/>
              </w:rPr>
            </w:pPr>
            <w:r>
              <w:rPr>
                <w:rFonts w:ascii="Arial" w:cs="Arial" w:eastAsia="Arial" w:hAnsi="Arial"/>
                <w:sz w:val="15"/>
                <w:szCs w:val="15"/>
                <w:b w:val="1"/>
                <w:bCs w:val="1"/>
                <w:color w:val="FFFFFF"/>
              </w:rPr>
              <w:t>Accumulated</w:t>
            </w:r>
          </w:p>
        </w:tc>
        <w:tc>
          <w:tcPr>
            <w:tcW w:w="140" w:type="dxa"/>
            <w:vAlign w:val="bottom"/>
            <w:shd w:val="clear" w:color="auto" w:fill="1D2758"/>
          </w:tcPr>
          <w:p>
            <w:pPr>
              <w:spacing w:after="0"/>
              <w:rPr>
                <w:sz w:val="13"/>
                <w:szCs w:val="13"/>
                <w:color w:val="auto"/>
              </w:rPr>
            </w:pPr>
          </w:p>
        </w:tc>
        <w:tc>
          <w:tcPr>
            <w:tcW w:w="1340" w:type="dxa"/>
            <w:vAlign w:val="bottom"/>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560" w:type="dxa"/>
            <w:vAlign w:val="bottom"/>
            <w:shd w:val="clear" w:color="auto" w:fill="1D2758"/>
          </w:tcPr>
          <w:p>
            <w:pPr>
              <w:jc w:val="center"/>
              <w:ind w:right="3"/>
              <w:spacing w:after="0" w:line="155" w:lineRule="exact"/>
              <w:rPr>
                <w:sz w:val="20"/>
                <w:szCs w:val="20"/>
                <w:color w:val="auto"/>
              </w:rPr>
            </w:pPr>
            <w:r>
              <w:rPr>
                <w:rFonts w:ascii="Arial" w:cs="Arial" w:eastAsia="Arial" w:hAnsi="Arial"/>
                <w:sz w:val="15"/>
                <w:szCs w:val="15"/>
                <w:b w:val="1"/>
                <w:bCs w:val="1"/>
                <w:color w:val="FFFFFF"/>
              </w:rPr>
              <w:t>remaining life (in</w:t>
            </w:r>
          </w:p>
        </w:tc>
        <w:tc>
          <w:tcPr>
            <w:tcW w:w="16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400" w:type="dxa"/>
            <w:vAlign w:val="bottom"/>
            <w:gridSpan w:val="2"/>
            <w:vMerge w:val="continue"/>
            <w:shd w:val="clear" w:color="auto" w:fill="1D2758"/>
          </w:tcPr>
          <w:p>
            <w:pPr>
              <w:spacing w:after="0"/>
              <w:rPr>
                <w:sz w:val="13"/>
                <w:szCs w:val="13"/>
                <w:color w:val="auto"/>
              </w:rPr>
            </w:pPr>
          </w:p>
        </w:tc>
        <w:tc>
          <w:tcPr>
            <w:tcW w:w="140" w:type="dxa"/>
            <w:vAlign w:val="bottom"/>
            <w:shd w:val="clear" w:color="auto" w:fill="1D2758"/>
          </w:tcPr>
          <w:p>
            <w:pPr>
              <w:spacing w:after="0"/>
              <w:rPr>
                <w:sz w:val="13"/>
                <w:szCs w:val="13"/>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Net book value</w:t>
            </w:r>
          </w:p>
        </w:tc>
        <w:tc>
          <w:tcPr>
            <w:tcW w:w="0" w:type="dxa"/>
            <w:vAlign w:val="bottom"/>
          </w:tcPr>
          <w:p>
            <w:pPr>
              <w:spacing w:after="0"/>
              <w:rPr>
                <w:sz w:val="1"/>
                <w:szCs w:val="1"/>
                <w:color w:val="auto"/>
              </w:rPr>
            </w:pPr>
          </w:p>
        </w:tc>
      </w:tr>
      <w:tr>
        <w:trPr>
          <w:trHeight w:val="206"/>
        </w:trPr>
        <w:tc>
          <w:tcPr>
            <w:tcW w:w="5060" w:type="dxa"/>
            <w:vAlign w:val="bottom"/>
            <w:vMerge w:val="continue"/>
            <w:shd w:val="clear" w:color="auto" w:fill="1D2758"/>
          </w:tcPr>
          <w:p>
            <w:pPr>
              <w:spacing w:after="0"/>
              <w:rPr>
                <w:sz w:val="17"/>
                <w:szCs w:val="17"/>
                <w:color w:val="auto"/>
              </w:rPr>
            </w:pPr>
          </w:p>
        </w:tc>
        <w:tc>
          <w:tcPr>
            <w:tcW w:w="156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years)</w:t>
            </w:r>
          </w:p>
        </w:tc>
        <w:tc>
          <w:tcPr>
            <w:tcW w:w="16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amount</w:t>
            </w:r>
          </w:p>
        </w:tc>
        <w:tc>
          <w:tcPr>
            <w:tcW w:w="180" w:type="dxa"/>
            <w:vAlign w:val="bottom"/>
            <w:shd w:val="clear" w:color="auto" w:fill="1D2758"/>
          </w:tcPr>
          <w:p>
            <w:pPr>
              <w:spacing w:after="0"/>
              <w:rPr>
                <w:sz w:val="17"/>
                <w:szCs w:val="17"/>
                <w:color w:val="auto"/>
              </w:rPr>
            </w:pPr>
          </w:p>
        </w:tc>
        <w:tc>
          <w:tcPr>
            <w:tcW w:w="1400" w:type="dxa"/>
            <w:vAlign w:val="bottom"/>
            <w:gridSpan w:val="2"/>
            <w:shd w:val="clear" w:color="auto" w:fill="1D2758"/>
          </w:tcPr>
          <w:p>
            <w:pPr>
              <w:jc w:val="center"/>
              <w:ind w:right="240"/>
              <w:spacing w:after="0"/>
              <w:rPr>
                <w:sz w:val="20"/>
                <w:szCs w:val="20"/>
                <w:color w:val="auto"/>
              </w:rPr>
            </w:pPr>
            <w:r>
              <w:rPr>
                <w:rFonts w:ascii="Arial" w:cs="Arial" w:eastAsia="Arial" w:hAnsi="Arial"/>
                <w:sz w:val="15"/>
                <w:szCs w:val="15"/>
                <w:b w:val="1"/>
                <w:bCs w:val="1"/>
                <w:color w:val="FFFFFF"/>
              </w:rPr>
              <w:t>amortization</w:t>
            </w:r>
          </w:p>
        </w:tc>
        <w:tc>
          <w:tcPr>
            <w:tcW w:w="140" w:type="dxa"/>
            <w:vAlign w:val="bottom"/>
            <w:shd w:val="clear" w:color="auto" w:fill="1D2758"/>
          </w:tcPr>
          <w:p>
            <w:pPr>
              <w:spacing w:after="0"/>
              <w:rPr>
                <w:sz w:val="17"/>
                <w:szCs w:val="17"/>
                <w:color w:val="auto"/>
              </w:rPr>
            </w:pPr>
          </w:p>
        </w:tc>
        <w:tc>
          <w:tcPr>
            <w:tcW w:w="134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060" w:type="dxa"/>
            <w:vAlign w:val="bottom"/>
            <w:shd w:val="clear" w:color="auto" w:fill="DBDBDB"/>
          </w:tcPr>
          <w:p>
            <w:pPr>
              <w:ind w:left="20"/>
              <w:spacing w:after="0"/>
              <w:rPr>
                <w:sz w:val="20"/>
                <w:szCs w:val="20"/>
                <w:color w:val="auto"/>
              </w:rPr>
            </w:pPr>
            <w:r>
              <w:rPr>
                <w:rFonts w:ascii="Arial" w:cs="Arial" w:eastAsia="Arial" w:hAnsi="Arial"/>
                <w:sz w:val="15"/>
                <w:szCs w:val="15"/>
                <w:color w:val="auto"/>
              </w:rPr>
              <w:t>Intangible assets subject to amortization:</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060" w:type="dxa"/>
            <w:vAlign w:val="bottom"/>
          </w:tcPr>
          <w:p>
            <w:pPr>
              <w:ind w:left="220"/>
              <w:spacing w:after="0"/>
              <w:rPr>
                <w:sz w:val="20"/>
                <w:szCs w:val="20"/>
                <w:color w:val="auto"/>
              </w:rPr>
            </w:pPr>
            <w:r>
              <w:rPr>
                <w:rFonts w:ascii="Arial" w:cs="Arial" w:eastAsia="Arial" w:hAnsi="Arial"/>
                <w:sz w:val="15"/>
                <w:szCs w:val="15"/>
                <w:color w:val="auto"/>
              </w:rPr>
              <w:t>Mobile Mini customer relationships</w:t>
            </w:r>
          </w:p>
        </w:tc>
        <w:tc>
          <w:tcPr>
            <w:tcW w:w="1560" w:type="dxa"/>
            <w:vAlign w:val="bottom"/>
          </w:tcPr>
          <w:p>
            <w:pPr>
              <w:jc w:val="center"/>
              <w:spacing w:after="0"/>
              <w:rPr>
                <w:sz w:val="20"/>
                <w:szCs w:val="20"/>
                <w:color w:val="auto"/>
              </w:rPr>
            </w:pPr>
            <w:r>
              <w:rPr>
                <w:rFonts w:ascii="Arial" w:cs="Arial" w:eastAsia="Arial" w:hAnsi="Arial"/>
                <w:sz w:val="15"/>
                <w:szCs w:val="15"/>
                <w:color w:val="auto"/>
              </w:rPr>
              <w:t>6.6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209,000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(38,447)</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170,553</w:t>
            </w:r>
          </w:p>
        </w:tc>
        <w:tc>
          <w:tcPr>
            <w:tcW w:w="0" w:type="dxa"/>
            <w:vAlign w:val="bottom"/>
          </w:tcPr>
          <w:p>
            <w:pPr>
              <w:spacing w:after="0"/>
              <w:rPr>
                <w:sz w:val="1"/>
                <w:szCs w:val="1"/>
                <w:color w:val="auto"/>
              </w:rPr>
            </w:pPr>
          </w:p>
        </w:tc>
      </w:tr>
      <w:tr>
        <w:trPr>
          <w:trHeight w:val="207"/>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Technology</w:t>
            </w:r>
          </w:p>
        </w:tc>
        <w:tc>
          <w:tcPr>
            <w:tcW w:w="156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4.5</w:t>
            </w:r>
          </w:p>
        </w:tc>
        <w:tc>
          <w:tcPr>
            <w:tcW w:w="16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05"/>
        </w:trPr>
        <w:tc>
          <w:tcPr>
            <w:tcW w:w="5060" w:type="dxa"/>
            <w:vAlign w:val="bottom"/>
          </w:tcPr>
          <w:p>
            <w:pPr>
              <w:ind w:left="20"/>
              <w:spacing w:after="0"/>
              <w:rPr>
                <w:sz w:val="20"/>
                <w:szCs w:val="20"/>
                <w:color w:val="auto"/>
              </w:rPr>
            </w:pPr>
            <w:r>
              <w:rPr>
                <w:rFonts w:ascii="Arial" w:cs="Arial" w:eastAsia="Arial" w:hAnsi="Arial"/>
                <w:sz w:val="15"/>
                <w:szCs w:val="15"/>
                <w:color w:val="auto"/>
              </w:rPr>
              <w:t>Indefinite-lived intangible assets:</w:t>
            </w: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0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Trade name - Mobile Mini</w:t>
            </w:r>
          </w:p>
        </w:tc>
        <w:tc>
          <w:tcPr>
            <w:tcW w:w="156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4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164,000</w:t>
            </w:r>
          </w:p>
        </w:tc>
        <w:tc>
          <w:tcPr>
            <w:tcW w:w="0" w:type="dxa"/>
            <w:vAlign w:val="bottom"/>
          </w:tcPr>
          <w:p>
            <w:pPr>
              <w:spacing w:after="0"/>
              <w:rPr>
                <w:sz w:val="1"/>
                <w:szCs w:val="1"/>
                <w:color w:val="auto"/>
              </w:rPr>
            </w:pPr>
          </w:p>
        </w:tc>
      </w:tr>
      <w:tr>
        <w:trPr>
          <w:trHeight w:val="219"/>
        </w:trPr>
        <w:tc>
          <w:tcPr>
            <w:tcW w:w="5060" w:type="dxa"/>
            <w:vAlign w:val="bottom"/>
          </w:tcPr>
          <w:p>
            <w:pPr>
              <w:ind w:left="220"/>
              <w:spacing w:after="0"/>
              <w:rPr>
                <w:sz w:val="20"/>
                <w:szCs w:val="20"/>
                <w:color w:val="auto"/>
              </w:rPr>
            </w:pPr>
            <w:r>
              <w:rPr>
                <w:rFonts w:ascii="Arial" w:cs="Arial" w:eastAsia="Arial" w:hAnsi="Arial"/>
                <w:sz w:val="15"/>
                <w:szCs w:val="15"/>
                <w:color w:val="auto"/>
              </w:rPr>
              <w:t>Trade name - WillScot</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125,000</w:t>
            </w:r>
          </w:p>
        </w:tc>
        <w:tc>
          <w:tcPr>
            <w:tcW w:w="0" w:type="dxa"/>
            <w:vAlign w:val="bottom"/>
          </w:tcPr>
          <w:p>
            <w:pPr>
              <w:spacing w:after="0"/>
              <w:rPr>
                <w:sz w:val="1"/>
                <w:szCs w:val="1"/>
                <w:color w:val="auto"/>
              </w:rPr>
            </w:pPr>
          </w:p>
        </w:tc>
      </w:tr>
      <w:tr>
        <w:trPr>
          <w:trHeight w:val="224"/>
        </w:trPr>
        <w:tc>
          <w:tcPr>
            <w:tcW w:w="506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Total intangible assets other than goodwill</w:t>
            </w:r>
          </w:p>
        </w:tc>
        <w:tc>
          <w:tcPr>
            <w:tcW w:w="1560" w:type="dxa"/>
            <w:vAlign w:val="bottom"/>
            <w:tcBorders>
              <w:top w:val="single" w:sz="8" w:color="DBDBDB"/>
              <w:bottom w:val="single" w:sz="8" w:color="DBDBDB"/>
            </w:tcBorders>
            <w:shd w:val="clear" w:color="auto" w:fill="DBDBDB"/>
          </w:tcPr>
          <w:p>
            <w:pPr>
              <w:spacing w:after="0"/>
              <w:rPr>
                <w:sz w:val="19"/>
                <w:szCs w:val="19"/>
                <w:color w:val="auto"/>
              </w:rPr>
            </w:pP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499,500</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(38,822)</w:t>
            </w:r>
          </w:p>
        </w:tc>
        <w:tc>
          <w:tcPr>
            <w:tcW w:w="80" w:type="dxa"/>
            <w:vAlign w:val="bottom"/>
            <w:tcBorders>
              <w:top w:val="single" w:sz="8" w:color="DBDBDB"/>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460,678</w:t>
            </w:r>
          </w:p>
        </w:tc>
        <w:tc>
          <w:tcPr>
            <w:tcW w:w="0" w:type="dxa"/>
            <w:vAlign w:val="bottom"/>
          </w:tcPr>
          <w:p>
            <w:pPr>
              <w:spacing w:after="0"/>
              <w:rPr>
                <w:sz w:val="1"/>
                <w:szCs w:val="1"/>
                <w:color w:val="auto"/>
              </w:rPr>
            </w:pPr>
          </w:p>
        </w:tc>
      </w:tr>
      <w:tr>
        <w:trPr>
          <w:trHeight w:val="20"/>
        </w:trPr>
        <w:tc>
          <w:tcPr>
            <w:tcW w:w="506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3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Amortization expense related to intangible assets was $6.6 million and $6.8 million for the three months ended June 30, 2022 and 2021, respectively, and $13.2 million and $13.8 million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4" w:name="page15"/>
    <w:bookmarkEnd w:id="14"/>
    <w:p>
      <w:pPr>
        <w:ind w:left="620"/>
        <w:spacing w:after="0"/>
        <w:rPr>
          <w:sz w:val="20"/>
          <w:szCs w:val="20"/>
          <w:color w:val="auto"/>
        </w:rPr>
      </w:pPr>
      <w:r>
        <w:rPr>
          <w:rFonts w:ascii="Arial" w:cs="Arial" w:eastAsia="Arial" w:hAnsi="Arial"/>
          <w:sz w:val="15"/>
          <w:szCs w:val="15"/>
          <w:color w:val="auto"/>
        </w:rPr>
        <w:t>Based on the carrying value at June 30, 2022, future amortization of intangible assets is expected to be as follows for the years ended December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980" w:type="dxa"/>
            <w:vAlign w:val="bottom"/>
            <w:shd w:val="clear" w:color="auto" w:fill="1D2758"/>
          </w:tcPr>
          <w:p>
            <w:pPr>
              <w:spacing w:after="0"/>
              <w:rPr>
                <w:sz w:val="17"/>
                <w:szCs w:val="17"/>
                <w:color w:val="auto"/>
              </w:rPr>
            </w:pPr>
          </w:p>
        </w:tc>
        <w:tc>
          <w:tcPr>
            <w:tcW w:w="1500" w:type="dxa"/>
            <w:vAlign w:val="bottom"/>
            <w:shd w:val="clear" w:color="auto" w:fill="1D2758"/>
          </w:tcPr>
          <w:p>
            <w:pPr>
              <w:spacing w:after="0"/>
              <w:rPr>
                <w:sz w:val="17"/>
                <w:szCs w:val="17"/>
                <w:color w:val="auto"/>
              </w:rPr>
            </w:pP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2022 (remaining)</w:t>
            </w:r>
          </w:p>
        </w:tc>
        <w:tc>
          <w:tcPr>
            <w:tcW w:w="980" w:type="dxa"/>
            <w:vAlign w:val="bottom"/>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13,334</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2023</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2024</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26,416</w:t>
            </w:r>
          </w:p>
        </w:tc>
      </w:tr>
      <w:tr>
        <w:trPr>
          <w:trHeight w:val="207"/>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w:t>
            </w:r>
          </w:p>
        </w:tc>
        <w:tc>
          <w:tcPr>
            <w:tcW w:w="980" w:type="dxa"/>
            <w:vAlign w:val="bottom"/>
            <w:shd w:val="clear" w:color="auto" w:fill="DBDBDB"/>
          </w:tcPr>
          <w:p>
            <w:pPr>
              <w:spacing w:after="0"/>
              <w:rPr>
                <w:sz w:val="18"/>
                <w:szCs w:val="18"/>
                <w:color w:val="auto"/>
              </w:rPr>
            </w:pPr>
          </w:p>
        </w:tc>
        <w:tc>
          <w:tcPr>
            <w:tcW w:w="15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26,416</w:t>
            </w:r>
          </w:p>
        </w:tc>
      </w:tr>
      <w:tr>
        <w:trPr>
          <w:trHeight w:val="205"/>
        </w:trPr>
        <w:tc>
          <w:tcPr>
            <w:tcW w:w="8760" w:type="dxa"/>
            <w:vAlign w:val="bottom"/>
          </w:tcPr>
          <w:p>
            <w:pPr>
              <w:ind w:left="20"/>
              <w:spacing w:after="0"/>
              <w:rPr>
                <w:sz w:val="20"/>
                <w:szCs w:val="20"/>
                <w:color w:val="auto"/>
              </w:rPr>
            </w:pPr>
            <w:r>
              <w:rPr>
                <w:rFonts w:ascii="Arial" w:cs="Arial" w:eastAsia="Arial" w:hAnsi="Arial"/>
                <w:sz w:val="15"/>
                <w:szCs w:val="15"/>
                <w:color w:val="auto"/>
              </w:rPr>
              <w:t>2026</w:t>
            </w:r>
          </w:p>
        </w:tc>
        <w:tc>
          <w:tcPr>
            <w:tcW w:w="9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25,287</w:t>
            </w:r>
          </w:p>
        </w:tc>
      </w:tr>
      <w:tr>
        <w:trPr>
          <w:trHeight w:val="206"/>
        </w:trPr>
        <w:tc>
          <w:tcPr>
            <w:tcW w:w="8760" w:type="dxa"/>
            <w:vAlign w:val="bottom"/>
            <w:shd w:val="clear" w:color="auto" w:fill="DBDBDB"/>
          </w:tcPr>
          <w:p>
            <w:pPr>
              <w:ind w:left="20"/>
              <w:spacing w:after="0"/>
              <w:rPr>
                <w:sz w:val="20"/>
                <w:szCs w:val="20"/>
                <w:color w:val="auto"/>
              </w:rPr>
            </w:pPr>
            <w:r>
              <w:rPr>
                <w:rFonts w:ascii="Arial" w:cs="Arial" w:eastAsia="Arial" w:hAnsi="Arial"/>
                <w:sz w:val="15"/>
                <w:szCs w:val="15"/>
                <w:color w:val="auto"/>
              </w:rPr>
              <w:t>Thereafter</w:t>
            </w:r>
          </w:p>
        </w:tc>
        <w:tc>
          <w:tcPr>
            <w:tcW w:w="980" w:type="dxa"/>
            <w:vAlign w:val="bottom"/>
            <w:tcBorders>
              <w:bottom w:val="single" w:sz="8" w:color="auto"/>
            </w:tcBorders>
            <w:shd w:val="clear" w:color="auto" w:fill="DBDBDB"/>
          </w:tcPr>
          <w:p>
            <w:pPr>
              <w:spacing w:after="0"/>
              <w:rPr>
                <w:sz w:val="17"/>
                <w:szCs w:val="17"/>
                <w:color w:val="auto"/>
              </w:rPr>
            </w:pPr>
          </w:p>
        </w:tc>
        <w:tc>
          <w:tcPr>
            <w:tcW w:w="1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39,709</w:t>
            </w:r>
          </w:p>
        </w:tc>
      </w:tr>
      <w:tr>
        <w:trPr>
          <w:trHeight w:val="200"/>
        </w:trPr>
        <w:tc>
          <w:tcPr>
            <w:tcW w:w="8760" w:type="dxa"/>
            <w:vAlign w:val="bottom"/>
          </w:tcPr>
          <w:p>
            <w:pPr>
              <w:ind w:left="120"/>
              <w:spacing w:after="0"/>
              <w:rPr>
                <w:sz w:val="20"/>
                <w:szCs w:val="20"/>
                <w:color w:val="auto"/>
              </w:rPr>
            </w:pPr>
            <w:r>
              <w:rPr>
                <w:rFonts w:ascii="Arial" w:cs="Arial" w:eastAsia="Arial" w:hAnsi="Arial"/>
                <w:sz w:val="15"/>
                <w:szCs w:val="15"/>
                <w:color w:val="auto"/>
              </w:rPr>
              <w:t>Total</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157,578</w:t>
            </w:r>
          </w:p>
        </w:tc>
      </w:tr>
      <w:tr>
        <w:trPr>
          <w:trHeight w:val="20"/>
        </w:trPr>
        <w:tc>
          <w:tcPr>
            <w:tcW w:w="8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9 - Debt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760" w:type="dxa"/>
            <w:vAlign w:val="bottom"/>
            <w:gridSpan w:val="3"/>
          </w:tcPr>
          <w:p>
            <w:pPr>
              <w:ind w:left="620"/>
              <w:spacing w:after="0"/>
              <w:rPr>
                <w:sz w:val="20"/>
                <w:szCs w:val="20"/>
                <w:color w:val="auto"/>
              </w:rPr>
            </w:pPr>
            <w:r>
              <w:rPr>
                <w:rFonts w:ascii="Arial" w:cs="Arial" w:eastAsia="Arial" w:hAnsi="Arial"/>
                <w:sz w:val="15"/>
                <w:szCs w:val="15"/>
                <w:color w:val="auto"/>
              </w:rPr>
              <w:t>The carrying value of debt outstanding at the respective balance sheet dates consisted of the following:</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18"/>
        </w:trPr>
        <w:tc>
          <w:tcPr>
            <w:tcW w:w="36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rates)</w:t>
            </w:r>
          </w:p>
        </w:tc>
        <w:tc>
          <w:tcPr>
            <w:tcW w:w="2240" w:type="dxa"/>
            <w:vAlign w:val="bottom"/>
            <w:shd w:val="clear" w:color="auto" w:fill="1D2758"/>
          </w:tcPr>
          <w:p>
            <w:pPr>
              <w:jc w:val="center"/>
              <w:ind w:left="563"/>
              <w:spacing w:after="0"/>
              <w:rPr>
                <w:sz w:val="20"/>
                <w:szCs w:val="20"/>
                <w:color w:val="auto"/>
              </w:rPr>
            </w:pPr>
            <w:r>
              <w:rPr>
                <w:rFonts w:ascii="Arial" w:cs="Arial" w:eastAsia="Arial" w:hAnsi="Arial"/>
                <w:sz w:val="15"/>
                <w:szCs w:val="15"/>
                <w:b w:val="1"/>
                <w:bCs w:val="1"/>
                <w:color w:val="FFFFFF"/>
              </w:rPr>
              <w:t>Interest rate</w:t>
            </w:r>
          </w:p>
        </w:tc>
        <w:tc>
          <w:tcPr>
            <w:tcW w:w="19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Year of maturity</w:t>
            </w:r>
          </w:p>
        </w:tc>
        <w:tc>
          <w:tcPr>
            <w:tcW w:w="220" w:type="dxa"/>
            <w:vAlign w:val="bottom"/>
            <w:shd w:val="clear" w:color="auto" w:fill="1D2758"/>
          </w:tcPr>
          <w:p>
            <w:pPr>
              <w:spacing w:after="0"/>
              <w:rPr>
                <w:sz w:val="17"/>
                <w:szCs w:val="17"/>
                <w:color w:val="auto"/>
              </w:rPr>
            </w:pPr>
          </w:p>
        </w:tc>
        <w:tc>
          <w:tcPr>
            <w:tcW w:w="1560" w:type="dxa"/>
            <w:vAlign w:val="bottom"/>
            <w:gridSpan w:val="2"/>
            <w:shd w:val="clear" w:color="auto" w:fill="1D2758"/>
          </w:tcPr>
          <w:p>
            <w:pPr>
              <w:ind w:left="120"/>
              <w:spacing w:after="0"/>
              <w:rPr>
                <w:sz w:val="20"/>
                <w:szCs w:val="20"/>
                <w:color w:val="auto"/>
              </w:rPr>
            </w:pPr>
            <w:r>
              <w:rPr>
                <w:rFonts w:ascii="Arial" w:cs="Arial" w:eastAsia="Arial" w:hAnsi="Arial"/>
                <w:sz w:val="15"/>
                <w:szCs w:val="15"/>
                <w:b w:val="1"/>
                <w:bCs w:val="1"/>
                <w:color w:val="FFFFFF"/>
              </w:rPr>
              <w:t>June 30, 2022</w:t>
            </w:r>
          </w:p>
        </w:tc>
        <w:tc>
          <w:tcPr>
            <w:tcW w:w="140" w:type="dxa"/>
            <w:vAlign w:val="bottom"/>
            <w:shd w:val="clear" w:color="auto" w:fill="1D2758"/>
          </w:tcPr>
          <w:p>
            <w:pPr>
              <w:spacing w:after="0"/>
              <w:rPr>
                <w:sz w:val="17"/>
                <w:szCs w:val="17"/>
                <w:color w:val="auto"/>
              </w:rPr>
            </w:pPr>
          </w:p>
        </w:tc>
        <w:tc>
          <w:tcPr>
            <w:tcW w:w="1560" w:type="dxa"/>
            <w:vAlign w:val="bottom"/>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2025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6.125%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2025</w:t>
            </w:r>
          </w:p>
        </w:tc>
        <w:tc>
          <w:tcPr>
            <w:tcW w:w="2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519,215</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518,117</w:t>
            </w:r>
          </w:p>
        </w:tc>
      </w:tr>
      <w:tr>
        <w:trPr>
          <w:trHeight w:val="206"/>
        </w:trPr>
        <w:tc>
          <w:tcPr>
            <w:tcW w:w="3620" w:type="dxa"/>
            <w:vAlign w:val="bottom"/>
          </w:tcPr>
          <w:p>
            <w:pPr>
              <w:ind w:left="20"/>
              <w:spacing w:after="0" w:line="207" w:lineRule="exact"/>
              <w:rPr>
                <w:sz w:val="20"/>
                <w:szCs w:val="20"/>
                <w:color w:val="auto"/>
              </w:rPr>
            </w:pPr>
            <w:r>
              <w:rPr>
                <w:rFonts w:ascii="Arial" w:cs="Arial" w:eastAsia="Arial" w:hAnsi="Arial"/>
                <w:sz w:val="15"/>
                <w:szCs w:val="15"/>
                <w:color w:val="auto"/>
              </w:rPr>
              <w:t>ABL Facility</w:t>
            </w:r>
            <w:r>
              <w:rPr>
                <w:rFonts w:ascii="Arial" w:cs="Arial" w:eastAsia="Arial" w:hAnsi="Arial"/>
                <w:sz w:val="20"/>
                <w:szCs w:val="20"/>
                <w:color w:val="auto"/>
                <w:vertAlign w:val="superscript"/>
              </w:rPr>
              <w:t>(a)</w:t>
            </w:r>
          </w:p>
        </w:tc>
        <w:tc>
          <w:tcPr>
            <w:tcW w:w="2240" w:type="dxa"/>
            <w:vAlign w:val="bottom"/>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Pr>
          <w:p>
            <w:pPr>
              <w:jc w:val="center"/>
              <w:spacing w:after="0"/>
              <w:rPr>
                <w:sz w:val="20"/>
                <w:szCs w:val="20"/>
                <w:color w:val="auto"/>
              </w:rPr>
            </w:pPr>
            <w:r>
              <w:rPr>
                <w:rFonts w:ascii="Arial" w:cs="Arial" w:eastAsia="Arial" w:hAnsi="Arial"/>
                <w:sz w:val="15"/>
                <w:szCs w:val="15"/>
                <w:color w:val="auto"/>
              </w:rPr>
              <w:t>2027</w:t>
            </w:r>
          </w:p>
        </w:tc>
        <w:tc>
          <w:tcPr>
            <w:tcW w:w="22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Arial" w:cs="Arial" w:eastAsia="Arial" w:hAnsi="Arial"/>
                <w:sz w:val="15"/>
                <w:szCs w:val="15"/>
                <w:color w:val="auto"/>
              </w:rPr>
              <w:t>1,931,009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1,612,783</w:t>
            </w: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2240" w:type="dxa"/>
            <w:vAlign w:val="bottom"/>
            <w:shd w:val="clear" w:color="auto" w:fill="DBDBDB"/>
          </w:tcPr>
          <w:p>
            <w:pPr>
              <w:jc w:val="center"/>
              <w:ind w:left="563"/>
              <w:spacing w:after="0"/>
              <w:rPr>
                <w:sz w:val="20"/>
                <w:szCs w:val="20"/>
                <w:color w:val="auto"/>
              </w:rPr>
            </w:pPr>
            <w:r>
              <w:rPr>
                <w:rFonts w:ascii="Arial" w:cs="Arial" w:eastAsia="Arial" w:hAnsi="Arial"/>
                <w:sz w:val="15"/>
                <w:szCs w:val="15"/>
                <w:color w:val="auto"/>
              </w:rPr>
              <w:t>4.625%</w:t>
            </w:r>
          </w:p>
        </w:tc>
        <w:tc>
          <w:tcPr>
            <w:tcW w:w="1900" w:type="dxa"/>
            <w:vAlign w:val="bottom"/>
            <w:shd w:val="clear" w:color="auto" w:fill="DBDBDB"/>
          </w:tcPr>
          <w:p>
            <w:pPr>
              <w:jc w:val="center"/>
              <w:spacing w:after="0"/>
              <w:rPr>
                <w:sz w:val="20"/>
                <w:szCs w:val="20"/>
                <w:color w:val="auto"/>
              </w:rPr>
            </w:pPr>
            <w:r>
              <w:rPr>
                <w:rFonts w:ascii="Arial" w:cs="Arial" w:eastAsia="Arial" w:hAnsi="Arial"/>
                <w:sz w:val="15"/>
                <w:szCs w:val="15"/>
                <w:color w:val="auto"/>
              </w:rPr>
              <w:t>2028</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492,974</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492,490</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Finance Leases</w:t>
            </w:r>
          </w:p>
        </w:tc>
        <w:tc>
          <w:tcPr>
            <w:tcW w:w="2240" w:type="dxa"/>
            <w:vAlign w:val="bottom"/>
            <w:tcBorders>
              <w:bottom w:val="single" w:sz="8" w:color="DBDBDB"/>
            </w:tcBorders>
          </w:tcPr>
          <w:p>
            <w:pPr>
              <w:jc w:val="center"/>
              <w:ind w:left="563"/>
              <w:spacing w:after="0"/>
              <w:rPr>
                <w:sz w:val="20"/>
                <w:szCs w:val="20"/>
                <w:color w:val="auto"/>
              </w:rPr>
            </w:pPr>
            <w:r>
              <w:rPr>
                <w:rFonts w:ascii="Arial" w:cs="Arial" w:eastAsia="Arial" w:hAnsi="Arial"/>
                <w:sz w:val="15"/>
                <w:szCs w:val="15"/>
                <w:color w:val="auto"/>
              </w:rPr>
              <w:t>Varies</w:t>
            </w:r>
          </w:p>
        </w:tc>
        <w:tc>
          <w:tcPr>
            <w:tcW w:w="1900" w:type="dxa"/>
            <w:vAlign w:val="bottom"/>
            <w:tcBorders>
              <w:bottom w:val="single" w:sz="8" w:color="DBDBDB"/>
            </w:tcBorders>
          </w:tcPr>
          <w:p>
            <w:pPr>
              <w:jc w:val="center"/>
              <w:spacing w:after="0"/>
              <w:rPr>
                <w:sz w:val="20"/>
                <w:szCs w:val="20"/>
                <w:color w:val="auto"/>
              </w:rPr>
            </w:pPr>
            <w:r>
              <w:rPr>
                <w:rFonts w:ascii="Arial" w:cs="Arial" w:eastAsia="Arial" w:hAnsi="Arial"/>
                <w:sz w:val="15"/>
                <w:szCs w:val="15"/>
                <w:color w:val="auto"/>
              </w:rPr>
              <w:t>Varies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95,143</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89,050</w:t>
            </w:r>
          </w:p>
        </w:tc>
      </w:tr>
      <w:tr>
        <w:trPr>
          <w:trHeight w:val="200"/>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Total debt</w:t>
            </w:r>
          </w:p>
        </w:tc>
        <w:tc>
          <w:tcPr>
            <w:tcW w:w="2240" w:type="dxa"/>
            <w:vAlign w:val="bottom"/>
            <w:shd w:val="clear" w:color="auto" w:fill="DBDBDB"/>
          </w:tcPr>
          <w:p>
            <w:pPr>
              <w:spacing w:after="0"/>
              <w:rPr>
                <w:sz w:val="17"/>
                <w:szCs w:val="17"/>
                <w:color w:val="auto"/>
              </w:rPr>
            </w:pPr>
          </w:p>
        </w:tc>
        <w:tc>
          <w:tcPr>
            <w:tcW w:w="19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3,038,341</w:t>
            </w: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2,712,440</w:t>
            </w:r>
          </w:p>
        </w:tc>
      </w:tr>
      <w:tr>
        <w:trPr>
          <w:trHeight w:val="205"/>
        </w:trPr>
        <w:tc>
          <w:tcPr>
            <w:tcW w:w="362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Less: current portion of long-term debt</w:t>
            </w:r>
          </w:p>
        </w:tc>
        <w:tc>
          <w:tcPr>
            <w:tcW w:w="2240" w:type="dxa"/>
            <w:vAlign w:val="bottom"/>
            <w:tcBorders>
              <w:bottom w:val="single" w:sz="8" w:color="DBDBDB"/>
            </w:tcBorders>
          </w:tcPr>
          <w:p>
            <w:pPr>
              <w:spacing w:after="0"/>
              <w:rPr>
                <w:sz w:val="17"/>
                <w:szCs w:val="17"/>
                <w:color w:val="auto"/>
              </w:rPr>
            </w:pPr>
          </w:p>
        </w:tc>
        <w:tc>
          <w:tcPr>
            <w:tcW w:w="19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20,663</w:t>
            </w:r>
          </w:p>
        </w:tc>
        <w:tc>
          <w:tcPr>
            <w:tcW w:w="8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18,121</w:t>
            </w:r>
          </w:p>
        </w:tc>
      </w:tr>
      <w:tr>
        <w:trPr>
          <w:trHeight w:val="224"/>
        </w:trPr>
        <w:tc>
          <w:tcPr>
            <w:tcW w:w="36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5"/>
                <w:szCs w:val="15"/>
                <w:color w:val="auto"/>
              </w:rPr>
              <w:t>Total long-term debt</w:t>
            </w:r>
          </w:p>
        </w:tc>
        <w:tc>
          <w:tcPr>
            <w:tcW w:w="2240" w:type="dxa"/>
            <w:vAlign w:val="bottom"/>
            <w:tcBorders>
              <w:bottom w:val="single" w:sz="8" w:color="DBDBDB"/>
            </w:tcBorders>
            <w:shd w:val="clear" w:color="auto" w:fill="DBDBDB"/>
          </w:tcPr>
          <w:p>
            <w:pPr>
              <w:spacing w:after="0"/>
              <w:rPr>
                <w:sz w:val="19"/>
                <w:szCs w:val="19"/>
                <w:color w:val="auto"/>
              </w:rPr>
            </w:pPr>
          </w:p>
        </w:tc>
        <w:tc>
          <w:tcPr>
            <w:tcW w:w="1900" w:type="dxa"/>
            <w:vAlign w:val="bottom"/>
            <w:tcBorders>
              <w:bottom w:val="single" w:sz="8" w:color="DBDBDB"/>
            </w:tcBorders>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3,017,678</w:t>
            </w:r>
          </w:p>
        </w:tc>
        <w:tc>
          <w:tcPr>
            <w:tcW w:w="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2,694,319</w:t>
            </w: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9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4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560" w:type="dxa"/>
            <w:vAlign w:val="bottom"/>
            <w:tcBorders>
              <w:top w:val="single" w:sz="8" w:color="DBDBDB"/>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
        <w:spacing w:after="0" w:line="254" w:lineRule="auto"/>
        <w:tabs>
          <w:tab w:leader="none" w:pos="219"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December 31, 2021, the Company had no outstanding principal borrowings on the multicurrency revolving credit facility and $6.2 million of related debt issuance costs. No related debt issuance costs were recorded as a direct offset against the principal borrowings on the Multicurrency Facility, and the $6.2 million in excess of principal was included in other non-current assets on the condensed consolidated balance sheet as of December 31, 2021.</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Backed Lending Facility</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July 1, 2020, certain subsidiaries of the Company entered into an asset-based credit agreement (the "ABL Facility") that initially provided for revolving credit facilities in the aggregate principal amount of up to $2.4 billion, consisting of: (i) a senior secured asset-based US dollar revolving credit facility in the aggregate principal amount of $2.0 billion and (ii) a $400.0 million senior secured asset-based multicurrency revolving credit facility available to be drawn in US Dollars, Canadian Dollars, British Pounds Sterling or Euros. The ABL Facility was initially scheduled to mature on July 1, 2025.</w:t>
      </w:r>
    </w:p>
    <w:p>
      <w:pPr>
        <w:spacing w:after="0" w:line="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Borrowings under ABL Facility bear interest at a base rate plus an applicable margin determined quarterly by reference to the Company's excess availability for the most recently completed quarter. Effective January 7, 2022, borrowings were subject to the highest applicable margin and bore interest at (i) in the case of US Dollars, at the borrower's option, either an adjusted LIBOR rate plus 2.125% or an alternative base rate plus 1.125%, (ii) in the case of Canadian Dollars, at the borrower's option, either a Canadian BA rate plus 2.125% or Canadian prime rate plus 1.125%, (iii) in the case of Euros, the EURIBOR rate plus 2.125%, and (iv) in the case of British Pounds Sterling, the SONIA rate plus 2.125%.</w:t>
      </w:r>
    </w:p>
    <w:p>
      <w:pPr>
        <w:spacing w:after="0" w:line="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On June 30, 2022, certain subsidiaries of the Company entered into an amendment to the ABL Facility to, among other things, extend the expiration date until June 30, 2027 and increase the aggregate principal amount of the revolving credit facilities to $3.7 billion, consisting of: (i) a senior secured asset-based US dollar revolving credit facility in the aggregate principal amount of $3.3 billion (the “US Facility”) and (ii) a $400.0 million senior secured asset-based multicurrency revolving credit facility (the "Multicurrency Facility"), available to be drawn in US Dollars, Canadian Dollars, British Pounds Sterling or Euros.</w:t>
      </w:r>
    </w:p>
    <w:p>
      <w:pPr>
        <w:spacing w:after="0" w:line="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Euros loans is 1.50%. The applicable margin for base rate and Canadian Prime Rate loans is 0.50%. The applicable margins are subject to one step down of 0.25% based on excess availability or one step up of 0.25% based on the Company's leverage ratio. The ABL Facility requires the payment of an annual commitment fee on the unused available borrowings of 0.20% annually. At June 30, 2022, the weighted average interest rate for borrowings under the ABL Facility was 3.13%.</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5" w:name="page16"/>
    <w:bookmarkEnd w:id="15"/>
    <w:p>
      <w:pPr>
        <w:jc w:val="both"/>
        <w:ind w:firstLine="619"/>
        <w:spacing w:after="0" w:line="268" w:lineRule="auto"/>
        <w:rPr>
          <w:sz w:val="20"/>
          <w:szCs w:val="20"/>
          <w:color w:val="auto"/>
        </w:rPr>
      </w:pPr>
      <w:r>
        <w:rPr>
          <w:rFonts w:ascii="Arial" w:cs="Arial" w:eastAsia="Arial" w:hAnsi="Arial"/>
          <w:sz w:val="15"/>
          <w:szCs w:val="15"/>
          <w:color w:val="auto"/>
        </w:rPr>
        <w:t>Borrowing availability under the US Facility and the Multicurrency Facility is equal to the lesser of (i) the aggregate Revolver Commitments and (ii) the Line Cap. At June 30, 2022, the Company had $2.0 billion outstanding principal under the ABL Facility, the Line Cap was $3.0 billion, and the Company had $1.0 billion of available borrowing capacity under the ABL Facility, including $724.6 million under the US Facility and $309.5 million under the Multicurrency Facility. At June 30, 2022, borrowing capacity under the ABL Facility allowed for up to $204.9 million of letters of credit and up to $220.0 million of swingline loans. The Company had issued $15.1 million of standby letters of credit under the ABL Facility at June 30, 2022. At June 30, 2022, letters of credit and bank guarantees carried fees of 1.625% annually.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Debt issuance costs of $40.2 million were included in the carrying value of the ABL Facility at June 30,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Finance Leases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maintains finance leases primarily related to transportation equipment. At June 30, 2022 and December 31, 2021, obligations under finance leases for certain real property and transportation related equipment were $95.1 million and $89.1 million, respectively. Refer to Note 4 for further information.</w:t>
      </w:r>
    </w:p>
    <w:p>
      <w:pPr>
        <w:spacing w:after="0" w:line="5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is in compliance with all debt covenants and restrictions for the aforementioned debt instruments as of June 30, 2022.</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1D2758"/>
        </w:rPr>
        <w:t>NOTE 10 – Equity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In connection with the stock compensation vesting events and stock option exercises described in Note 14, and the warrant exercises described in Note 11, the Company issued 1,437,420 shares of Common Stock during the six months ended June 30, 2022.</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Repurchase Program</w:t>
      </w:r>
    </w:p>
    <w:p>
      <w:pPr>
        <w:spacing w:after="0" w:line="69"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A share repurchase program authorizes the Company to repurchase up to $1.0 billion of its outstanding shares of Common Stock and equivalents. The stock repurchase program does not obligate the Company to purchase any particular number of shares, and the timing and exact amount of any repurchases will depend on various factors, including market pricing and conditions, business, legal, accounting, and other considerations. During the six months ended June 30, 2022, the Company repurchased 9,304,626 shares of Common Stock and stock equivalents for $326.9 million. As of June 30, 2022, $629.8 million of the approved repurchase amount remained available. In July 2022, the Company's Board of Directors approved an increase to the share repurchase program that authorizes the Company to repurchase up to $1.0 billion of its outstanding shares of Common Stock and equivalents.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Accumulated Other Comprehensive Loss</w:t>
      </w:r>
    </w:p>
    <w:p>
      <w:pPr>
        <w:spacing w:after="0" w:line="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changes in accumulated other comprehensive income (loss) ("AOCI"), net of tax, for the six months ended June 30, 2022 and 2021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060" w:type="dxa"/>
            <w:vAlign w:val="bottom"/>
            <w:gridSpan w:val="4"/>
            <w:shd w:val="clear" w:color="auto" w:fill="1D2758"/>
          </w:tcPr>
          <w:p>
            <w:pPr>
              <w:jc w:val="center"/>
              <w:ind w:left="1063"/>
              <w:spacing w:after="0"/>
              <w:rPr>
                <w:sz w:val="20"/>
                <w:szCs w:val="20"/>
                <w:color w:val="auto"/>
              </w:rPr>
            </w:pPr>
            <w:r>
              <w:rPr>
                <w:rFonts w:ascii="Arial" w:cs="Arial" w:eastAsia="Arial" w:hAnsi="Arial"/>
                <w:sz w:val="15"/>
                <w:szCs w:val="15"/>
                <w:b w:val="1"/>
                <w:bCs w:val="1"/>
                <w:color w:val="FFFFFF"/>
              </w:rPr>
              <w:t>Six Months Ended June 30, 2022</w:t>
            </w: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64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Foreign currency</w:t>
            </w:r>
          </w:p>
        </w:tc>
        <w:tc>
          <w:tcPr>
            <w:tcW w:w="180" w:type="dxa"/>
            <w:vAlign w:val="bottom"/>
            <w:shd w:val="clear" w:color="auto" w:fill="1D2758"/>
          </w:tcPr>
          <w:p>
            <w:pPr>
              <w:spacing w:after="0"/>
              <w:rPr>
                <w:sz w:val="13"/>
                <w:szCs w:val="13"/>
                <w:color w:val="auto"/>
              </w:rPr>
            </w:pPr>
          </w:p>
        </w:tc>
        <w:tc>
          <w:tcPr>
            <w:tcW w:w="1720" w:type="dxa"/>
            <w:vAlign w:val="bottom"/>
            <w:shd w:val="clear" w:color="auto" w:fill="1D2758"/>
          </w:tcPr>
          <w:p>
            <w:pPr>
              <w:jc w:val="center"/>
              <w:ind w:right="83"/>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translation</w:t>
            </w:r>
          </w:p>
        </w:tc>
        <w:tc>
          <w:tcPr>
            <w:tcW w:w="180" w:type="dxa"/>
            <w:vAlign w:val="bottom"/>
            <w:shd w:val="clear" w:color="auto" w:fill="1D2758"/>
          </w:tcPr>
          <w:p>
            <w:pPr>
              <w:spacing w:after="0"/>
              <w:rPr>
                <w:sz w:val="17"/>
                <w:szCs w:val="17"/>
                <w:color w:val="auto"/>
              </w:rPr>
            </w:pPr>
          </w:p>
        </w:tc>
        <w:tc>
          <w:tcPr>
            <w:tcW w:w="1720" w:type="dxa"/>
            <w:vAlign w:val="bottom"/>
            <w:shd w:val="clear" w:color="auto" w:fill="1D2758"/>
          </w:tcPr>
          <w:p>
            <w:pPr>
              <w:jc w:val="center"/>
              <w:ind w:right="83"/>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2021</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(25,574)</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(3,497)</w:t>
            </w:r>
          </w:p>
        </w:tc>
        <w:tc>
          <w:tcPr>
            <w:tcW w:w="5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(29,071)</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(4,074)</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(569)</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(4,643)</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2,890</w:t>
            </w:r>
          </w:p>
        </w:tc>
        <w:tc>
          <w:tcPr>
            <w:tcW w:w="52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2,890</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2022</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(29,648)</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(1,176)</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(30,824)</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loss before reclassifications</w:t>
            </w:r>
          </w:p>
        </w:tc>
        <w:tc>
          <w:tcPr>
            <w:tcW w:w="180" w:type="dxa"/>
            <w:vAlign w:val="bottom"/>
            <w:shd w:val="clear" w:color="auto" w:fill="DBDBDB"/>
          </w:tcPr>
          <w:p>
            <w:pPr>
              <w:spacing w:after="0"/>
              <w:rPr>
                <w:sz w:val="18"/>
                <w:szCs w:val="18"/>
                <w:color w:val="auto"/>
              </w:rPr>
            </w:pP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(25,628)</w:t>
            </w:r>
          </w:p>
        </w:tc>
        <w:tc>
          <w:tcPr>
            <w:tcW w:w="18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(464)</w:t>
            </w:r>
          </w:p>
        </w:tc>
        <w:tc>
          <w:tcPr>
            <w:tcW w:w="5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(26,092)</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1,640</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1,640</w:t>
            </w:r>
          </w:p>
        </w:tc>
        <w:tc>
          <w:tcPr>
            <w:tcW w:w="0" w:type="dxa"/>
            <w:vAlign w:val="bottom"/>
          </w:tcPr>
          <w:p>
            <w:pPr>
              <w:spacing w:after="0"/>
              <w:rPr>
                <w:sz w:val="1"/>
                <w:szCs w:val="1"/>
                <w:color w:val="auto"/>
              </w:rPr>
            </w:pPr>
          </w:p>
        </w:tc>
      </w:tr>
      <w:tr>
        <w:trPr>
          <w:trHeight w:val="224"/>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2022</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(55,276)</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568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4060" w:type="dxa"/>
            <w:vAlign w:val="bottom"/>
            <w:gridSpan w:val="4"/>
            <w:shd w:val="clear" w:color="auto" w:fill="1D2758"/>
          </w:tcPr>
          <w:p>
            <w:pPr>
              <w:jc w:val="center"/>
              <w:ind w:left="1063"/>
              <w:spacing w:after="0"/>
              <w:rPr>
                <w:sz w:val="20"/>
                <w:szCs w:val="20"/>
                <w:color w:val="auto"/>
              </w:rPr>
            </w:pPr>
            <w:r>
              <w:rPr>
                <w:rFonts w:ascii="Arial" w:cs="Arial" w:eastAsia="Arial" w:hAnsi="Arial"/>
                <w:sz w:val="15"/>
                <w:szCs w:val="15"/>
                <w:b w:val="1"/>
                <w:bCs w:val="1"/>
                <w:color w:val="FFFFFF"/>
              </w:rPr>
              <w:t>Six Months Ended June 30, 2021</w:t>
            </w:r>
          </w:p>
        </w:tc>
        <w:tc>
          <w:tcPr>
            <w:tcW w:w="13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6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13"/>
                <w:szCs w:val="13"/>
                <w:color w:val="auto"/>
              </w:rPr>
            </w:pPr>
          </w:p>
        </w:tc>
        <w:tc>
          <w:tcPr>
            <w:tcW w:w="164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Foreign currency</w:t>
            </w:r>
          </w:p>
        </w:tc>
        <w:tc>
          <w:tcPr>
            <w:tcW w:w="180" w:type="dxa"/>
            <w:vAlign w:val="bottom"/>
            <w:shd w:val="clear" w:color="auto" w:fill="1D2758"/>
          </w:tcPr>
          <w:p>
            <w:pPr>
              <w:spacing w:after="0"/>
              <w:rPr>
                <w:sz w:val="13"/>
                <w:szCs w:val="13"/>
                <w:color w:val="auto"/>
              </w:rPr>
            </w:pPr>
          </w:p>
        </w:tc>
        <w:tc>
          <w:tcPr>
            <w:tcW w:w="1720" w:type="dxa"/>
            <w:vAlign w:val="bottom"/>
            <w:shd w:val="clear" w:color="auto" w:fill="1D2758"/>
          </w:tcPr>
          <w:p>
            <w:pPr>
              <w:jc w:val="center"/>
              <w:ind w:right="83"/>
              <w:spacing w:after="0" w:line="155" w:lineRule="exact"/>
              <w:rPr>
                <w:sz w:val="20"/>
                <w:szCs w:val="20"/>
                <w:color w:val="auto"/>
              </w:rPr>
            </w:pPr>
            <w:r>
              <w:rPr>
                <w:rFonts w:ascii="Arial" w:cs="Arial" w:eastAsia="Arial" w:hAnsi="Arial"/>
                <w:sz w:val="15"/>
                <w:szCs w:val="15"/>
                <w:b w:val="1"/>
                <w:bCs w:val="1"/>
                <w:color w:val="FFFFFF"/>
              </w:rPr>
              <w:t>Unrealized losses on</w:t>
            </w:r>
          </w:p>
        </w:tc>
        <w:tc>
          <w:tcPr>
            <w:tcW w:w="520" w:type="dxa"/>
            <w:vAlign w:val="bottom"/>
            <w:shd w:val="clear" w:color="auto" w:fill="1D2758"/>
          </w:tcPr>
          <w:p>
            <w:pPr>
              <w:spacing w:after="0"/>
              <w:rPr>
                <w:sz w:val="13"/>
                <w:szCs w:val="13"/>
                <w:color w:val="auto"/>
              </w:rPr>
            </w:pPr>
          </w:p>
        </w:tc>
        <w:tc>
          <w:tcPr>
            <w:tcW w:w="1320" w:type="dxa"/>
            <w:vAlign w:val="bottom"/>
            <w:vMerge w:val="restart"/>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5680" w:type="dxa"/>
            <w:vAlign w:val="bottom"/>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6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translation</w:t>
            </w:r>
          </w:p>
        </w:tc>
        <w:tc>
          <w:tcPr>
            <w:tcW w:w="180" w:type="dxa"/>
            <w:vAlign w:val="bottom"/>
            <w:shd w:val="clear" w:color="auto" w:fill="1D2758"/>
          </w:tcPr>
          <w:p>
            <w:pPr>
              <w:spacing w:after="0"/>
              <w:rPr>
                <w:sz w:val="17"/>
                <w:szCs w:val="17"/>
                <w:color w:val="auto"/>
              </w:rPr>
            </w:pPr>
          </w:p>
        </w:tc>
        <w:tc>
          <w:tcPr>
            <w:tcW w:w="1720" w:type="dxa"/>
            <w:vAlign w:val="bottom"/>
            <w:shd w:val="clear" w:color="auto" w:fill="1D2758"/>
          </w:tcPr>
          <w:p>
            <w:pPr>
              <w:jc w:val="center"/>
              <w:ind w:right="83"/>
              <w:spacing w:after="0"/>
              <w:rPr>
                <w:sz w:val="20"/>
                <w:szCs w:val="20"/>
                <w:color w:val="auto"/>
              </w:rPr>
            </w:pPr>
            <w:r>
              <w:rPr>
                <w:rFonts w:ascii="Arial" w:cs="Arial" w:eastAsia="Arial" w:hAnsi="Arial"/>
                <w:sz w:val="15"/>
                <w:szCs w:val="15"/>
                <w:b w:val="1"/>
                <w:bCs w:val="1"/>
                <w:color w:val="FFFFFF"/>
              </w:rPr>
              <w:t>hedging activities</w:t>
            </w:r>
          </w:p>
        </w:tc>
        <w:tc>
          <w:tcPr>
            <w:tcW w:w="520" w:type="dxa"/>
            <w:vAlign w:val="bottom"/>
            <w:shd w:val="clear" w:color="auto" w:fill="1D2758"/>
          </w:tcPr>
          <w:p>
            <w:pPr>
              <w:spacing w:after="0"/>
              <w:rPr>
                <w:sz w:val="17"/>
                <w:szCs w:val="17"/>
                <w:color w:val="auto"/>
              </w:rPr>
            </w:pPr>
          </w:p>
        </w:tc>
        <w:tc>
          <w:tcPr>
            <w:tcW w:w="132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8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at December 31, 2020</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(24,694)</w:t>
            </w:r>
          </w:p>
        </w:tc>
        <w:tc>
          <w:tcPr>
            <w:tcW w:w="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(12,513)</w:t>
            </w:r>
          </w:p>
        </w:tc>
        <w:tc>
          <w:tcPr>
            <w:tcW w:w="52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(37,207)</w:t>
            </w:r>
          </w:p>
        </w:tc>
        <w:tc>
          <w:tcPr>
            <w:tcW w:w="0" w:type="dxa"/>
            <w:vAlign w:val="bottom"/>
          </w:tcPr>
          <w:p>
            <w:pPr>
              <w:spacing w:after="0"/>
              <w:rPr>
                <w:sz w:val="1"/>
                <w:szCs w:val="1"/>
                <w:color w:val="auto"/>
              </w:rPr>
            </w:pPr>
          </w:p>
        </w:tc>
      </w:tr>
      <w:tr>
        <w:trPr>
          <w:trHeight w:val="205"/>
        </w:trPr>
        <w:tc>
          <w:tcPr>
            <w:tcW w:w="5680" w:type="dxa"/>
            <w:vAlign w:val="bottom"/>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tcPr>
          <w:p>
            <w:pPr>
              <w:spacing w:after="0"/>
              <w:rPr>
                <w:sz w:val="17"/>
                <w:szCs w:val="17"/>
                <w:color w:val="auto"/>
              </w:rPr>
            </w:pPr>
          </w:p>
        </w:tc>
        <w:tc>
          <w:tcPr>
            <w:tcW w:w="1640" w:type="dxa"/>
            <w:vAlign w:val="bottom"/>
          </w:tcPr>
          <w:p>
            <w:pPr>
              <w:jc w:val="right"/>
              <w:ind w:right="23"/>
              <w:spacing w:after="0"/>
              <w:rPr>
                <w:sz w:val="20"/>
                <w:szCs w:val="20"/>
                <w:color w:val="auto"/>
              </w:rPr>
            </w:pPr>
            <w:r>
              <w:rPr>
                <w:rFonts w:ascii="Arial" w:cs="Arial" w:eastAsia="Arial" w:hAnsi="Arial"/>
                <w:sz w:val="15"/>
                <w:szCs w:val="15"/>
                <w:color w:val="auto"/>
              </w:rPr>
              <w:t>5,034</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(760)</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4,274</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shd w:val="clear" w:color="auto" w:fill="DBDBDB"/>
          </w:tcPr>
          <w:p>
            <w:pPr>
              <w:spacing w:after="0"/>
              <w:rPr>
                <w:sz w:val="18"/>
                <w:szCs w:val="18"/>
                <w:color w:val="auto"/>
              </w:rPr>
            </w:pPr>
          </w:p>
        </w:tc>
        <w:tc>
          <w:tcPr>
            <w:tcW w:w="164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shd w:val="clear" w:color="auto" w:fill="DBDBDB"/>
          </w:tcPr>
          <w:p>
            <w:pPr>
              <w:spacing w:after="0"/>
              <w:rPr>
                <w:sz w:val="18"/>
                <w:szCs w:val="18"/>
                <w:color w:val="auto"/>
              </w:rPr>
            </w:pP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2,937</w:t>
            </w:r>
          </w:p>
        </w:tc>
        <w:tc>
          <w:tcPr>
            <w:tcW w:w="520" w:type="dxa"/>
            <w:vAlign w:val="bottom"/>
            <w:tcBorders>
              <w:bottom w:val="single" w:sz="8" w:color="auto"/>
            </w:tcBorders>
            <w:shd w:val="clear" w:color="auto" w:fill="DBDBDB"/>
          </w:tcPr>
          <w:p>
            <w:pPr>
              <w:spacing w:after="0"/>
              <w:rPr>
                <w:sz w:val="18"/>
                <w:szCs w:val="18"/>
                <w:color w:val="auto"/>
              </w:rPr>
            </w:pP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2,937</w:t>
            </w:r>
          </w:p>
        </w:tc>
        <w:tc>
          <w:tcPr>
            <w:tcW w:w="0" w:type="dxa"/>
            <w:vAlign w:val="bottom"/>
          </w:tcPr>
          <w:p>
            <w:pPr>
              <w:spacing w:after="0"/>
              <w:rPr>
                <w:sz w:val="1"/>
                <w:szCs w:val="1"/>
                <w:color w:val="auto"/>
              </w:rPr>
            </w:pPr>
          </w:p>
        </w:tc>
      </w:tr>
      <w:tr>
        <w:trPr>
          <w:trHeight w:val="198"/>
        </w:trPr>
        <w:tc>
          <w:tcPr>
            <w:tcW w:w="5680" w:type="dxa"/>
            <w:vAlign w:val="bottom"/>
          </w:tcPr>
          <w:p>
            <w:pPr>
              <w:ind w:left="20"/>
              <w:spacing w:after="0"/>
              <w:rPr>
                <w:sz w:val="20"/>
                <w:szCs w:val="20"/>
                <w:color w:val="auto"/>
              </w:rPr>
            </w:pPr>
            <w:r>
              <w:rPr>
                <w:rFonts w:ascii="Arial" w:cs="Arial" w:eastAsia="Arial" w:hAnsi="Arial"/>
                <w:sz w:val="15"/>
                <w:szCs w:val="15"/>
                <w:color w:val="auto"/>
              </w:rPr>
              <w:t>Balance at March 31, 2021</w:t>
            </w:r>
          </w:p>
        </w:tc>
        <w:tc>
          <w:tcPr>
            <w:tcW w:w="1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(19,660)</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(10,336)</w:t>
            </w:r>
          </w:p>
        </w:tc>
        <w:tc>
          <w:tcPr>
            <w:tcW w:w="5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(29,996)</w:t>
            </w:r>
          </w:p>
        </w:tc>
        <w:tc>
          <w:tcPr>
            <w:tcW w:w="0" w:type="dxa"/>
            <w:vAlign w:val="bottom"/>
          </w:tcPr>
          <w:p>
            <w:pPr>
              <w:spacing w:after="0"/>
              <w:rPr>
                <w:sz w:val="1"/>
                <w:szCs w:val="1"/>
                <w:color w:val="auto"/>
              </w:rPr>
            </w:pPr>
          </w:p>
        </w:tc>
      </w:tr>
      <w:tr>
        <w:trPr>
          <w:trHeight w:val="207"/>
        </w:trPr>
        <w:tc>
          <w:tcPr>
            <w:tcW w:w="56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Other comprehensive income (loss) before reclassifications</w:t>
            </w:r>
          </w:p>
        </w:tc>
        <w:tc>
          <w:tcPr>
            <w:tcW w:w="180" w:type="dxa"/>
            <w:vAlign w:val="bottom"/>
            <w:shd w:val="clear" w:color="auto" w:fill="DBDBDB"/>
          </w:tcPr>
          <w:p>
            <w:pPr>
              <w:spacing w:after="0"/>
              <w:rPr>
                <w:sz w:val="18"/>
                <w:szCs w:val="18"/>
                <w:color w:val="auto"/>
              </w:rPr>
            </w:pPr>
          </w:p>
        </w:tc>
        <w:tc>
          <w:tcPr>
            <w:tcW w:w="16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3,093</w:t>
            </w:r>
          </w:p>
        </w:tc>
        <w:tc>
          <w:tcPr>
            <w:tcW w:w="180" w:type="dxa"/>
            <w:vAlign w:val="bottom"/>
            <w:shd w:val="clear" w:color="auto" w:fill="DBDBDB"/>
          </w:tcPr>
          <w:p>
            <w:pPr>
              <w:spacing w:after="0"/>
              <w:rPr>
                <w:sz w:val="18"/>
                <w:szCs w:val="18"/>
                <w:color w:val="auto"/>
              </w:rPr>
            </w:pPr>
          </w:p>
        </w:tc>
        <w:tc>
          <w:tcPr>
            <w:tcW w:w="1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(848)</w:t>
            </w:r>
          </w:p>
        </w:tc>
        <w:tc>
          <w:tcPr>
            <w:tcW w:w="520" w:type="dxa"/>
            <w:vAlign w:val="bottom"/>
            <w:shd w:val="clear" w:color="auto" w:fill="DBDBDB"/>
          </w:tcPr>
          <w:p>
            <w:pPr>
              <w:spacing w:after="0"/>
              <w:rPr>
                <w:sz w:val="18"/>
                <w:szCs w:val="18"/>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2,245</w:t>
            </w:r>
          </w:p>
        </w:tc>
        <w:tc>
          <w:tcPr>
            <w:tcW w:w="0" w:type="dxa"/>
            <w:vAlign w:val="bottom"/>
          </w:tcPr>
          <w:p>
            <w:pPr>
              <w:spacing w:after="0"/>
              <w:rPr>
                <w:sz w:val="1"/>
                <w:szCs w:val="1"/>
                <w:color w:val="auto"/>
              </w:rPr>
            </w:pPr>
          </w:p>
        </w:tc>
      </w:tr>
      <w:tr>
        <w:trPr>
          <w:trHeight w:val="205"/>
        </w:trPr>
        <w:tc>
          <w:tcPr>
            <w:tcW w:w="568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Reclassifications from AOCI to income</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2,994</w:t>
            </w:r>
          </w:p>
        </w:tc>
        <w:tc>
          <w:tcPr>
            <w:tcW w:w="5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2,994</w:t>
            </w:r>
          </w:p>
        </w:tc>
        <w:tc>
          <w:tcPr>
            <w:tcW w:w="0" w:type="dxa"/>
            <w:vAlign w:val="bottom"/>
          </w:tcPr>
          <w:p>
            <w:pPr>
              <w:spacing w:after="0"/>
              <w:rPr>
                <w:sz w:val="1"/>
                <w:szCs w:val="1"/>
                <w:color w:val="auto"/>
              </w:rPr>
            </w:pPr>
          </w:p>
        </w:tc>
      </w:tr>
      <w:tr>
        <w:trPr>
          <w:trHeight w:val="224"/>
        </w:trPr>
        <w:tc>
          <w:tcPr>
            <w:tcW w:w="56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at June 30, 2021</w:t>
            </w:r>
          </w:p>
        </w:tc>
        <w:tc>
          <w:tcPr>
            <w:tcW w:w="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(16,567)</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(8,190)</w:t>
            </w:r>
          </w:p>
        </w:tc>
        <w:tc>
          <w:tcPr>
            <w:tcW w:w="52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3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(24,757)</w:t>
            </w:r>
          </w:p>
        </w:tc>
        <w:tc>
          <w:tcPr>
            <w:tcW w:w="0" w:type="dxa"/>
            <w:vAlign w:val="bottom"/>
          </w:tcPr>
          <w:p>
            <w:pPr>
              <w:spacing w:after="0"/>
              <w:rPr>
                <w:sz w:val="1"/>
                <w:szCs w:val="1"/>
                <w:color w:val="auto"/>
              </w:rPr>
            </w:pPr>
          </w:p>
        </w:tc>
      </w:tr>
      <w:tr>
        <w:trPr>
          <w:trHeight w:val="20"/>
        </w:trPr>
        <w:tc>
          <w:tcPr>
            <w:tcW w:w="56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640" w:type="dxa"/>
            <w:vAlign w:val="bottom"/>
            <w:tcBorders>
              <w:top w:val="single" w:sz="8" w:color="DBDBDB"/>
              <w:bottom w:val="single" w:sz="8" w:color="auto"/>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720" w:type="dxa"/>
            <w:vAlign w:val="bottom"/>
            <w:tcBorders>
              <w:top w:val="single" w:sz="8" w:color="DBDBDB"/>
              <w:bottom w:val="single" w:sz="8" w:color="auto"/>
            </w:tcBorders>
          </w:tcPr>
          <w:p>
            <w:pPr>
              <w:spacing w:after="0" w:line="20" w:lineRule="exact"/>
              <w:rPr>
                <w:sz w:val="1"/>
                <w:szCs w:val="1"/>
                <w:color w:val="auto"/>
              </w:rPr>
            </w:pPr>
          </w:p>
        </w:tc>
        <w:tc>
          <w:tcPr>
            <w:tcW w:w="520" w:type="dxa"/>
            <w:vAlign w:val="bottom"/>
            <w:tcBorders>
              <w:top w:val="single" w:sz="8" w:color="DBDBDB"/>
              <w:bottom w:val="single" w:sz="8" w:color="auto"/>
            </w:tcBorders>
          </w:tcPr>
          <w:p>
            <w:pPr>
              <w:spacing w:after="0" w:line="20" w:lineRule="exact"/>
              <w:rPr>
                <w:sz w:val="1"/>
                <w:szCs w:val="1"/>
                <w:color w:val="auto"/>
              </w:rPr>
            </w:pPr>
          </w:p>
        </w:tc>
        <w:tc>
          <w:tcPr>
            <w:tcW w:w="13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For the six months ended June 30, 2022 and 2021, $4.5 million and $5.9 million, was reclassified from AOCI into interest expense in the condensed consolidated statements of operations related to the interest rate swap discussed in Note 15. Associated with these reclassifications, the Company recorded tax expense of $0.4 million and $0.7 million for the three months ended June 30, 2022 and 2021, respectively, and $1.1 million and $1.3 million for the six months ended June 30, 2022 and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11 – Warrants</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2015 Warrants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WillScot was incorporated under the name Double Eagle Acquisition Corporation ("DEAC") on June 26, 2015. DEAC issued warrants to purchase its Common Stock in a private placement concurrently with its initial public offering (the “2015 Private Warrants”) each of which entitled the holder to purchase one-half of one share of Common Stock. During the six months ended June 30, 2021, 3,055,000 of the 2015 Private Warrants were repurchased for $25.5 million and cancelled. In addition, during the six months ended June 30, 2021, 9,655,000 warrants were exercised on a cashless basis, resulting in the issuance of 2,939,898 shares of Common Stock. As of June 30, 2021, no 2015 Private Warrants remained outstanding.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2018 Warrants</w:t>
      </w:r>
    </w:p>
    <w:p>
      <w:pPr>
        <w:spacing w:after="0" w:line="7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In connection with the Modular Space Holdings ("ModSpace") acquisition in 2018, WillScot issued warrants to purchase approximately 10.0 million shares of Common Stock (the "2018 Warrants") to former shareholders of ModSpace. Each 2018 Warrant entitles the holder to purchase one share of Common Stock at an exercise price of $15.50 per share, subject to adjustment. The 2018 Warrants expire on November 29, 2022. During the six months ended June 30, 2022, 33,965 of the 2018 Warrants were repurchased for $0.6 million and cancelled. In addition, during the six months ended June 30, 2022, 1,037,379 of the 2018 Warrants were exercised on a cashless basis, resulting in the issuance of 631,863 shares of common stock. At June 30, 2022, 3,006,829 of the 2018 Warrants were outstanding.</w:t>
      </w:r>
    </w:p>
    <w:p>
      <w:pPr>
        <w:spacing w:after="0" w:line="2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accounted for its warrants in the following ways: (i) the 2015 Private Warrants as liabilities through their final repurchase or exercise in May 2021, and (ii) the 2018 Warrants as liabilities until June 30, 2020 after which they are accounted for as equity instruments. Warrants classified as liabilities were subject to remeasurement at each balance sheet date and transaction date with changes in the estimated fair values of the common stock warrant liabilities and gains and losses on extinguishment of common stock warrant liabilities reported in the consolidated statements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12 – Income Taxes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recorded $24.7 million and $40.5 million of income tax expense for the three and six months ended June 30, 2022, respectively, and $18.8 million and $29.3 million of income tax expense for the three and six months ended June 30, 2021, respectively. The Company’s effective tax rate for the three and six months ended June 30, 2022 was 25.2% and 24.5%, respectively. The Company's effective tax rate for the three and six months ended June 30, 2021 was 48.0% and 54.2%, respectively.</w:t>
      </w:r>
    </w:p>
    <w:p>
      <w:pPr>
        <w:spacing w:after="0" w:line="20"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effective tax rate for the three and six months ended June 30, 2022 differed from the US federal statutory rate of 21% primarily due to state and provincial taxes offset by a discrete tax benefit related to employee stock vesting. The effective tax rate for the three and six months ended June 30, 2021 differed from the US statutory rate of 21% primarily due to the permanent add-backs related to changes in the estimated fair values of the Company's common stock warrant liabilities and the impact of the UK statutory rate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1D2758"/>
        </w:rPr>
        <w:t>NOTE 13 - Fair Value Measures</w:t>
      </w:r>
    </w:p>
    <w:p>
      <w:pPr>
        <w:spacing w:after="0" w:line="12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financial assets and liabilities are included at the amount at which the instrument could be exchanged in a current transaction between willing parties, other than in a forced or liquidation sale.</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utilizes the suggested accounting guidance for the three levels of inputs that may be used to measure fair value:</w:t>
      </w:r>
    </w:p>
    <w:p>
      <w:pPr>
        <w:spacing w:after="0" w:line="9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1 -</w:t>
      </w:r>
      <w:r>
        <w:rPr>
          <w:sz w:val="20"/>
          <w:szCs w:val="20"/>
          <w:color w:val="auto"/>
        </w:rPr>
        <w:tab/>
      </w:r>
      <w:r>
        <w:rPr>
          <w:rFonts w:ascii="Arial" w:cs="Arial" w:eastAsia="Arial" w:hAnsi="Arial"/>
          <w:sz w:val="15"/>
          <w:szCs w:val="15"/>
          <w:color w:val="auto"/>
        </w:rPr>
        <w:t>Observable inputs such as quoted prices in active markets for identical assets or liabilities;</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2 -</w:t>
      </w:r>
      <w:r>
        <w:rPr>
          <w:sz w:val="20"/>
          <w:szCs w:val="20"/>
          <w:color w:val="auto"/>
        </w:rPr>
        <w:tab/>
      </w:r>
      <w:r>
        <w:rPr>
          <w:rFonts w:ascii="Arial" w:cs="Arial" w:eastAsia="Arial" w:hAnsi="Arial"/>
          <w:sz w:val="15"/>
          <w:szCs w:val="15"/>
          <w:color w:val="auto"/>
        </w:rPr>
        <w:t>Observable inputs, other than Level 1 inputs in active markets, that are observable either directly or indirectly; and</w:t>
      </w:r>
    </w:p>
    <w:p>
      <w:pPr>
        <w:spacing w:after="0" w:line="34"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5"/>
          <w:szCs w:val="15"/>
          <w:color w:val="auto"/>
        </w:rPr>
        <w:t>Level 3 -</w:t>
      </w:r>
      <w:r>
        <w:rPr>
          <w:sz w:val="20"/>
          <w:szCs w:val="20"/>
          <w:color w:val="auto"/>
        </w:rPr>
        <w:tab/>
      </w:r>
      <w:r>
        <w:rPr>
          <w:rFonts w:ascii="Arial" w:cs="Arial" w:eastAsia="Arial" w:hAnsi="Arial"/>
          <w:sz w:val="15"/>
          <w:szCs w:val="15"/>
          <w:color w:val="auto"/>
        </w:rPr>
        <w:t>Unobservable inputs for which there is little or no market data, which require the reporting entity to develop its own assumptions</w:t>
      </w:r>
    </w:p>
    <w:p>
      <w:pPr>
        <w:spacing w:after="0" w:line="21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Company has assessed that the fair value of cash and cash equivalents, trade receivables, trade payables, and other current liabilities approximate their carrying amounts. Based on the borrowing rates currently available for bank loans with similar terms and average maturities, the fair value of finance leases at June 30, 2022 approximate their respective book values.</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shows the carrying amounts and fair values of financial liabilities which are disclosed, but not measured, at fair value, including their levels in the fair values hierarchy:</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60" w:type="dxa"/>
            <w:vAlign w:val="bottom"/>
            <w:gridSpan w:val="2"/>
            <w:shd w:val="clear" w:color="auto" w:fill="1D2758"/>
          </w:tcPr>
          <w:p>
            <w:pPr>
              <w:jc w:val="right"/>
              <w:ind w:right="543"/>
              <w:spacing w:after="0"/>
              <w:rPr>
                <w:sz w:val="20"/>
                <w:szCs w:val="20"/>
                <w:color w:val="auto"/>
              </w:rPr>
            </w:pPr>
            <w:r>
              <w:rPr>
                <w:rFonts w:ascii="Arial" w:cs="Arial" w:eastAsia="Arial" w:hAnsi="Arial"/>
                <w:sz w:val="15"/>
                <w:szCs w:val="15"/>
                <w:b w:val="1"/>
                <w:bCs w:val="1"/>
                <w:color w:val="FFFFFF"/>
              </w:rPr>
              <w:t>June 30, 2022</w:t>
            </w:r>
          </w:p>
        </w:tc>
        <w:tc>
          <w:tcPr>
            <w:tcW w:w="240" w:type="dxa"/>
            <w:vAlign w:val="bottom"/>
            <w:shd w:val="clear" w:color="auto" w:fill="1D2758"/>
          </w:tcPr>
          <w:p>
            <w:pPr>
              <w:spacing w:after="0"/>
              <w:rPr>
                <w:sz w:val="17"/>
                <w:szCs w:val="17"/>
                <w:color w:val="auto"/>
              </w:rPr>
            </w:pPr>
          </w:p>
        </w:tc>
        <w:tc>
          <w:tcPr>
            <w:tcW w:w="112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December 31, 2021</w:t>
            </w:r>
          </w:p>
        </w:tc>
        <w:tc>
          <w:tcPr>
            <w:tcW w:w="24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920" w:type="dxa"/>
            <w:vAlign w:val="bottom"/>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1120" w:type="dxa"/>
            <w:vAlign w:val="bottom"/>
            <w:shd w:val="clear" w:color="auto" w:fill="1D2758"/>
          </w:tcPr>
          <w:p>
            <w:pPr>
              <w:spacing w:after="0"/>
              <w:rPr>
                <w:sz w:val="18"/>
                <w:szCs w:val="18"/>
                <w:color w:val="auto"/>
              </w:rPr>
            </w:pPr>
          </w:p>
        </w:tc>
        <w:tc>
          <w:tcPr>
            <w:tcW w:w="960" w:type="dxa"/>
            <w:vAlign w:val="bottom"/>
            <w:vMerge w:val="restart"/>
            <w:shd w:val="clear" w:color="auto" w:fill="1D2758"/>
          </w:tcPr>
          <w:p>
            <w:pPr>
              <w:jc w:val="right"/>
              <w:ind w:right="163"/>
              <w:spacing w:after="0"/>
              <w:rPr>
                <w:sz w:val="20"/>
                <w:szCs w:val="20"/>
                <w:color w:val="auto"/>
              </w:rPr>
            </w:pPr>
            <w:r>
              <w:rPr>
                <w:rFonts w:ascii="Arial" w:cs="Arial" w:eastAsia="Arial" w:hAnsi="Arial"/>
                <w:sz w:val="15"/>
                <w:szCs w:val="15"/>
                <w:b w:val="1"/>
                <w:bCs w:val="1"/>
                <w:color w:val="FFFFFF"/>
              </w:rPr>
              <w:t>Carrying</w:t>
            </w:r>
          </w:p>
        </w:tc>
        <w:tc>
          <w:tcPr>
            <w:tcW w:w="240" w:type="dxa"/>
            <w:vAlign w:val="bottom"/>
            <w:shd w:val="clear" w:color="auto" w:fill="1D2758"/>
          </w:tcPr>
          <w:p>
            <w:pPr>
              <w:spacing w:after="0"/>
              <w:rPr>
                <w:sz w:val="18"/>
                <w:szCs w:val="18"/>
                <w:color w:val="auto"/>
              </w:rPr>
            </w:pPr>
          </w:p>
        </w:tc>
        <w:tc>
          <w:tcPr>
            <w:tcW w:w="1100" w:type="dxa"/>
            <w:vAlign w:val="bottom"/>
            <w:shd w:val="clear" w:color="auto" w:fill="1D2758"/>
          </w:tcPr>
          <w:p>
            <w:pPr>
              <w:spacing w:after="0"/>
              <w:rPr>
                <w:sz w:val="18"/>
                <w:szCs w:val="18"/>
                <w:color w:val="auto"/>
              </w:rPr>
            </w:pPr>
          </w:p>
        </w:tc>
        <w:tc>
          <w:tcPr>
            <w:tcW w:w="98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Fair Value</w:t>
            </w:r>
          </w:p>
        </w:tc>
        <w:tc>
          <w:tcPr>
            <w:tcW w:w="240" w:type="dxa"/>
            <w:vAlign w:val="bottom"/>
            <w:shd w:val="clear" w:color="auto" w:fill="1D2758"/>
          </w:tcPr>
          <w:p>
            <w:pPr>
              <w:spacing w:after="0"/>
              <w:rPr>
                <w:sz w:val="18"/>
                <w:szCs w:val="18"/>
                <w:color w:val="auto"/>
              </w:rPr>
            </w:pPr>
          </w:p>
        </w:tc>
        <w:tc>
          <w:tcPr>
            <w:tcW w:w="96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80" w:type="dxa"/>
            <w:vAlign w:val="bottom"/>
            <w:shd w:val="clear" w:color="auto" w:fill="1D2758"/>
          </w:tcPr>
          <w:p>
            <w:pPr>
              <w:spacing w:after="0"/>
              <w:rPr>
                <w:sz w:val="7"/>
                <w:szCs w:val="7"/>
                <w:color w:val="auto"/>
              </w:rPr>
            </w:pP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6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112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9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1</w:t>
            </w:r>
          </w:p>
        </w:tc>
        <w:tc>
          <w:tcPr>
            <w:tcW w:w="980" w:type="dxa"/>
            <w:vAlign w:val="bottom"/>
            <w:vMerge w:val="restart"/>
            <w:shd w:val="clear" w:color="auto" w:fill="1D2758"/>
          </w:tcPr>
          <w:p>
            <w:pPr>
              <w:jc w:val="right"/>
              <w:ind w:right="223"/>
              <w:spacing w:after="0"/>
              <w:rPr>
                <w:sz w:val="20"/>
                <w:szCs w:val="20"/>
                <w:color w:val="auto"/>
              </w:rPr>
            </w:pPr>
            <w:r>
              <w:rPr>
                <w:rFonts w:ascii="Arial" w:cs="Arial" w:eastAsia="Arial" w:hAnsi="Arial"/>
                <w:sz w:val="15"/>
                <w:szCs w:val="15"/>
                <w:b w:val="1"/>
                <w:bCs w:val="1"/>
                <w:color w:val="FFFFFF"/>
              </w:rPr>
              <w:t>Level 2</w:t>
            </w:r>
          </w:p>
        </w:tc>
        <w:tc>
          <w:tcPr>
            <w:tcW w:w="240" w:type="dxa"/>
            <w:vAlign w:val="bottom"/>
            <w:shd w:val="clear" w:color="auto" w:fill="1D2758"/>
          </w:tcPr>
          <w:p>
            <w:pPr>
              <w:spacing w:after="0"/>
              <w:rPr>
                <w:sz w:val="7"/>
                <w:szCs w:val="7"/>
                <w:color w:val="auto"/>
              </w:rPr>
            </w:pPr>
          </w:p>
        </w:tc>
        <w:tc>
          <w:tcPr>
            <w:tcW w:w="960" w:type="dxa"/>
            <w:vAlign w:val="bottom"/>
            <w:vMerge w:val="restart"/>
            <w:shd w:val="clear" w:color="auto" w:fill="1D2758"/>
          </w:tcPr>
          <w:p>
            <w:pPr>
              <w:ind w:left="100"/>
              <w:spacing w:after="0"/>
              <w:rPr>
                <w:sz w:val="20"/>
                <w:szCs w:val="20"/>
                <w:color w:val="auto"/>
              </w:rPr>
            </w:pPr>
            <w:r>
              <w:rPr>
                <w:rFonts w:ascii="Arial" w:cs="Arial" w:eastAsia="Arial" w:hAnsi="Arial"/>
                <w:sz w:val="15"/>
                <w:szCs w:val="15"/>
                <w:b w:val="1"/>
                <w:bCs w:val="1"/>
                <w:color w:val="FFFFFF"/>
              </w:rPr>
              <w:t>Level 3</w:t>
            </w:r>
          </w:p>
        </w:tc>
        <w:tc>
          <w:tcPr>
            <w:tcW w:w="0" w:type="dxa"/>
            <w:vAlign w:val="bottom"/>
          </w:tcPr>
          <w:p>
            <w:pPr>
              <w:spacing w:after="0"/>
              <w:rPr>
                <w:sz w:val="1"/>
                <w:szCs w:val="1"/>
                <w:color w:val="auto"/>
              </w:rPr>
            </w:pPr>
          </w:p>
        </w:tc>
      </w:tr>
      <w:tr>
        <w:trPr>
          <w:trHeight w:val="214"/>
        </w:trPr>
        <w:tc>
          <w:tcPr>
            <w:tcW w:w="192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1120" w:type="dxa"/>
            <w:vAlign w:val="bottom"/>
            <w:vMerge w:val="continue"/>
            <w:shd w:val="clear" w:color="auto" w:fill="1D2758"/>
          </w:tcPr>
          <w:p>
            <w:pPr>
              <w:spacing w:after="0"/>
              <w:rPr>
                <w:sz w:val="18"/>
                <w:szCs w:val="18"/>
                <w:color w:val="auto"/>
              </w:rPr>
            </w:pPr>
          </w:p>
        </w:tc>
        <w:tc>
          <w:tcPr>
            <w:tcW w:w="960" w:type="dxa"/>
            <w:vAlign w:val="bottom"/>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Amount</w:t>
            </w:r>
          </w:p>
        </w:tc>
        <w:tc>
          <w:tcPr>
            <w:tcW w:w="240" w:type="dxa"/>
            <w:vAlign w:val="bottom"/>
            <w:shd w:val="clear" w:color="auto" w:fill="1D2758"/>
          </w:tcPr>
          <w:p>
            <w:pPr>
              <w:spacing w:after="0"/>
              <w:rPr>
                <w:sz w:val="18"/>
                <w:szCs w:val="18"/>
                <w:color w:val="auto"/>
              </w:rPr>
            </w:pPr>
          </w:p>
        </w:tc>
        <w:tc>
          <w:tcPr>
            <w:tcW w:w="1100" w:type="dxa"/>
            <w:vAlign w:val="bottom"/>
            <w:vMerge w:val="continue"/>
            <w:shd w:val="clear" w:color="auto" w:fill="1D2758"/>
          </w:tcPr>
          <w:p>
            <w:pPr>
              <w:spacing w:after="0"/>
              <w:rPr>
                <w:sz w:val="18"/>
                <w:szCs w:val="18"/>
                <w:color w:val="auto"/>
              </w:rPr>
            </w:pPr>
          </w:p>
        </w:tc>
        <w:tc>
          <w:tcPr>
            <w:tcW w:w="980" w:type="dxa"/>
            <w:vAlign w:val="bottom"/>
            <w:vMerge w:val="continue"/>
            <w:shd w:val="clear" w:color="auto" w:fill="1D2758"/>
          </w:tcPr>
          <w:p>
            <w:pPr>
              <w:spacing w:after="0"/>
              <w:rPr>
                <w:sz w:val="18"/>
                <w:szCs w:val="18"/>
                <w:color w:val="auto"/>
              </w:rPr>
            </w:pPr>
          </w:p>
        </w:tc>
        <w:tc>
          <w:tcPr>
            <w:tcW w:w="240" w:type="dxa"/>
            <w:vAlign w:val="bottom"/>
            <w:shd w:val="clear" w:color="auto" w:fill="1D2758"/>
          </w:tcPr>
          <w:p>
            <w:pPr>
              <w:spacing w:after="0"/>
              <w:rPr>
                <w:sz w:val="18"/>
                <w:szCs w:val="18"/>
                <w:color w:val="auto"/>
              </w:rPr>
            </w:pPr>
          </w:p>
        </w:tc>
        <w:tc>
          <w:tcPr>
            <w:tcW w:w="9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192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2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100" w:type="dxa"/>
            <w:vAlign w:val="bottom"/>
            <w:shd w:val="clear" w:color="auto" w:fill="1D2758"/>
          </w:tcPr>
          <w:p>
            <w:pPr>
              <w:spacing w:after="0"/>
              <w:rPr>
                <w:sz w:val="7"/>
                <w:szCs w:val="7"/>
                <w:color w:val="auto"/>
              </w:rPr>
            </w:pPr>
          </w:p>
        </w:tc>
        <w:tc>
          <w:tcPr>
            <w:tcW w:w="980" w:type="dxa"/>
            <w:vAlign w:val="bottom"/>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9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ABL Facility</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1,931,009</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0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1,971,215</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1,612,783</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ind w:left="720"/>
              <w:spacing w:after="0"/>
              <w:rPr>
                <w:sz w:val="20"/>
                <w:szCs w:val="20"/>
                <w:color w:val="auto"/>
              </w:rPr>
            </w:pPr>
            <w:r>
              <w:rPr>
                <w:rFonts w:ascii="Arial" w:cs="Arial" w:eastAsia="Arial" w:hAnsi="Arial"/>
                <w:sz w:val="15"/>
                <w:szCs w:val="15"/>
                <w:color w:val="auto"/>
              </w:rPr>
              <w:t>— $</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1,644,500</w:t>
            </w:r>
          </w:p>
        </w:tc>
        <w:tc>
          <w:tcPr>
            <w:tcW w:w="24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1920" w:type="dxa"/>
            <w:vAlign w:val="bottom"/>
          </w:tcPr>
          <w:p>
            <w:pPr>
              <w:ind w:left="20"/>
              <w:spacing w:after="0"/>
              <w:rPr>
                <w:sz w:val="20"/>
                <w:szCs w:val="20"/>
                <w:color w:val="auto"/>
              </w:rPr>
            </w:pPr>
            <w:r>
              <w:rPr>
                <w:rFonts w:ascii="Arial" w:cs="Arial" w:eastAsia="Arial" w:hAnsi="Arial"/>
                <w:sz w:val="15"/>
                <w:szCs w:val="15"/>
                <w:color w:val="auto"/>
              </w:rPr>
              <w:t>2025 Secured Notes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519,215</w:t>
            </w:r>
          </w:p>
        </w:tc>
        <w:tc>
          <w:tcPr>
            <w:tcW w:w="240" w:type="dxa"/>
            <w:vAlign w:val="bottom"/>
          </w:tcPr>
          <w:p>
            <w:pPr>
              <w:spacing w:after="0"/>
              <w:rPr>
                <w:sz w:val="17"/>
                <w:szCs w:val="17"/>
                <w:color w:val="auto"/>
              </w:rPr>
            </w:pPr>
          </w:p>
        </w:tc>
        <w:tc>
          <w:tcPr>
            <w:tcW w:w="1100" w:type="dxa"/>
            <w:vAlign w:val="bottom"/>
          </w:tcPr>
          <w:p>
            <w:pPr>
              <w:ind w:left="7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518,308</w:t>
            </w:r>
          </w:p>
        </w:tc>
        <w:tc>
          <w:tcPr>
            <w:tcW w:w="240" w:type="dxa"/>
            <w:vAlign w:val="bottom"/>
          </w:tcPr>
          <w:p>
            <w:pPr>
              <w:spacing w:after="0"/>
              <w:rPr>
                <w:sz w:val="17"/>
                <w:szCs w:val="17"/>
                <w:color w:val="auto"/>
              </w:rPr>
            </w:pPr>
          </w:p>
        </w:tc>
        <w:tc>
          <w:tcPr>
            <w:tcW w:w="1120" w:type="dxa"/>
            <w:vAlign w:val="bottom"/>
          </w:tcPr>
          <w:p>
            <w:pPr>
              <w:ind w:left="72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518,117</w:t>
            </w:r>
          </w:p>
        </w:tc>
        <w:tc>
          <w:tcPr>
            <w:tcW w:w="240" w:type="dxa"/>
            <w:vAlign w:val="bottom"/>
          </w:tcPr>
          <w:p>
            <w:pPr>
              <w:spacing w:after="0"/>
              <w:rPr>
                <w:sz w:val="17"/>
                <w:szCs w:val="17"/>
                <w:color w:val="auto"/>
              </w:rPr>
            </w:pPr>
          </w:p>
        </w:tc>
        <w:tc>
          <w:tcPr>
            <w:tcW w:w="1100" w:type="dxa"/>
            <w:vAlign w:val="bottom"/>
          </w:tcPr>
          <w:p>
            <w:pPr>
              <w:ind w:left="720"/>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551,835</w:t>
            </w:r>
          </w:p>
        </w:tc>
        <w:tc>
          <w:tcPr>
            <w:tcW w:w="240" w:type="dxa"/>
            <w:vAlign w:val="bottom"/>
          </w:tcPr>
          <w:p>
            <w:pPr>
              <w:spacing w:after="0"/>
              <w:rPr>
                <w:sz w:val="17"/>
                <w:szCs w:val="17"/>
                <w:color w:val="auto"/>
              </w:rPr>
            </w:pPr>
          </w:p>
        </w:tc>
        <w:tc>
          <w:tcPr>
            <w:tcW w:w="960" w:type="dxa"/>
            <w:vAlign w:val="bottom"/>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6"/>
        </w:trPr>
        <w:tc>
          <w:tcPr>
            <w:tcW w:w="1920" w:type="dxa"/>
            <w:vAlign w:val="bottom"/>
            <w:shd w:val="clear" w:color="auto" w:fill="DBDBDB"/>
          </w:tcPr>
          <w:p>
            <w:pPr>
              <w:ind w:left="20"/>
              <w:spacing w:after="0"/>
              <w:rPr>
                <w:sz w:val="20"/>
                <w:szCs w:val="20"/>
                <w:color w:val="auto"/>
              </w:rPr>
            </w:pPr>
            <w:r>
              <w:rPr>
                <w:rFonts w:ascii="Arial" w:cs="Arial" w:eastAsia="Arial" w:hAnsi="Arial"/>
                <w:sz w:val="15"/>
                <w:szCs w:val="15"/>
                <w:color w:val="auto"/>
              </w:rPr>
              <w:t>2028 Secured Notes</w:t>
            </w:r>
          </w:p>
        </w:tc>
        <w:tc>
          <w:tcPr>
            <w:tcW w:w="18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492,974</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0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432,630</w:t>
            </w:r>
          </w:p>
        </w:tc>
        <w:tc>
          <w:tcPr>
            <w:tcW w:w="240" w:type="dxa"/>
            <w:vAlign w:val="bottom"/>
            <w:tcBorders>
              <w:bottom w:val="single" w:sz="8" w:color="auto"/>
            </w:tcBorders>
            <w:shd w:val="clear" w:color="auto" w:fill="DBDBDB"/>
          </w:tcPr>
          <w:p>
            <w:pPr>
              <w:spacing w:after="0"/>
              <w:rPr>
                <w:sz w:val="17"/>
                <w:szCs w:val="17"/>
                <w:color w:val="auto"/>
              </w:rPr>
            </w:pPr>
          </w:p>
        </w:tc>
        <w:tc>
          <w:tcPr>
            <w:tcW w:w="112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492,490</w:t>
            </w:r>
          </w:p>
        </w:tc>
        <w:tc>
          <w:tcPr>
            <w:tcW w:w="24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ind w:left="720"/>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515,635</w:t>
            </w:r>
          </w:p>
        </w:tc>
        <w:tc>
          <w:tcPr>
            <w:tcW w:w="240" w:type="dxa"/>
            <w:vAlign w:val="bottom"/>
            <w:tcBorders>
              <w:bottom w:val="single" w:sz="8" w:color="auto"/>
            </w:tcBorders>
            <w:shd w:val="clear" w:color="auto" w:fill="DBDBDB"/>
          </w:tcPr>
          <w:p>
            <w:pPr>
              <w:spacing w:after="0"/>
              <w:rPr>
                <w:sz w:val="17"/>
                <w:szCs w:val="17"/>
                <w:color w:val="auto"/>
              </w:rPr>
            </w:pPr>
          </w:p>
        </w:tc>
        <w:tc>
          <w:tcPr>
            <w:tcW w:w="960" w:type="dxa"/>
            <w:vAlign w:val="bottom"/>
            <w:tcBorders>
              <w:bottom w:val="single" w:sz="8" w:color="auto"/>
            </w:tcBorders>
            <w:shd w:val="clear" w:color="auto" w:fill="DBDBDB"/>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1920" w:type="dxa"/>
            <w:vAlign w:val="bottom"/>
          </w:tcPr>
          <w:p>
            <w:pPr>
              <w:ind w:left="220"/>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2,943,198</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0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2,922,153</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2,623,390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5"/>
                <w:szCs w:val="15"/>
                <w:color w:val="auto"/>
              </w:rPr>
              <w:t>—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2,711,970</w:t>
            </w: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As of June 30, 2022, the carrying values of the ABL Facility, the 2025 Secured Notes, and the 2028 Secured Notes included $40.2 million, $7.3 million, and $7.0 million, respectively, of unamortized debt issuance costs, which were presented as a direct reduction of the corresponding liability. As of December 31, 2021, the carrying value of the ABL Facility, the 2025 Secured Notes, and the 2028 Secured Notes included $31.7 million, $8.4 million, and $7.5 million, respectively, of unamortized debt issuance costs, which were presented as a direct reduction of the corresponding liability.</w:t>
      </w:r>
    </w:p>
    <w:p>
      <w:pPr>
        <w:spacing w:after="0" w:line="20"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carrying value of the ABL Facility, excluding debt issuance costs, approximates fair value as the interest rates are variable and reflective of current market rates. The fair value of the 2025 Secured Notes and the 2028 Secured Notes is based on their last trading price at the end of each period obtained from a third party. The classification and the fair value of derivative assets and liabilities designated as hedges in the condensed consolidated balance sheets are disclosed in Note 15.</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Level 3 Disclosures</w:t>
      </w:r>
    </w:p>
    <w:p>
      <w:pPr>
        <w:spacing w:after="0" w:line="7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5"/>
          <w:szCs w:val="15"/>
          <w:color w:val="auto"/>
        </w:rPr>
        <w:t>When the 2015 Private Warrants were classified as liabilities, the Company utilized a Black Scholes option-pricing model to value the warrants at each reporting period and transaction date, with changes in fair value recognized in the statements of operations. The estimated fair value of the common stock warrant liability was determined using Level 3 inputs. Inherent in the pricing model were assumptions related to expected share-price volatility, expected life, risk-free interest rate and dividend yield. The volatility assumption was based on a blend of peer group volatility and Company trading history that matched the expected remaining life of the warrants as the Company did not have a sufficient trading history as a stand-alone public company to rely exclusively on its own trading history. The risk-free interest rate was based on the US Treasury zero-coupon yield curve on the grant date for a maturity similar to the expected remaining life of the warrants. The expected life of the warrants was assumed to be equivalent to their remaining contractual term. The dividend rate was based on the historical rate, which the Company anticipated to remain at zero.</w:t>
      </w:r>
    </w:p>
    <w:p>
      <w:pPr>
        <w:spacing w:after="0" w:line="2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changes in Level 3 liabilities measured at fair value for the three months ended June 30,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2015 Private Warrants</w:t>
            </w:r>
          </w:p>
        </w:tc>
      </w:tr>
      <w:tr>
        <w:trPr>
          <w:trHeight w:val="206"/>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March 31, 2021</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99,781</w:t>
            </w:r>
          </w:p>
        </w:tc>
      </w:tr>
      <w:tr>
        <w:trPr>
          <w:trHeight w:val="205"/>
        </w:trPr>
        <w:tc>
          <w:tcPr>
            <w:tcW w:w="880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color w:val="auto"/>
              </w:rPr>
              <w:t>(78,495)</w:t>
            </w:r>
          </w:p>
        </w:tc>
      </w:tr>
      <w:tr>
        <w:trPr>
          <w:trHeight w:val="207"/>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(1,571)</w:t>
            </w:r>
          </w:p>
        </w:tc>
      </w:tr>
      <w:tr>
        <w:trPr>
          <w:trHeight w:val="205"/>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(19,715)</w:t>
            </w:r>
          </w:p>
        </w:tc>
      </w:tr>
      <w:tr>
        <w:trPr>
          <w:trHeight w:val="224"/>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June 30, 2021</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18" w:name="page19"/>
    <w:bookmarkEnd w:id="18"/>
    <w:p>
      <w:pPr>
        <w:ind w:left="620"/>
        <w:spacing w:after="0"/>
        <w:rPr>
          <w:sz w:val="20"/>
          <w:szCs w:val="20"/>
          <w:color w:val="auto"/>
        </w:rPr>
      </w:pPr>
      <w:r>
        <w:rPr>
          <w:rFonts w:ascii="Arial" w:cs="Arial" w:eastAsia="Arial" w:hAnsi="Arial"/>
          <w:sz w:val="15"/>
          <w:szCs w:val="15"/>
          <w:color w:val="auto"/>
        </w:rPr>
        <w:t>The following table presents changes in Level 3 liabilities measured at fair value for the six months ended June 30,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260" w:type="dxa"/>
            <w:vAlign w:val="bottom"/>
            <w:shd w:val="clear" w:color="auto" w:fill="1D2758"/>
          </w:tcPr>
          <w:p>
            <w:pPr>
              <w:spacing w:after="0"/>
              <w:rPr>
                <w:sz w:val="17"/>
                <w:szCs w:val="17"/>
                <w:color w:val="auto"/>
              </w:rPr>
            </w:pPr>
          </w:p>
        </w:tc>
        <w:tc>
          <w:tcPr>
            <w:tcW w:w="2180" w:type="dxa"/>
            <w:vAlign w:val="bottom"/>
            <w:shd w:val="clear" w:color="auto" w:fill="1D2758"/>
          </w:tcPr>
          <w:p>
            <w:pPr>
              <w:jc w:val="right"/>
              <w:ind w:right="323"/>
              <w:spacing w:after="0"/>
              <w:rPr>
                <w:sz w:val="20"/>
                <w:szCs w:val="20"/>
                <w:color w:val="auto"/>
              </w:rPr>
            </w:pPr>
            <w:r>
              <w:rPr>
                <w:rFonts w:ascii="Arial" w:cs="Arial" w:eastAsia="Arial" w:hAnsi="Arial"/>
                <w:sz w:val="15"/>
                <w:szCs w:val="15"/>
                <w:b w:val="1"/>
                <w:bCs w:val="1"/>
                <w:color w:val="FFFFFF"/>
              </w:rPr>
              <w:t>2015 Private Warrants</w:t>
            </w:r>
          </w:p>
        </w:tc>
      </w:tr>
      <w:tr>
        <w:trPr>
          <w:trHeight w:val="206"/>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 December 31, 2020</w:t>
            </w:r>
          </w:p>
        </w:tc>
        <w:tc>
          <w:tcPr>
            <w:tcW w:w="26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77,404</w:t>
            </w:r>
          </w:p>
        </w:tc>
      </w:tr>
      <w:tr>
        <w:trPr>
          <w:trHeight w:val="205"/>
        </w:trPr>
        <w:tc>
          <w:tcPr>
            <w:tcW w:w="8800" w:type="dxa"/>
            <w:vAlign w:val="bottom"/>
          </w:tcPr>
          <w:p>
            <w:pPr>
              <w:ind w:left="20"/>
              <w:spacing w:after="0"/>
              <w:rPr>
                <w:sz w:val="20"/>
                <w:szCs w:val="20"/>
                <w:color w:val="auto"/>
              </w:rPr>
            </w:pPr>
            <w:r>
              <w:rPr>
                <w:rFonts w:ascii="Arial" w:cs="Arial" w:eastAsia="Arial" w:hAnsi="Arial"/>
                <w:sz w:val="15"/>
                <w:szCs w:val="15"/>
                <w:color w:val="auto"/>
              </w:rPr>
              <w:t>Exercise or conversion</w:t>
            </w:r>
          </w:p>
        </w:tc>
        <w:tc>
          <w:tcPr>
            <w:tcW w:w="2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5"/>
                <w:szCs w:val="15"/>
                <w:color w:val="auto"/>
              </w:rPr>
              <w:t>(78,495)</w:t>
            </w:r>
          </w:p>
        </w:tc>
      </w:tr>
      <w:tr>
        <w:trPr>
          <w:trHeight w:val="207"/>
        </w:trPr>
        <w:tc>
          <w:tcPr>
            <w:tcW w:w="8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Measurement adjustment</w:t>
            </w:r>
          </w:p>
        </w:tc>
        <w:tc>
          <w:tcPr>
            <w:tcW w:w="260" w:type="dxa"/>
            <w:vAlign w:val="bottom"/>
            <w:shd w:val="clear" w:color="auto" w:fill="DBDBDB"/>
          </w:tcPr>
          <w:p>
            <w:pPr>
              <w:spacing w:after="0"/>
              <w:rPr>
                <w:sz w:val="18"/>
                <w:szCs w:val="18"/>
                <w:color w:val="auto"/>
              </w:rPr>
            </w:pPr>
          </w:p>
        </w:tc>
        <w:tc>
          <w:tcPr>
            <w:tcW w:w="2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25,486</w:t>
            </w:r>
          </w:p>
        </w:tc>
      </w:tr>
      <w:tr>
        <w:trPr>
          <w:trHeight w:val="205"/>
        </w:trPr>
        <w:tc>
          <w:tcPr>
            <w:tcW w:w="880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Repurchases</w:t>
            </w:r>
          </w:p>
        </w:tc>
        <w:tc>
          <w:tcPr>
            <w:tcW w:w="2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(24,395)</w:t>
            </w:r>
          </w:p>
        </w:tc>
      </w:tr>
      <w:tr>
        <w:trPr>
          <w:trHeight w:val="224"/>
        </w:trPr>
        <w:tc>
          <w:tcPr>
            <w:tcW w:w="88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June 30, 2021</w:t>
            </w:r>
          </w:p>
        </w:tc>
        <w:tc>
          <w:tcPr>
            <w:tcW w:w="2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5"/>
                <w:szCs w:val="15"/>
                <w:color w:val="auto"/>
              </w:rPr>
              <w:t>$</w:t>
            </w:r>
          </w:p>
        </w:tc>
        <w:tc>
          <w:tcPr>
            <w:tcW w:w="2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
        </w:trPr>
        <w:tc>
          <w:tcPr>
            <w:tcW w:w="88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2180" w:type="dxa"/>
            <w:vAlign w:val="bottom"/>
            <w:tcBorders>
              <w:top w:val="single" w:sz="8" w:color="DBDBDB"/>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14 - Stock-Based Compensation</w:t>
      </w:r>
    </w:p>
    <w:p>
      <w:pPr>
        <w:spacing w:after="0" w:line="127"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Stock-based compensation expense includes grants of stock options, time-based restricted stock units ("Time-Based RSUs") and performance-based restricted stock units ("Performance-Based RSUs," together with Time-Based RSUs, the "RSUs"). In addition, stock-based payments to non-executive directors include grants of restricted stock awards ("RSAs"). Time-Based RSUs and RSAs are valued based on the intrinsic value of the difference between the exercise price, if any, of the award and the fair market value of WillScot Mobile Mini's Common Stock on the grant date. Performance-Based RSUs are valued based on a Monte Carlo simulation model to reflect the impact of the Performance-Based RSUs market condition. The probability of satisfying a market condition is considered in the estimation of the grant-date fair value for Performance-Based RSUs and the compensation cost is not reversed if the market condition is not achieved, provided the requisite service has been provided.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Awards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RSA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540" w:type="dxa"/>
            <w:vAlign w:val="bottom"/>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Weighted-Average</w:t>
            </w:r>
          </w:p>
        </w:tc>
        <w:tc>
          <w:tcPr>
            <w:tcW w:w="20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020" w:type="dxa"/>
            <w:vAlign w:val="bottom"/>
            <w:shd w:val="clear" w:color="auto" w:fill="1D2758"/>
          </w:tcPr>
          <w:p>
            <w:pPr>
              <w:spacing w:after="0"/>
              <w:rPr>
                <w:sz w:val="13"/>
                <w:szCs w:val="13"/>
                <w:color w:val="auto"/>
              </w:rPr>
            </w:pPr>
          </w:p>
        </w:tc>
        <w:tc>
          <w:tcPr>
            <w:tcW w:w="1780" w:type="dxa"/>
            <w:vAlign w:val="bottom"/>
            <w:vMerge w:val="restart"/>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Number of Shares</w:t>
            </w:r>
          </w:p>
        </w:tc>
        <w:tc>
          <w:tcPr>
            <w:tcW w:w="1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186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Number of Shares</w:t>
            </w:r>
          </w:p>
        </w:tc>
        <w:tc>
          <w:tcPr>
            <w:tcW w:w="16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1D2758"/>
          </w:tcPr>
          <w:p>
            <w:pPr>
              <w:spacing w:after="0"/>
              <w:rPr>
                <w:sz w:val="17"/>
                <w:szCs w:val="17"/>
                <w:color w:val="auto"/>
              </w:rPr>
            </w:pPr>
          </w:p>
        </w:tc>
        <w:tc>
          <w:tcPr>
            <w:tcW w:w="1780" w:type="dxa"/>
            <w:vAlign w:val="bottom"/>
            <w:vMerge w:val="continue"/>
            <w:shd w:val="clear" w:color="auto" w:fill="1D2758"/>
          </w:tcPr>
          <w:p>
            <w:pPr>
              <w:spacing w:after="0"/>
              <w:rPr>
                <w:sz w:val="17"/>
                <w:szCs w:val="17"/>
                <w:color w:val="auto"/>
              </w:rPr>
            </w:pPr>
          </w:p>
        </w:tc>
        <w:tc>
          <w:tcPr>
            <w:tcW w:w="16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1860" w:type="dxa"/>
            <w:vAlign w:val="bottom"/>
            <w:vMerge w:val="continue"/>
            <w:shd w:val="clear" w:color="auto" w:fill="1D2758"/>
          </w:tcPr>
          <w:p>
            <w:pPr>
              <w:spacing w:after="0"/>
              <w:rPr>
                <w:sz w:val="17"/>
                <w:szCs w:val="17"/>
                <w:color w:val="auto"/>
              </w:rPr>
            </w:pPr>
          </w:p>
        </w:tc>
        <w:tc>
          <w:tcPr>
            <w:tcW w:w="170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Balance December 31,</w:t>
            </w:r>
          </w:p>
        </w:tc>
        <w:tc>
          <w:tcPr>
            <w:tcW w:w="17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36,176</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29.30</w:t>
            </w:r>
          </w:p>
        </w:tc>
        <w:tc>
          <w:tcPr>
            <w:tcW w:w="18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57,448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05"/>
        </w:trPr>
        <w:tc>
          <w:tcPr>
            <w:tcW w:w="40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780" w:type="dxa"/>
            <w:vAlign w:val="bottom"/>
          </w:tcPr>
          <w:p>
            <w:pPr>
              <w:jc w:val="right"/>
              <w:ind w:right="83"/>
              <w:spacing w:after="0"/>
              <w:rPr>
                <w:sz w:val="20"/>
                <w:szCs w:val="20"/>
                <w:color w:val="auto"/>
              </w:rPr>
            </w:pPr>
            <w:r>
              <w:rPr>
                <w:rFonts w:ascii="Arial" w:cs="Arial" w:eastAsia="Arial" w:hAnsi="Arial"/>
                <w:sz w:val="15"/>
                <w:szCs w:val="15"/>
                <w:color w:val="auto"/>
              </w:rPr>
              <w:t>35,244</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37.17</w:t>
            </w:r>
          </w:p>
        </w:tc>
        <w:tc>
          <w:tcPr>
            <w:tcW w:w="1860" w:type="dxa"/>
            <w:vAlign w:val="bottom"/>
          </w:tcPr>
          <w:p>
            <w:pPr>
              <w:jc w:val="right"/>
              <w:ind w:right="83"/>
              <w:spacing w:after="0"/>
              <w:rPr>
                <w:sz w:val="20"/>
                <w:szCs w:val="20"/>
                <w:color w:val="auto"/>
              </w:rPr>
            </w:pPr>
            <w:r>
              <w:rPr>
                <w:rFonts w:ascii="Arial" w:cs="Arial" w:eastAsia="Arial" w:hAnsi="Arial"/>
                <w:sz w:val="15"/>
                <w:szCs w:val="15"/>
                <w:color w:val="auto"/>
              </w:rPr>
              <w:t>44,708</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7"/>
        </w:trPr>
        <w:tc>
          <w:tcPr>
            <w:tcW w:w="40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Forfeited</w:t>
            </w:r>
          </w:p>
        </w:tc>
        <w:tc>
          <w:tcPr>
            <w:tcW w:w="17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86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(4,266)</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5"/>
        </w:trPr>
        <w:tc>
          <w:tcPr>
            <w:tcW w:w="40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Vested</w:t>
            </w:r>
          </w:p>
        </w:tc>
        <w:tc>
          <w:tcPr>
            <w:tcW w:w="1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(36,176)</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rPr>
              <w:t>29.30</w:t>
            </w:r>
          </w:p>
        </w:tc>
        <w:tc>
          <w:tcPr>
            <w:tcW w:w="1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(57,448)</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tcPr>
          <w:p>
            <w:pPr>
              <w:jc w:val="right"/>
              <w:ind w:right="3"/>
              <w:spacing w:after="0"/>
              <w:rPr>
                <w:sz w:val="20"/>
                <w:szCs w:val="20"/>
                <w:color w:val="auto"/>
              </w:rPr>
            </w:pPr>
            <w:r>
              <w:rPr>
                <w:rFonts w:ascii="Arial" w:cs="Arial" w:eastAsia="Arial" w:hAnsi="Arial"/>
                <w:sz w:val="15"/>
                <w:szCs w:val="15"/>
                <w:color w:val="auto"/>
              </w:rPr>
              <w:t>11.75</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Balance June 30,</w:t>
            </w:r>
          </w:p>
        </w:tc>
        <w:tc>
          <w:tcPr>
            <w:tcW w:w="17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rPr>
              <w:t>35,244</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rPr>
              <w:t>37.17</w:t>
            </w:r>
          </w:p>
        </w:tc>
        <w:tc>
          <w:tcPr>
            <w:tcW w:w="18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5"/>
                <w:szCs w:val="15"/>
                <w:color w:val="auto"/>
              </w:rPr>
              <w:t>40,442</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540" w:type="dxa"/>
            <w:vAlign w:val="bottom"/>
            <w:tcBorders>
              <w:bottom w:val="single" w:sz="8" w:color="DBDBDB"/>
            </w:tcBorders>
            <w:shd w:val="clear" w:color="auto" w:fill="DBDBDB"/>
          </w:tcPr>
          <w:p>
            <w:pPr>
              <w:jc w:val="right"/>
              <w:ind w:right="3"/>
              <w:spacing w:after="0"/>
              <w:rPr>
                <w:sz w:val="20"/>
                <w:szCs w:val="20"/>
                <w:color w:val="auto"/>
              </w:rPr>
            </w:pPr>
            <w:r>
              <w:rPr>
                <w:rFonts w:ascii="Arial" w:cs="Arial" w:eastAsia="Arial" w:hAnsi="Arial"/>
                <w:sz w:val="15"/>
                <w:szCs w:val="15"/>
                <w:color w:val="auto"/>
              </w:rPr>
              <w:t>29.30</w:t>
            </w:r>
          </w:p>
        </w:tc>
        <w:tc>
          <w:tcPr>
            <w:tcW w:w="0" w:type="dxa"/>
            <w:vAlign w:val="bottom"/>
          </w:tcPr>
          <w:p>
            <w:pPr>
              <w:spacing w:after="0"/>
              <w:rPr>
                <w:sz w:val="1"/>
                <w:szCs w:val="1"/>
                <w:color w:val="auto"/>
              </w:rPr>
            </w:pPr>
          </w:p>
        </w:tc>
      </w:tr>
      <w:tr>
        <w:trPr>
          <w:trHeight w:val="20"/>
        </w:trPr>
        <w:tc>
          <w:tcPr>
            <w:tcW w:w="4020" w:type="dxa"/>
            <w:vAlign w:val="bottom"/>
            <w:tcBorders>
              <w:top w:val="single" w:sz="8" w:color="DBDBDB"/>
            </w:tcBorders>
          </w:tcPr>
          <w:p>
            <w:pPr>
              <w:spacing w:after="0" w:line="20" w:lineRule="exact"/>
              <w:rPr>
                <w:sz w:val="1"/>
                <w:szCs w:val="1"/>
                <w:color w:val="auto"/>
              </w:rPr>
            </w:pPr>
          </w:p>
        </w:tc>
        <w:tc>
          <w:tcPr>
            <w:tcW w:w="178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1860" w:type="dxa"/>
            <w:vAlign w:val="bottom"/>
            <w:tcBorders>
              <w:top w:val="single" w:sz="8" w:color="DBDBDB"/>
              <w:bottom w:val="single" w:sz="8" w:color="auto"/>
            </w:tcBorders>
          </w:tcPr>
          <w:p>
            <w:pPr>
              <w:spacing w:after="0" w:line="20" w:lineRule="exact"/>
              <w:rPr>
                <w:sz w:val="1"/>
                <w:szCs w:val="1"/>
                <w:color w:val="auto"/>
              </w:rPr>
            </w:pPr>
          </w:p>
        </w:tc>
        <w:tc>
          <w:tcPr>
            <w:tcW w:w="160" w:type="dxa"/>
            <w:vAlign w:val="bottom"/>
            <w:tcBorders>
              <w:top w:val="single" w:sz="8" w:color="DBDBDB"/>
            </w:tcBorders>
          </w:tcPr>
          <w:p>
            <w:pPr>
              <w:spacing w:after="0" w:line="20" w:lineRule="exact"/>
              <w:rPr>
                <w:sz w:val="1"/>
                <w:szCs w:val="1"/>
                <w:color w:val="auto"/>
              </w:rPr>
            </w:pPr>
          </w:p>
        </w:tc>
        <w:tc>
          <w:tcPr>
            <w:tcW w:w="154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RSAs recognized in SG&amp;A expense on the condensed consolidated statements of operations was $0.3 million and $0.1 million for the three months ended June 30, 2022 and 2021, respectively. Compensation expense for RSAs recognized in SG&amp;A expense on the condensed consolidated statements of operations was $0.6 million and $0.3 million for the six months ended June 30, 2022 and 2021, respectively. At June 30, 2022, there was $1.2 million of unrecognized compensation cost related to RSAs that is expected to be recognized over the remaining weighted average vesting period of 0.9 years.</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Time-Based RSUs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Time-Based RSU activity: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2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2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Weighted-Average</w:t>
            </w:r>
          </w:p>
        </w:tc>
        <w:tc>
          <w:tcPr>
            <w:tcW w:w="194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20" w:type="dxa"/>
            <w:vAlign w:val="bottom"/>
            <w:vMerge w:val="continue"/>
            <w:shd w:val="clear" w:color="auto" w:fill="1D2758"/>
          </w:tcPr>
          <w:p>
            <w:pPr>
              <w:spacing w:after="0"/>
              <w:rPr>
                <w:sz w:val="13"/>
                <w:szCs w:val="13"/>
                <w:color w:val="auto"/>
              </w:rPr>
            </w:pPr>
          </w:p>
        </w:tc>
        <w:tc>
          <w:tcPr>
            <w:tcW w:w="170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60" w:type="dxa"/>
            <w:vAlign w:val="bottom"/>
            <w:gridSpan w:val="2"/>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Grant Date Fair Value</w:t>
            </w:r>
          </w:p>
        </w:tc>
        <w:tc>
          <w:tcPr>
            <w:tcW w:w="170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997,451</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18.54</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1,325,862</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13.46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357,639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83"/>
              <w:spacing w:after="0"/>
              <w:rPr>
                <w:sz w:val="20"/>
                <w:szCs w:val="20"/>
                <w:color w:val="auto"/>
              </w:rPr>
            </w:pPr>
            <w:r>
              <w:rPr>
                <w:rFonts w:ascii="Arial" w:cs="Arial" w:eastAsia="Arial" w:hAnsi="Arial"/>
                <w:sz w:val="15"/>
                <w:szCs w:val="15"/>
                <w:color w:val="auto"/>
              </w:rPr>
              <w:t>35.53</w:t>
            </w:r>
          </w:p>
        </w:tc>
        <w:tc>
          <w:tcPr>
            <w:tcW w:w="1700" w:type="dxa"/>
            <w:vAlign w:val="bottom"/>
          </w:tcPr>
          <w:p>
            <w:pPr>
              <w:jc w:val="right"/>
              <w:ind w:right="3"/>
              <w:spacing w:after="0"/>
              <w:rPr>
                <w:sz w:val="20"/>
                <w:szCs w:val="20"/>
                <w:color w:val="auto"/>
              </w:rPr>
            </w:pPr>
            <w:r>
              <w:rPr>
                <w:rFonts w:ascii="Arial" w:cs="Arial" w:eastAsia="Arial" w:hAnsi="Arial"/>
                <w:sz w:val="15"/>
                <w:szCs w:val="15"/>
                <w:color w:val="auto"/>
              </w:rPr>
              <w:t>405,505</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27.20</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(31,712)</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30.45</w:t>
            </w:r>
          </w:p>
        </w:tc>
        <w:tc>
          <w:tcPr>
            <w:tcW w:w="1700" w:type="dxa"/>
            <w:vAlign w:val="bottom"/>
            <w:shd w:val="clear" w:color="auto" w:fill="DDDDDD"/>
          </w:tcPr>
          <w:p>
            <w:pPr>
              <w:jc w:val="right"/>
              <w:spacing w:after="0"/>
              <w:rPr>
                <w:sz w:val="20"/>
                <w:szCs w:val="20"/>
                <w:color w:val="auto"/>
              </w:rPr>
            </w:pPr>
            <w:r>
              <w:rPr>
                <w:rFonts w:ascii="Arial" w:cs="Arial" w:eastAsia="Arial" w:hAnsi="Arial"/>
                <w:sz w:val="15"/>
                <w:szCs w:val="15"/>
                <w:color w:val="auto"/>
              </w:rPr>
              <w:t>(65,153)</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16.74</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(437,571)</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16.61</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(347,688)</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13.30</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June 30,</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885,807</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2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25.93</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1,318,526</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17.61</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62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Compensation expense for Time-Based RSUs recognized in SG&amp;A expense on the condensed consolidated statements of operations was $2.5 million and $2.4 million for the three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19" w:name="page20"/>
    <w:bookmarkEnd w:id="19"/>
    <w:p>
      <w:pPr>
        <w:jc w:val="both"/>
        <w:spacing w:after="0" w:line="326" w:lineRule="auto"/>
        <w:rPr>
          <w:sz w:val="20"/>
          <w:szCs w:val="20"/>
          <w:color w:val="auto"/>
        </w:rPr>
      </w:pPr>
      <w:r>
        <w:rPr>
          <w:rFonts w:ascii="Arial" w:cs="Arial" w:eastAsia="Arial" w:hAnsi="Arial"/>
          <w:sz w:val="15"/>
          <w:szCs w:val="15"/>
          <w:color w:val="auto"/>
        </w:rPr>
        <w:t>Compensation expense for RSUs recognized in SG&amp;A expense on the condensed consolidated statements of operations was $4.7 million and $4.3 million for the six months ended June 30, 2022 and 2021, respectively. At June 30, 2022, unrecognized compensation cost related to Time-Based RSUs totaled $18.9 million and is expected to be recognized over the remaining weighted average vesting period of 2.7 years.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Performance-Based RSUs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the Company's Performance-Based RSU award activity: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20" w:type="dxa"/>
            <w:vAlign w:val="bottom"/>
            <w:shd w:val="clear" w:color="auto" w:fill="1D2758"/>
          </w:tcPr>
          <w:p>
            <w:pPr>
              <w:spacing w:after="0"/>
              <w:rPr>
                <w:sz w:val="17"/>
                <w:szCs w:val="17"/>
                <w:color w:val="auto"/>
              </w:rPr>
            </w:pP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1640" w:type="dxa"/>
            <w:vAlign w:val="bottom"/>
            <w:vMerge w:val="restart"/>
            <w:shd w:val="clear" w:color="auto" w:fill="1D2758"/>
          </w:tcPr>
          <w:p>
            <w:pPr>
              <w:jc w:val="right"/>
              <w:ind w:right="183"/>
              <w:spacing w:after="0"/>
              <w:rPr>
                <w:sz w:val="20"/>
                <w:szCs w:val="20"/>
                <w:color w:val="auto"/>
              </w:rPr>
            </w:pPr>
            <w:r>
              <w:rPr>
                <w:rFonts w:ascii="Arial" w:cs="Arial" w:eastAsia="Arial" w:hAnsi="Arial"/>
                <w:sz w:val="15"/>
                <w:szCs w:val="15"/>
                <w:b w:val="1"/>
                <w:bCs w:val="1"/>
                <w:color w:val="FFFFFF"/>
              </w:rPr>
              <w:t>Weighted-Average</w:t>
            </w:r>
          </w:p>
        </w:tc>
        <w:tc>
          <w:tcPr>
            <w:tcW w:w="19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15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640" w:type="dxa"/>
            <w:vAlign w:val="bottom"/>
            <w:vMerge w:val="continue"/>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Number of Shares</w:t>
            </w:r>
          </w:p>
        </w:tc>
        <w:tc>
          <w:tcPr>
            <w:tcW w:w="240" w:type="dxa"/>
            <w:vAlign w:val="bottom"/>
            <w:shd w:val="clear" w:color="auto" w:fill="1D2758"/>
          </w:tcPr>
          <w:p>
            <w:pPr>
              <w:spacing w:after="0"/>
              <w:rPr>
                <w:sz w:val="13"/>
                <w:szCs w:val="13"/>
                <w:color w:val="auto"/>
              </w:rPr>
            </w:pPr>
          </w:p>
        </w:tc>
        <w:tc>
          <w:tcPr>
            <w:tcW w:w="1540" w:type="dxa"/>
            <w:vAlign w:val="bottom"/>
            <w:vMerge w:val="continue"/>
            <w:shd w:val="clear" w:color="auto" w:fill="1D2758"/>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1880" w:type="dxa"/>
            <w:vAlign w:val="bottom"/>
            <w:gridSpan w:val="2"/>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Grant Date Fair Value</w:t>
            </w:r>
          </w:p>
        </w:tc>
        <w:tc>
          <w:tcPr>
            <w:tcW w:w="1680" w:type="dxa"/>
            <w:vAlign w:val="bottom"/>
            <w:vMerge w:val="continue"/>
            <w:shd w:val="clear" w:color="auto" w:fill="1D2758"/>
          </w:tcPr>
          <w:p>
            <w:pPr>
              <w:spacing w:after="0"/>
              <w:rPr>
                <w:sz w:val="17"/>
                <w:szCs w:val="17"/>
                <w:color w:val="auto"/>
              </w:rPr>
            </w:pPr>
          </w:p>
        </w:tc>
        <w:tc>
          <w:tcPr>
            <w:tcW w:w="178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Grant Date Fair Value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1,536,394</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26.34</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593,388</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14.88</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Granted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745,079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42.34</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397,981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540" w:type="dxa"/>
            <w:vAlign w:val="bottom"/>
          </w:tcPr>
          <w:p>
            <w:pPr>
              <w:jc w:val="right"/>
              <w:spacing w:after="0"/>
              <w:rPr>
                <w:sz w:val="20"/>
                <w:szCs w:val="20"/>
                <w:color w:val="auto"/>
              </w:rPr>
            </w:pPr>
            <w:r>
              <w:rPr>
                <w:rFonts w:ascii="Arial" w:cs="Arial" w:eastAsia="Arial" w:hAnsi="Arial"/>
                <w:sz w:val="15"/>
                <w:szCs w:val="15"/>
                <w:color w:val="auto"/>
              </w:rPr>
              <w:t>39.10</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(30,712)</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41.81</w:t>
            </w:r>
          </w:p>
        </w:tc>
        <w:tc>
          <w:tcPr>
            <w:tcW w:w="168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(20,077)</w:t>
            </w:r>
          </w:p>
        </w:tc>
        <w:tc>
          <w:tcPr>
            <w:tcW w:w="2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shd w:val="clear" w:color="auto" w:fill="DDDDDD"/>
          </w:tcPr>
          <w:p>
            <w:pPr>
              <w:jc w:val="right"/>
              <w:spacing w:after="0"/>
              <w:rPr>
                <w:sz w:val="20"/>
                <w:szCs w:val="20"/>
                <w:color w:val="auto"/>
              </w:rPr>
            </w:pPr>
            <w:r>
              <w:rPr>
                <w:rFonts w:ascii="Arial" w:cs="Arial" w:eastAsia="Arial" w:hAnsi="Arial"/>
                <w:sz w:val="15"/>
                <w:szCs w:val="15"/>
                <w:color w:val="auto"/>
              </w:rPr>
              <w:t>25.87</w:t>
            </w:r>
          </w:p>
        </w:tc>
        <w:tc>
          <w:tcPr>
            <w:tcW w:w="0" w:type="dxa"/>
            <w:vAlign w:val="bottom"/>
          </w:tcPr>
          <w:p>
            <w:pPr>
              <w:spacing w:after="0"/>
              <w:rPr>
                <w:sz w:val="1"/>
                <w:szCs w:val="1"/>
                <w:color w:val="auto"/>
              </w:rPr>
            </w:pPr>
          </w:p>
        </w:tc>
      </w:tr>
      <w:tr>
        <w:trPr>
          <w:trHeight w:val="205"/>
        </w:trPr>
        <w:tc>
          <w:tcPr>
            <w:tcW w:w="4220" w:type="dxa"/>
            <w:vAlign w:val="bottom"/>
            <w:tcBorders>
              <w:bottom w:val="single" w:sz="8" w:color="DDDDDD"/>
            </w:tcBorders>
          </w:tcPr>
          <w:p>
            <w:pPr>
              <w:ind w:left="220"/>
              <w:spacing w:after="0"/>
              <w:rPr>
                <w:sz w:val="20"/>
                <w:szCs w:val="20"/>
                <w:color w:val="auto"/>
              </w:rPr>
            </w:pPr>
            <w:r>
              <w:rPr>
                <w:rFonts w:ascii="Arial" w:cs="Arial" w:eastAsia="Arial" w:hAnsi="Arial"/>
                <w:sz w:val="15"/>
                <w:szCs w:val="15"/>
                <w:color w:val="auto"/>
              </w:rPr>
              <w:t>Vested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(313,152)</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tcPr>
          <w:p>
            <w:pPr>
              <w:jc w:val="right"/>
              <w:ind w:right="83"/>
              <w:spacing w:after="0"/>
              <w:rPr>
                <w:sz w:val="20"/>
                <w:szCs w:val="20"/>
                <w:color w:val="auto"/>
              </w:rPr>
            </w:pPr>
            <w:r>
              <w:rPr>
                <w:rFonts w:ascii="Arial" w:cs="Arial" w:eastAsia="Arial" w:hAnsi="Arial"/>
                <w:sz w:val="15"/>
                <w:szCs w:val="15"/>
                <w:color w:val="auto"/>
              </w:rPr>
              <w:t>16.45</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June 30,</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1,937,609</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33.84</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971,292</w:t>
            </w:r>
          </w:p>
        </w:tc>
        <w:tc>
          <w:tcPr>
            <w:tcW w:w="2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24.56</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40" w:type="dxa"/>
            <w:vAlign w:val="bottom"/>
            <w:tcBorders>
              <w:top w:val="single" w:sz="8" w:color="DDDDDD"/>
            </w:tcBorders>
          </w:tcPr>
          <w:p>
            <w:pPr>
              <w:spacing w:after="0" w:line="20" w:lineRule="exact"/>
              <w:rPr>
                <w:sz w:val="1"/>
                <w:szCs w:val="1"/>
                <w:color w:val="auto"/>
              </w:rPr>
            </w:pPr>
          </w:p>
        </w:tc>
        <w:tc>
          <w:tcPr>
            <w:tcW w:w="154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Compensation expense for Performance-Based RSUs recognized in SG&amp;A expense on the condensed consolidated statements of operations was $6.5 million and $2.0 million for the three months ended June 30, 2022 and 2021, respectively. Compensation expense for Performance-Based RSUs recognized in SG&amp;A expense on the condensed consolidated statements of operations was $10.3 million and $3.1 million for the six months ended June 30, 2022 and 2021, respectively. At June 30, 2022, unrecognized compensation cost related to Performance-Based RSUs totaled $47.5 million and is expected to be recognized over the remaining vesting period of 1.9 years.</w:t>
      </w:r>
    </w:p>
    <w:p>
      <w:pPr>
        <w:spacing w:after="0" w:line="6"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Certain Performance-Based RSUs cliff vest based on achievement of the relative total stockholder return ("TSR") of the Company's Common Stock as compared to the TSR of the constituents in an index at the grant date over the performance period of three years. For 2022 grants, the TSR of the Company's Common Stock is compared to the TSR of the constituents in the S&amp;P MidCap 400 Index. The target number of RSUs may be adjusted from 0% to 200% based on the TSR attainment levels defined by the Company's Compensation Committee. The 100% target payout is tied to performance at the 50% percentile, with a payout curve ranging from 0% (for performance less than the 25% percentile) to 200% (for performance above the 85% percentile).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summarize the Company's stock option activity: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1D2758"/>
          </w:tcPr>
          <w:p>
            <w:pPr>
              <w:spacing w:after="0"/>
              <w:rPr>
                <w:sz w:val="15"/>
                <w:szCs w:val="15"/>
                <w:color w:val="auto"/>
              </w:rPr>
            </w:pPr>
          </w:p>
        </w:tc>
        <w:tc>
          <w:tcPr>
            <w:tcW w:w="1680" w:type="dxa"/>
            <w:vAlign w:val="bottom"/>
            <w:shd w:val="clear" w:color="auto" w:fill="1D2758"/>
          </w:tcPr>
          <w:p>
            <w:pPr>
              <w:spacing w:after="0"/>
              <w:rPr>
                <w:sz w:val="15"/>
                <w:szCs w:val="15"/>
                <w:color w:val="auto"/>
              </w:rPr>
            </w:pPr>
          </w:p>
        </w:tc>
        <w:tc>
          <w:tcPr>
            <w:tcW w:w="220" w:type="dxa"/>
            <w:vAlign w:val="bottom"/>
            <w:shd w:val="clear" w:color="auto" w:fill="1D2758"/>
          </w:tcPr>
          <w:p>
            <w:pPr>
              <w:spacing w:after="0"/>
              <w:rPr>
                <w:sz w:val="15"/>
                <w:szCs w:val="15"/>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w:t>
            </w:r>
          </w:p>
        </w:tc>
        <w:tc>
          <w:tcPr>
            <w:tcW w:w="220" w:type="dxa"/>
            <w:vAlign w:val="bottom"/>
            <w:shd w:val="clear" w:color="auto" w:fill="1D2758"/>
          </w:tcPr>
          <w:p>
            <w:pPr>
              <w:spacing w:after="0"/>
              <w:rPr>
                <w:sz w:val="15"/>
                <w:szCs w:val="15"/>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Mobile Mini 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2021</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1,527,643</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14.66</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(237,819)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14.51</w:t>
            </w:r>
          </w:p>
        </w:tc>
        <w:tc>
          <w:tcPr>
            <w:tcW w:w="0" w:type="dxa"/>
            <w:vAlign w:val="bottom"/>
          </w:tcPr>
          <w:p>
            <w:pPr>
              <w:spacing w:after="0"/>
              <w:rPr>
                <w:sz w:val="1"/>
                <w:szCs w:val="1"/>
                <w:color w:val="auto"/>
              </w:rPr>
            </w:pPr>
          </w:p>
        </w:tc>
      </w:tr>
      <w:tr>
        <w:trPr>
          <w:trHeight w:val="231"/>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Balance June 30,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1,289,824</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20" w:type="dxa"/>
            <w:vAlign w:val="bottom"/>
            <w:tcBorders>
              <w:bottom w:val="single" w:sz="8" w:color="DDDDDD"/>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640" w:type="dxa"/>
            <w:vAlign w:val="bottom"/>
            <w:tcBorders>
              <w:bottom w:val="single" w:sz="8" w:color="DDDDDD"/>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20" w:type="dxa"/>
            <w:vAlign w:val="bottom"/>
            <w:tcBorders>
              <w:bottom w:val="single" w:sz="8" w:color="DDDDDD"/>
            </w:tcBorders>
          </w:tcPr>
          <w:p>
            <w:pPr>
              <w:spacing w:after="0"/>
              <w:rPr>
                <w:sz w:val="17"/>
                <w:szCs w:val="17"/>
                <w:color w:val="auto"/>
              </w:rPr>
            </w:pPr>
          </w:p>
        </w:tc>
        <w:tc>
          <w:tcPr>
            <w:tcW w:w="1560" w:type="dxa"/>
            <w:vAlign w:val="bottom"/>
            <w:tcBorders>
              <w:bottom w:val="single" w:sz="8" w:color="DDDDDD"/>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5"/>
                <w:szCs w:val="15"/>
                <w:color w:val="auto"/>
              </w:rPr>
              <w:t>Fully vested and exercisable options, June 30, 2022</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tcBorders>
              <w:bottom w:val="single" w:sz="8" w:color="DDDDDD"/>
            </w:tcBorders>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1,289,824</w:t>
            </w:r>
          </w:p>
        </w:tc>
        <w:tc>
          <w:tcPr>
            <w:tcW w:w="2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5"/>
                <w:szCs w:val="15"/>
                <w:color w:val="auto"/>
              </w:rPr>
              <w:t>14.68</w:t>
            </w:r>
          </w:p>
        </w:tc>
        <w:tc>
          <w:tcPr>
            <w:tcW w:w="0" w:type="dxa"/>
            <w:vAlign w:val="bottom"/>
          </w:tcPr>
          <w:p>
            <w:pPr>
              <w:spacing w:after="0"/>
              <w:rPr>
                <w:sz w:val="1"/>
                <w:szCs w:val="1"/>
                <w:color w:val="auto"/>
              </w:rPr>
            </w:pPr>
          </w:p>
        </w:tc>
      </w:tr>
      <w:tr>
        <w:trPr>
          <w:trHeight w:val="20"/>
        </w:trPr>
        <w:tc>
          <w:tcPr>
            <w:tcW w:w="4220" w:type="dxa"/>
            <w:vAlign w:val="bottom"/>
            <w:tcBorders>
              <w:top w:val="single" w:sz="8" w:color="DDDDDD"/>
            </w:tcBorders>
          </w:tcPr>
          <w:p>
            <w:pPr>
              <w:spacing w:after="0" w:line="20" w:lineRule="exact"/>
              <w:rPr>
                <w:sz w:val="1"/>
                <w:szCs w:val="1"/>
                <w:color w:val="auto"/>
              </w:rPr>
            </w:pPr>
          </w:p>
        </w:tc>
        <w:tc>
          <w:tcPr>
            <w:tcW w:w="168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64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DDDDDD"/>
              <w:bottom w:val="single" w:sz="8" w:color="auto"/>
            </w:tcBorders>
          </w:tcPr>
          <w:p>
            <w:pPr>
              <w:spacing w:after="0" w:line="20" w:lineRule="exact"/>
              <w:rPr>
                <w:sz w:val="1"/>
                <w:szCs w:val="1"/>
                <w:color w:val="auto"/>
              </w:rPr>
            </w:pPr>
          </w:p>
        </w:tc>
        <w:tc>
          <w:tcPr>
            <w:tcW w:w="220" w:type="dxa"/>
            <w:vAlign w:val="bottom"/>
            <w:tcBorders>
              <w:top w:val="single" w:sz="8" w:color="DDDDDD"/>
            </w:tcBorders>
          </w:tcPr>
          <w:p>
            <w:pPr>
              <w:spacing w:after="0" w:line="20" w:lineRule="exact"/>
              <w:rPr>
                <w:sz w:val="1"/>
                <w:szCs w:val="1"/>
                <w:color w:val="auto"/>
              </w:rPr>
            </w:pPr>
          </w:p>
        </w:tc>
        <w:tc>
          <w:tcPr>
            <w:tcW w:w="1560" w:type="dxa"/>
            <w:vAlign w:val="bottom"/>
            <w:tcBorders>
              <w:top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Weighted-Average</w:t>
            </w:r>
          </w:p>
        </w:tc>
        <w:tc>
          <w:tcPr>
            <w:tcW w:w="17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Converted Mobile Mini</w:t>
            </w: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Weighted-Average</w:t>
            </w:r>
          </w:p>
        </w:tc>
        <w:tc>
          <w:tcPr>
            <w:tcW w:w="0" w:type="dxa"/>
            <w:vAlign w:val="bottom"/>
          </w:tcPr>
          <w:p>
            <w:pPr>
              <w:spacing w:after="0"/>
              <w:rPr>
                <w:sz w:val="1"/>
                <w:szCs w:val="1"/>
                <w:color w:val="auto"/>
              </w:rPr>
            </w:pPr>
          </w:p>
        </w:tc>
      </w:tr>
      <w:tr>
        <w:trPr>
          <w:trHeight w:val="155"/>
        </w:trPr>
        <w:tc>
          <w:tcPr>
            <w:tcW w:w="4220" w:type="dxa"/>
            <w:vAlign w:val="bottom"/>
            <w:shd w:val="clear" w:color="auto" w:fill="1D2758"/>
          </w:tcPr>
          <w:p>
            <w:pPr>
              <w:spacing w:after="0"/>
              <w:rPr>
                <w:sz w:val="13"/>
                <w:szCs w:val="13"/>
                <w:color w:val="auto"/>
              </w:rPr>
            </w:pPr>
          </w:p>
        </w:tc>
        <w:tc>
          <w:tcPr>
            <w:tcW w:w="1680" w:type="dxa"/>
            <w:vAlign w:val="bottom"/>
            <w:vMerge w:val="restart"/>
            <w:shd w:val="clear" w:color="auto" w:fill="1D2758"/>
          </w:tcPr>
          <w:p>
            <w:pPr>
              <w:jc w:val="right"/>
              <w:ind w:right="143"/>
              <w:spacing w:after="0"/>
              <w:rPr>
                <w:sz w:val="20"/>
                <w:szCs w:val="20"/>
                <w:color w:val="auto"/>
              </w:rPr>
            </w:pPr>
            <w:r>
              <w:rPr>
                <w:rFonts w:ascii="Arial" w:cs="Arial" w:eastAsia="Arial" w:hAnsi="Arial"/>
                <w:sz w:val="15"/>
                <w:szCs w:val="15"/>
                <w:b w:val="1"/>
                <w:bCs w:val="1"/>
                <w:color w:val="FFFFFF"/>
              </w:rPr>
              <w:t>WillScot Options</w:t>
            </w:r>
          </w:p>
        </w:tc>
        <w:tc>
          <w:tcPr>
            <w:tcW w:w="220" w:type="dxa"/>
            <w:vAlign w:val="bottom"/>
            <w:shd w:val="clear" w:color="auto" w:fill="1D2758"/>
          </w:tcPr>
          <w:p>
            <w:pPr>
              <w:spacing w:after="0"/>
              <w:rPr>
                <w:sz w:val="13"/>
                <w:szCs w:val="13"/>
                <w:color w:val="auto"/>
              </w:rPr>
            </w:pPr>
          </w:p>
        </w:tc>
        <w:tc>
          <w:tcPr>
            <w:tcW w:w="164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Exercise Price per</w:t>
            </w:r>
          </w:p>
        </w:tc>
        <w:tc>
          <w:tcPr>
            <w:tcW w:w="1700" w:type="dxa"/>
            <w:vAlign w:val="bottom"/>
            <w:vMerge w:val="continue"/>
            <w:shd w:val="clear" w:color="auto" w:fill="1D2758"/>
          </w:tcPr>
          <w:p>
            <w:pPr>
              <w:spacing w:after="0"/>
              <w:rPr>
                <w:sz w:val="13"/>
                <w:szCs w:val="13"/>
                <w:color w:val="auto"/>
              </w:rPr>
            </w:pPr>
          </w:p>
        </w:tc>
        <w:tc>
          <w:tcPr>
            <w:tcW w:w="220" w:type="dxa"/>
            <w:vAlign w:val="bottom"/>
            <w:shd w:val="clear" w:color="auto" w:fill="1D2758"/>
          </w:tcPr>
          <w:p>
            <w:pPr>
              <w:spacing w:after="0"/>
              <w:rPr>
                <w:sz w:val="13"/>
                <w:szCs w:val="13"/>
                <w:color w:val="auto"/>
              </w:rPr>
            </w:pPr>
          </w:p>
        </w:tc>
        <w:tc>
          <w:tcPr>
            <w:tcW w:w="1560" w:type="dxa"/>
            <w:vAlign w:val="bottom"/>
            <w:shd w:val="clear" w:color="auto" w:fill="1D2758"/>
          </w:tcPr>
          <w:p>
            <w:pPr>
              <w:jc w:val="center"/>
              <w:ind w:right="63"/>
              <w:spacing w:after="0" w:line="155" w:lineRule="exact"/>
              <w:rPr>
                <w:sz w:val="20"/>
                <w:szCs w:val="20"/>
                <w:color w:val="auto"/>
              </w:rPr>
            </w:pPr>
            <w:r>
              <w:rPr>
                <w:rFonts w:ascii="Arial" w:cs="Arial" w:eastAsia="Arial" w:hAnsi="Arial"/>
                <w:sz w:val="15"/>
                <w:szCs w:val="15"/>
                <w:b w:val="1"/>
                <w:bCs w:val="1"/>
                <w:color w:val="FFFFFF"/>
              </w:rPr>
              <w:t>Exercise Price per</w:t>
            </w:r>
          </w:p>
        </w:tc>
        <w:tc>
          <w:tcPr>
            <w:tcW w:w="0" w:type="dxa"/>
            <w:vAlign w:val="bottom"/>
          </w:tcPr>
          <w:p>
            <w:pPr>
              <w:spacing w:after="0"/>
              <w:rPr>
                <w:sz w:val="1"/>
                <w:szCs w:val="1"/>
                <w:color w:val="auto"/>
              </w:rPr>
            </w:pPr>
          </w:p>
        </w:tc>
      </w:tr>
      <w:tr>
        <w:trPr>
          <w:trHeight w:val="206"/>
        </w:trPr>
        <w:tc>
          <w:tcPr>
            <w:tcW w:w="4220" w:type="dxa"/>
            <w:vAlign w:val="bottom"/>
            <w:shd w:val="clear" w:color="auto" w:fill="1D2758"/>
          </w:tcPr>
          <w:p>
            <w:pPr>
              <w:spacing w:after="0"/>
              <w:rPr>
                <w:sz w:val="17"/>
                <w:szCs w:val="17"/>
                <w:color w:val="auto"/>
              </w:rPr>
            </w:pPr>
          </w:p>
        </w:tc>
        <w:tc>
          <w:tcPr>
            <w:tcW w:w="1680" w:type="dxa"/>
            <w:vAlign w:val="bottom"/>
            <w:vMerge w:val="continue"/>
            <w:shd w:val="clear" w:color="auto" w:fill="1D2758"/>
          </w:tcPr>
          <w:p>
            <w:pPr>
              <w:spacing w:after="0"/>
              <w:rPr>
                <w:sz w:val="17"/>
                <w:szCs w:val="17"/>
                <w:color w:val="auto"/>
              </w:rPr>
            </w:pPr>
          </w:p>
        </w:tc>
        <w:tc>
          <w:tcPr>
            <w:tcW w:w="220" w:type="dxa"/>
            <w:vAlign w:val="bottom"/>
            <w:shd w:val="clear" w:color="auto" w:fill="1D2758"/>
          </w:tcPr>
          <w:p>
            <w:pPr>
              <w:spacing w:after="0"/>
              <w:rPr>
                <w:sz w:val="17"/>
                <w:szCs w:val="17"/>
                <w:color w:val="auto"/>
              </w:rPr>
            </w:pPr>
          </w:p>
        </w:tc>
        <w:tc>
          <w:tcPr>
            <w:tcW w:w="1640" w:type="dxa"/>
            <w:vAlign w:val="bottom"/>
            <w:shd w:val="clear" w:color="auto" w:fill="1D2758"/>
          </w:tcPr>
          <w:p>
            <w:pPr>
              <w:jc w:val="center"/>
              <w:ind w:right="143"/>
              <w:spacing w:after="0"/>
              <w:rPr>
                <w:sz w:val="20"/>
                <w:szCs w:val="20"/>
                <w:color w:val="auto"/>
              </w:rPr>
            </w:pPr>
            <w:r>
              <w:rPr>
                <w:rFonts w:ascii="Arial" w:cs="Arial" w:eastAsia="Arial" w:hAnsi="Arial"/>
                <w:sz w:val="15"/>
                <w:szCs w:val="15"/>
                <w:b w:val="1"/>
                <w:bCs w:val="1"/>
                <w:color w:val="FFFFFF"/>
              </w:rPr>
              <w:t>Share</w:t>
            </w:r>
          </w:p>
        </w:tc>
        <w:tc>
          <w:tcPr>
            <w:tcW w:w="1700" w:type="dxa"/>
            <w:vAlign w:val="bottom"/>
            <w:shd w:val="clear" w:color="auto" w:fill="1D2758"/>
          </w:tcPr>
          <w:p>
            <w:pPr>
              <w:jc w:val="center"/>
              <w:spacing w:after="0"/>
              <w:rPr>
                <w:sz w:val="20"/>
                <w:szCs w:val="20"/>
                <w:color w:val="auto"/>
              </w:rPr>
            </w:pPr>
            <w:r>
              <w:rPr>
                <w:rFonts w:ascii="Arial" w:cs="Arial" w:eastAsia="Arial" w:hAnsi="Arial"/>
                <w:sz w:val="15"/>
                <w:szCs w:val="15"/>
                <w:b w:val="1"/>
                <w:bCs w:val="1"/>
                <w:color w:val="FFFFFF"/>
              </w:rPr>
              <w:t>Options</w:t>
            </w:r>
          </w:p>
        </w:tc>
        <w:tc>
          <w:tcPr>
            <w:tcW w:w="220" w:type="dxa"/>
            <w:vAlign w:val="bottom"/>
            <w:shd w:val="clear" w:color="auto" w:fill="1D2758"/>
          </w:tcPr>
          <w:p>
            <w:pPr>
              <w:spacing w:after="0"/>
              <w:rPr>
                <w:sz w:val="17"/>
                <w:szCs w:val="17"/>
                <w:color w:val="auto"/>
              </w:rPr>
            </w:pPr>
          </w:p>
        </w:tc>
        <w:tc>
          <w:tcPr>
            <w:tcW w:w="1560" w:type="dxa"/>
            <w:vAlign w:val="bottom"/>
            <w:shd w:val="clear" w:color="auto" w:fill="1D2758"/>
          </w:tcPr>
          <w:p>
            <w:pPr>
              <w:jc w:val="center"/>
              <w:ind w:right="63"/>
              <w:spacing w:after="0"/>
              <w:rPr>
                <w:sz w:val="20"/>
                <w:szCs w:val="20"/>
                <w:color w:val="auto"/>
              </w:rPr>
            </w:pPr>
            <w:r>
              <w:rPr>
                <w:rFonts w:ascii="Arial" w:cs="Arial" w:eastAsia="Arial" w:hAnsi="Arial"/>
                <w:sz w:val="15"/>
                <w:szCs w:val="15"/>
                <w:b w:val="1"/>
                <w:bCs w:val="1"/>
                <w:color w:val="FFFFFF"/>
              </w:rPr>
              <w:t>Share</w:t>
            </w:r>
          </w:p>
        </w:tc>
        <w:tc>
          <w:tcPr>
            <w:tcW w:w="0" w:type="dxa"/>
            <w:vAlign w:val="bottom"/>
          </w:tcPr>
          <w:p>
            <w:pPr>
              <w:spacing w:after="0"/>
              <w:rPr>
                <w:sz w:val="1"/>
                <w:szCs w:val="1"/>
                <w:color w:val="auto"/>
              </w:rPr>
            </w:pPr>
          </w:p>
        </w:tc>
      </w:tr>
      <w:tr>
        <w:trPr>
          <w:trHeight w:val="206"/>
        </w:trPr>
        <w:tc>
          <w:tcPr>
            <w:tcW w:w="4220" w:type="dxa"/>
            <w:vAlign w:val="bottom"/>
            <w:shd w:val="clear" w:color="auto" w:fill="DDDDDD"/>
          </w:tcPr>
          <w:p>
            <w:pPr>
              <w:ind w:left="20"/>
              <w:spacing w:after="0"/>
              <w:rPr>
                <w:sz w:val="20"/>
                <w:szCs w:val="20"/>
                <w:color w:val="auto"/>
              </w:rPr>
            </w:pPr>
            <w:r>
              <w:rPr>
                <w:rFonts w:ascii="Arial" w:cs="Arial" w:eastAsia="Arial" w:hAnsi="Arial"/>
                <w:sz w:val="15"/>
                <w:szCs w:val="15"/>
                <w:color w:val="auto"/>
              </w:rPr>
              <w:t>Balance December 31, 2020</w:t>
            </w:r>
          </w:p>
        </w:tc>
        <w:tc>
          <w:tcPr>
            <w:tcW w:w="168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shd w:val="clear" w:color="auto" w:fill="DDDDDD"/>
          </w:tcPr>
          <w:p>
            <w:pPr>
              <w:jc w:val="right"/>
              <w:ind w:right="3"/>
              <w:spacing w:after="0"/>
              <w:rPr>
                <w:sz w:val="20"/>
                <w:szCs w:val="20"/>
                <w:color w:val="auto"/>
              </w:rPr>
            </w:pPr>
            <w:r>
              <w:rPr>
                <w:rFonts w:ascii="Arial" w:cs="Arial" w:eastAsia="Arial" w:hAnsi="Arial"/>
                <w:sz w:val="15"/>
                <w:szCs w:val="15"/>
                <w:color w:val="auto"/>
              </w:rPr>
              <w:t>2,031,455</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14.78</w:t>
            </w:r>
          </w:p>
        </w:tc>
        <w:tc>
          <w:tcPr>
            <w:tcW w:w="0" w:type="dxa"/>
            <w:vAlign w:val="bottom"/>
          </w:tcPr>
          <w:p>
            <w:pPr>
              <w:spacing w:after="0"/>
              <w:rPr>
                <w:sz w:val="1"/>
                <w:szCs w:val="1"/>
                <w:color w:val="auto"/>
              </w:rPr>
            </w:pPr>
          </w:p>
        </w:tc>
      </w:tr>
      <w:tr>
        <w:trPr>
          <w:trHeight w:val="205"/>
        </w:trPr>
        <w:tc>
          <w:tcPr>
            <w:tcW w:w="4220" w:type="dxa"/>
            <w:vAlign w:val="bottom"/>
          </w:tcPr>
          <w:p>
            <w:pPr>
              <w:ind w:left="220"/>
              <w:spacing w:after="0"/>
              <w:rPr>
                <w:sz w:val="20"/>
                <w:szCs w:val="20"/>
                <w:color w:val="auto"/>
              </w:rPr>
            </w:pPr>
            <w:r>
              <w:rPr>
                <w:rFonts w:ascii="Arial" w:cs="Arial" w:eastAsia="Arial" w:hAnsi="Arial"/>
                <w:sz w:val="15"/>
                <w:szCs w:val="15"/>
                <w:color w:val="auto"/>
              </w:rPr>
              <w:t>Forfeited</w:t>
            </w:r>
          </w:p>
        </w:tc>
        <w:tc>
          <w:tcPr>
            <w:tcW w:w="168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(6,240)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207"/>
        </w:trPr>
        <w:tc>
          <w:tcPr>
            <w:tcW w:w="4220" w:type="dxa"/>
            <w:vAlign w:val="bottom"/>
            <w:shd w:val="clear" w:color="auto" w:fill="DDDDDD"/>
          </w:tcPr>
          <w:p>
            <w:pPr>
              <w:ind w:left="220"/>
              <w:spacing w:after="0"/>
              <w:rPr>
                <w:sz w:val="20"/>
                <w:szCs w:val="20"/>
                <w:color w:val="auto"/>
              </w:rPr>
            </w:pPr>
            <w:r>
              <w:rPr>
                <w:rFonts w:ascii="Arial" w:cs="Arial" w:eastAsia="Arial" w:hAnsi="Arial"/>
                <w:sz w:val="15"/>
                <w:szCs w:val="15"/>
                <w:color w:val="auto"/>
              </w:rPr>
              <w:t>Exercised</w:t>
            </w:r>
          </w:p>
        </w:tc>
        <w:tc>
          <w:tcPr>
            <w:tcW w:w="1680" w:type="dxa"/>
            <w:vAlign w:val="bottom"/>
            <w:tcBorders>
              <w:bottom w:val="single" w:sz="8" w:color="auto"/>
            </w:tcBorders>
            <w:shd w:val="clear" w:color="auto" w:fill="DDDDDD"/>
          </w:tcPr>
          <w:p>
            <w:pPr>
              <w:jc w:val="right"/>
              <w:ind w:right="3"/>
              <w:spacing w:after="0"/>
              <w:rPr>
                <w:sz w:val="20"/>
                <w:szCs w:val="20"/>
                <w:color w:val="auto"/>
              </w:rPr>
            </w:pPr>
            <w:r>
              <w:rPr>
                <w:rFonts w:ascii="Arial" w:cs="Arial" w:eastAsia="Arial" w:hAnsi="Arial"/>
                <w:sz w:val="15"/>
                <w:szCs w:val="15"/>
                <w:color w:val="auto"/>
              </w:rPr>
              <w:t>—</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640" w:type="dxa"/>
            <w:vAlign w:val="bottom"/>
            <w:shd w:val="clear" w:color="auto" w:fill="DDDDDD"/>
          </w:tcPr>
          <w:p>
            <w:pPr>
              <w:jc w:val="right"/>
              <w:ind w:right="8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5"/>
                <w:szCs w:val="15"/>
                <w:color w:val="auto"/>
              </w:rPr>
              <w:t>(373,132)</w:t>
            </w:r>
          </w:p>
        </w:tc>
        <w:tc>
          <w:tcPr>
            <w:tcW w:w="220" w:type="dxa"/>
            <w:vAlign w:val="bottom"/>
            <w:shd w:val="clear" w:color="auto" w:fill="DDDDDD"/>
          </w:tcPr>
          <w:p>
            <w:pPr>
              <w:jc w:val="right"/>
              <w:spacing w:after="0"/>
              <w:rPr>
                <w:sz w:val="20"/>
                <w:szCs w:val="20"/>
                <w:color w:val="auto"/>
              </w:rPr>
            </w:pPr>
            <w:r>
              <w:rPr>
                <w:rFonts w:ascii="Arial" w:cs="Arial" w:eastAsia="Arial" w:hAnsi="Arial"/>
                <w:sz w:val="15"/>
                <w:szCs w:val="15"/>
                <w:color w:val="auto"/>
              </w:rPr>
              <w:t>$</w:t>
            </w:r>
          </w:p>
        </w:tc>
        <w:tc>
          <w:tcPr>
            <w:tcW w:w="1560" w:type="dxa"/>
            <w:vAlign w:val="bottom"/>
            <w:shd w:val="clear" w:color="auto" w:fill="DDDDDD"/>
          </w:tcPr>
          <w:p>
            <w:pPr>
              <w:jc w:val="right"/>
              <w:spacing w:after="0"/>
              <w:rPr>
                <w:sz w:val="20"/>
                <w:szCs w:val="20"/>
                <w:color w:val="auto"/>
              </w:rPr>
            </w:pPr>
            <w:r>
              <w:rPr>
                <w:rFonts w:ascii="Arial" w:cs="Arial" w:eastAsia="Arial" w:hAnsi="Arial"/>
                <w:sz w:val="15"/>
                <w:szCs w:val="15"/>
                <w:color w:val="auto"/>
              </w:rPr>
              <w:t>15.77</w:t>
            </w: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Balance June 30, 2021</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534,188</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1,652,083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14.57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DDDDDD"/>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164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DDDDDD"/>
            </w:tcBorders>
          </w:tcPr>
          <w:p>
            <w:pPr>
              <w:spacing w:after="0" w:line="20" w:lineRule="exact"/>
              <w:rPr>
                <w:sz w:val="1"/>
                <w:szCs w:val="1"/>
                <w:color w:val="auto"/>
              </w:rPr>
            </w:pPr>
          </w:p>
        </w:tc>
        <w:tc>
          <w:tcPr>
            <w:tcW w:w="1560" w:type="dxa"/>
            <w:vAlign w:val="bottom"/>
            <w:tcBorders>
              <w:bottom w:val="single" w:sz="8" w:color="DDDDD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DDDDDD"/>
          </w:tcPr>
          <w:p>
            <w:pPr>
              <w:spacing w:after="0"/>
              <w:rPr>
                <w:sz w:val="18"/>
                <w:szCs w:val="18"/>
                <w:color w:val="auto"/>
              </w:rPr>
            </w:pPr>
          </w:p>
        </w:tc>
        <w:tc>
          <w:tcPr>
            <w:tcW w:w="1680" w:type="dxa"/>
            <w:vAlign w:val="bottom"/>
            <w:tcBorders>
              <w:bottom w:val="single" w:sz="8" w:color="auto"/>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640" w:type="dxa"/>
            <w:vAlign w:val="bottom"/>
            <w:shd w:val="clear" w:color="auto" w:fill="DDDDDD"/>
          </w:tcPr>
          <w:p>
            <w:pPr>
              <w:spacing w:after="0"/>
              <w:rPr>
                <w:sz w:val="18"/>
                <w:szCs w:val="18"/>
                <w:color w:val="auto"/>
              </w:rPr>
            </w:pPr>
          </w:p>
        </w:tc>
        <w:tc>
          <w:tcPr>
            <w:tcW w:w="1700" w:type="dxa"/>
            <w:vAlign w:val="bottom"/>
            <w:tcBorders>
              <w:bottom w:val="single" w:sz="8" w:color="auto"/>
            </w:tcBorders>
            <w:shd w:val="clear" w:color="auto" w:fill="DDDDDD"/>
          </w:tcPr>
          <w:p>
            <w:pPr>
              <w:spacing w:after="0"/>
              <w:rPr>
                <w:sz w:val="18"/>
                <w:szCs w:val="18"/>
                <w:color w:val="auto"/>
              </w:rPr>
            </w:pPr>
          </w:p>
        </w:tc>
        <w:tc>
          <w:tcPr>
            <w:tcW w:w="220" w:type="dxa"/>
            <w:vAlign w:val="bottom"/>
            <w:shd w:val="clear" w:color="auto" w:fill="DDDDDD"/>
          </w:tcPr>
          <w:p>
            <w:pPr>
              <w:spacing w:after="0"/>
              <w:rPr>
                <w:sz w:val="18"/>
                <w:szCs w:val="18"/>
                <w:color w:val="auto"/>
              </w:rPr>
            </w:pPr>
          </w:p>
        </w:tc>
        <w:tc>
          <w:tcPr>
            <w:tcW w:w="1560" w:type="dxa"/>
            <w:vAlign w:val="bottom"/>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20" w:type="dxa"/>
            <w:vAlign w:val="bottom"/>
          </w:tcPr>
          <w:p>
            <w:pPr>
              <w:ind w:left="20"/>
              <w:spacing w:after="0"/>
              <w:rPr>
                <w:sz w:val="20"/>
                <w:szCs w:val="20"/>
                <w:color w:val="auto"/>
              </w:rPr>
            </w:pPr>
            <w:r>
              <w:rPr>
                <w:rFonts w:ascii="Arial" w:cs="Arial" w:eastAsia="Arial" w:hAnsi="Arial"/>
                <w:sz w:val="15"/>
                <w:szCs w:val="15"/>
                <w:color w:val="auto"/>
              </w:rPr>
              <w:t>Fully vested and exercisable options, June 30, 2021</w:t>
            </w:r>
          </w:p>
        </w:tc>
        <w:tc>
          <w:tcPr>
            <w:tcW w:w="1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400,641</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640" w:type="dxa"/>
            <w:vAlign w:val="bottom"/>
          </w:tcPr>
          <w:p>
            <w:pPr>
              <w:jc w:val="right"/>
              <w:ind w:right="83"/>
              <w:spacing w:after="0"/>
              <w:rPr>
                <w:sz w:val="20"/>
                <w:szCs w:val="20"/>
                <w:color w:val="auto"/>
              </w:rPr>
            </w:pPr>
            <w:r>
              <w:rPr>
                <w:rFonts w:ascii="Arial" w:cs="Arial" w:eastAsia="Arial" w:hAnsi="Arial"/>
                <w:sz w:val="15"/>
                <w:szCs w:val="15"/>
                <w:color w:val="auto"/>
              </w:rPr>
              <w:t>13.60</w:t>
            </w:r>
          </w:p>
        </w:tc>
        <w:tc>
          <w:tcPr>
            <w:tcW w:w="17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1,652,083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560" w:type="dxa"/>
            <w:vAlign w:val="bottom"/>
          </w:tcPr>
          <w:p>
            <w:pPr>
              <w:jc w:val="right"/>
              <w:spacing w:after="0"/>
              <w:rPr>
                <w:sz w:val="20"/>
                <w:szCs w:val="20"/>
                <w:color w:val="auto"/>
              </w:rPr>
            </w:pPr>
            <w:r>
              <w:rPr>
                <w:rFonts w:ascii="Arial" w:cs="Arial" w:eastAsia="Arial" w:hAnsi="Arial"/>
                <w:sz w:val="15"/>
                <w:szCs w:val="15"/>
                <w:color w:val="auto"/>
              </w:rPr>
              <w:t>14.57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i w:val="1"/>
          <w:iCs w:val="1"/>
          <w:color w:val="1D2758"/>
        </w:rPr>
        <w:t>WillScot Options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Compensation expense for stock option awards, recognized in SG&amp;A expense on the condensed consolidated statements of operations, was $0.2 million for the three months ended June 30, 2021. Compensation expense for stock option awards, recognized in SG&amp;A expense on the condensed consolidated statements of operations, was $0.2 million and $0.4 million for the six months ended June 30, 2022 and 2021.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1D2758"/>
        </w:rPr>
        <w:t>NOTE 15 - Derivatives</w:t>
      </w:r>
    </w:p>
    <w:p>
      <w:pPr>
        <w:spacing w:after="0" w:line="114"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November 6, 2018, the Company entered into an interest rate swap agreement (the “Swap Agreement”) with a financial counterparty that effectively converted $400.0 million in aggregate notional amount of variable-rate debt under the Company’s ABL facility into fixed-rate debt. The Swap Agreement terminated on May 29, 2022. Under the terms of the Swap Agreement, the Company received a floating rate equal to one-month LIBOR and made payments based on a fixed rate of 3.06% on the notional amount. The receive rate under the terms of the Swap Agreement was 0.11% at December 31, 2021. The Swap Agreement was designated and qualified as a hedge of the Company’s exposure to changes in interest payment cash flows created by fluctuations in variable interest rates on the ABL facility.</w:t>
      </w:r>
    </w:p>
    <w:p>
      <w:pPr>
        <w:spacing w:after="0" w:line="21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location and the fair value of derivative instruments designated as hedges, at the balance sheet date, was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880" w:type="dxa"/>
            <w:vAlign w:val="bottom"/>
            <w:shd w:val="clear" w:color="auto" w:fill="1D2758"/>
          </w:tcPr>
          <w:p>
            <w:pPr>
              <w:ind w:left="2800"/>
              <w:spacing w:after="0"/>
              <w:rPr>
                <w:sz w:val="20"/>
                <w:szCs w:val="20"/>
                <w:color w:val="auto"/>
              </w:rPr>
            </w:pPr>
            <w:r>
              <w:rPr>
                <w:rFonts w:ascii="Arial" w:cs="Arial" w:eastAsia="Arial" w:hAnsi="Arial"/>
                <w:sz w:val="15"/>
                <w:szCs w:val="15"/>
                <w:b w:val="1"/>
                <w:bCs w:val="1"/>
                <w:color w:val="FFFFFF"/>
              </w:rPr>
              <w:t>Balance Sheet Account</w:t>
            </w:r>
          </w:p>
        </w:tc>
        <w:tc>
          <w:tcPr>
            <w:tcW w:w="680" w:type="dxa"/>
            <w:vAlign w:val="bottom"/>
            <w:shd w:val="clear" w:color="auto" w:fill="1D2758"/>
          </w:tcPr>
          <w:p>
            <w:pPr>
              <w:spacing w:after="0"/>
              <w:rPr>
                <w:sz w:val="17"/>
                <w:szCs w:val="17"/>
                <w:color w:val="auto"/>
              </w:rPr>
            </w:pPr>
          </w:p>
        </w:tc>
        <w:tc>
          <w:tcPr>
            <w:tcW w:w="21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December 31, 2021</w:t>
            </w:r>
          </w:p>
        </w:tc>
      </w:tr>
      <w:tr>
        <w:trPr>
          <w:trHeight w:val="206"/>
        </w:trPr>
        <w:tc>
          <w:tcPr>
            <w:tcW w:w="35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Cash Flow Hedges:</w:t>
            </w:r>
          </w:p>
        </w:tc>
        <w:tc>
          <w:tcPr>
            <w:tcW w:w="488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2140" w:type="dxa"/>
            <w:vAlign w:val="bottom"/>
            <w:shd w:val="clear" w:color="auto" w:fill="DBDBDB"/>
          </w:tcPr>
          <w:p>
            <w:pPr>
              <w:spacing w:after="0"/>
              <w:rPr>
                <w:sz w:val="17"/>
                <w:szCs w:val="17"/>
                <w:color w:val="auto"/>
              </w:rPr>
            </w:pPr>
          </w:p>
        </w:tc>
      </w:tr>
      <w:tr>
        <w:trPr>
          <w:trHeight w:val="205"/>
        </w:trPr>
        <w:tc>
          <w:tcPr>
            <w:tcW w:w="3540" w:type="dxa"/>
            <w:vAlign w:val="bottom"/>
          </w:tcPr>
          <w:p>
            <w:pPr>
              <w:ind w:left="220"/>
              <w:spacing w:after="0"/>
              <w:rPr>
                <w:sz w:val="20"/>
                <w:szCs w:val="20"/>
                <w:color w:val="auto"/>
              </w:rPr>
            </w:pPr>
            <w:r>
              <w:rPr>
                <w:rFonts w:ascii="Arial" w:cs="Arial" w:eastAsia="Arial" w:hAnsi="Arial"/>
                <w:sz w:val="15"/>
                <w:szCs w:val="15"/>
                <w:color w:val="auto"/>
              </w:rPr>
              <w:t>Interest rate swap</w:t>
            </w:r>
          </w:p>
        </w:tc>
        <w:tc>
          <w:tcPr>
            <w:tcW w:w="4880" w:type="dxa"/>
            <w:vAlign w:val="bottom"/>
          </w:tcPr>
          <w:p>
            <w:pPr>
              <w:ind w:left="2080"/>
              <w:spacing w:after="0"/>
              <w:rPr>
                <w:sz w:val="20"/>
                <w:szCs w:val="20"/>
                <w:color w:val="auto"/>
              </w:rPr>
            </w:pPr>
            <w:r>
              <w:rPr>
                <w:rFonts w:ascii="Arial" w:cs="Arial" w:eastAsia="Arial" w:hAnsi="Arial"/>
                <w:sz w:val="15"/>
                <w:szCs w:val="15"/>
                <w:color w:val="auto"/>
              </w:rPr>
              <w:t>Accrued expenses</w:t>
            </w:r>
          </w:p>
        </w:tc>
        <w:tc>
          <w:tcPr>
            <w:tcW w:w="6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5,259</w:t>
            </w:r>
          </w:p>
        </w:tc>
      </w:tr>
    </w:tbl>
    <w:p>
      <w:pPr>
        <w:spacing w:after="0" w:line="131"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fair value of the interest rate swap was based on dealer quotes of market forward rates, a Level 2 input on the fair value hierarchy, and reflected the amount that the Company would receive or pay for contracts involving the same attributes and maturity dates.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following table discloses the impact of the interest rate swap, excluding the impact of income taxes, on other comprehensive income (“OCI”), AOCI and the Company’s combined consolidated statements of operations for the six months ended June 30,: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1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04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2022</w:t>
            </w:r>
          </w:p>
        </w:tc>
        <w:tc>
          <w:tcPr>
            <w:tcW w:w="56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160" w:type="dxa"/>
            <w:vAlign w:val="bottom"/>
            <w:shd w:val="clear" w:color="auto" w:fill="1D2758"/>
          </w:tcPr>
          <w:p>
            <w:pPr>
              <w:jc w:val="right"/>
              <w:ind w:right="9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Gain recognized in OCI</w:t>
            </w:r>
          </w:p>
        </w:tc>
        <w:tc>
          <w:tcPr>
            <w:tcW w:w="3040" w:type="dxa"/>
            <w:vAlign w:val="bottom"/>
            <w:shd w:val="clear" w:color="auto" w:fill="DBDBDB"/>
          </w:tcPr>
          <w:p>
            <w:pPr>
              <w:jc w:val="right"/>
              <w:ind w:right="178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4,669</w:t>
            </w:r>
          </w:p>
        </w:tc>
        <w:tc>
          <w:tcPr>
            <w:tcW w:w="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4,323</w:t>
            </w:r>
          </w:p>
        </w:tc>
      </w:tr>
      <w:tr>
        <w:trPr>
          <w:trHeight w:val="205"/>
        </w:trPr>
        <w:tc>
          <w:tcPr>
            <w:tcW w:w="5120" w:type="dxa"/>
            <w:vAlign w:val="bottom"/>
          </w:tcPr>
          <w:p>
            <w:pPr>
              <w:ind w:left="20"/>
              <w:spacing w:after="0"/>
              <w:rPr>
                <w:sz w:val="20"/>
                <w:szCs w:val="20"/>
                <w:color w:val="auto"/>
              </w:rPr>
            </w:pPr>
            <w:r>
              <w:rPr>
                <w:rFonts w:ascii="Arial" w:cs="Arial" w:eastAsia="Arial" w:hAnsi="Arial"/>
                <w:sz w:val="15"/>
                <w:szCs w:val="15"/>
                <w:color w:val="auto"/>
              </w:rPr>
              <w:t>Location of gain recognized in income</w:t>
            </w:r>
          </w:p>
        </w:tc>
        <w:tc>
          <w:tcPr>
            <w:tcW w:w="3040" w:type="dxa"/>
            <w:vAlign w:val="bottom"/>
          </w:tcPr>
          <w:p>
            <w:pPr>
              <w:jc w:val="right"/>
              <w:spacing w:after="0"/>
              <w:rPr>
                <w:sz w:val="20"/>
                <w:szCs w:val="20"/>
                <w:color w:val="auto"/>
              </w:rPr>
            </w:pPr>
            <w:r>
              <w:rPr>
                <w:rFonts w:ascii="Arial" w:cs="Arial" w:eastAsia="Arial" w:hAnsi="Arial"/>
                <w:sz w:val="15"/>
                <w:szCs w:val="15"/>
                <w:color w:val="auto"/>
              </w:rPr>
              <w:t>Interest expense, net</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60" w:type="dxa"/>
            <w:vAlign w:val="bottom"/>
          </w:tcPr>
          <w:p>
            <w:pPr>
              <w:jc w:val="center"/>
              <w:ind w:right="243"/>
              <w:spacing w:after="0"/>
              <w:rPr>
                <w:sz w:val="20"/>
                <w:szCs w:val="20"/>
                <w:color w:val="auto"/>
              </w:rPr>
            </w:pPr>
            <w:r>
              <w:rPr>
                <w:rFonts w:ascii="Arial" w:cs="Arial" w:eastAsia="Arial" w:hAnsi="Arial"/>
                <w:sz w:val="15"/>
                <w:szCs w:val="15"/>
                <w:color w:val="auto"/>
              </w:rPr>
              <w:t>Interest expense, net</w:t>
            </w:r>
          </w:p>
        </w:tc>
      </w:tr>
      <w:tr>
        <w:trPr>
          <w:trHeight w:val="207"/>
        </w:trPr>
        <w:tc>
          <w:tcPr>
            <w:tcW w:w="5120" w:type="dxa"/>
            <w:vAlign w:val="bottom"/>
            <w:shd w:val="clear" w:color="auto" w:fill="DBDBDB"/>
          </w:tcPr>
          <w:p>
            <w:pPr>
              <w:ind w:left="20"/>
              <w:spacing w:after="0"/>
              <w:rPr>
                <w:sz w:val="20"/>
                <w:szCs w:val="20"/>
                <w:color w:val="auto"/>
              </w:rPr>
            </w:pPr>
            <w:r>
              <w:rPr>
                <w:rFonts w:ascii="Arial" w:cs="Arial" w:eastAsia="Arial" w:hAnsi="Arial"/>
                <w:sz w:val="15"/>
                <w:szCs w:val="15"/>
                <w:color w:val="auto"/>
              </w:rPr>
              <w:t>Loss reclassified from AOCI into income (effective portion)</w:t>
            </w:r>
          </w:p>
        </w:tc>
        <w:tc>
          <w:tcPr>
            <w:tcW w:w="3040" w:type="dxa"/>
            <w:vAlign w:val="bottom"/>
            <w:shd w:val="clear" w:color="auto" w:fill="DBDBDB"/>
          </w:tcPr>
          <w:p>
            <w:pPr>
              <w:jc w:val="right"/>
              <w:ind w:right="178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(4,530)</w:t>
            </w:r>
          </w:p>
        </w:tc>
        <w:tc>
          <w:tcPr>
            <w:tcW w:w="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(5,931)</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1D2758"/>
        </w:rPr>
        <w:t>NOTE 16 - Commitments and Contingencies</w:t>
      </w:r>
    </w:p>
    <w:p>
      <w:pPr>
        <w:spacing w:after="0" w:line="127"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2022, with respect to these outstanding matters, the Company believes that the amount or range of reasonably possible loss will not, either individually or in the aggregate, have a material adverse effect on the consolidated financial position, results of operations, or cash flows. However, the outcome of such matters is inherently unpredictable and subject to significant uncertainties.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1D2758"/>
        </w:rPr>
        <w:t>NOTE 17 - Segment Reporting</w:t>
      </w:r>
    </w:p>
    <w:p>
      <w:pPr>
        <w:spacing w:after="0" w:line="127"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The Company operates in four reportable segments as follows: North America Modular Solutions ("NA Modular"), North America Storage Solutions ("NA Storage"), United Kingdom Storage Solutions ("UK Storage") and Tank and Pump Solutions ("Tank and Pump"). Total assets for each reportable segment are not available because the Company utilizes a centralized approach to working capital management. Transactions between reportable segments are not significant.</w:t>
      </w:r>
    </w:p>
    <w:p>
      <w:pPr>
        <w:jc w:val="both"/>
        <w:ind w:firstLine="619"/>
        <w:spacing w:after="0" w:line="267" w:lineRule="auto"/>
        <w:rPr>
          <w:sz w:val="20"/>
          <w:szCs w:val="20"/>
          <w:color w:val="auto"/>
        </w:rPr>
      </w:pPr>
      <w:r>
        <w:rPr>
          <w:rFonts w:ascii="Arial" w:cs="Arial" w:eastAsia="Arial" w:hAnsi="Arial"/>
          <w:sz w:val="15"/>
          <w:szCs w:val="15"/>
          <w:color w:val="auto"/>
        </w:rPr>
        <w:t>The Company defines EBITDA as net income (loss) plus interest (income) expense, income tax (benefit) expense, depreciation and amortization. The Company reflects the further adjustments to EBITDA (“Adjusted EBITDA”) to exclude certain non-cash items and the effect of what the Company considers transactions or events not related to its core and ongoing business operations. In addition, the Chief Operating Decision Maker ("CODM") evaluates business segment performance utilizing Adjusted EBITDA as shown in the reconciliation of the Company’s consolidated net income to Adjusted EBITDA below. Management believes that evaluating segment performance excluding such items is meaningful because it provides insight with respect to the intrinsic and ongoing operating results of the Company. The Company also regularly evaluates gross profit by segment to assist in the assessment of its operational performance. The Company considers Adjusted EBITDA to be the more important metric because it more fully captures the business performance of the segments, inclusive of indirect costs.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Reportable Segments</w:t>
      </w:r>
    </w:p>
    <w:p>
      <w:pPr>
        <w:spacing w:after="0" w:line="121"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following tables set forth certain information regarding each of the Company’s reportable segments for the three and six months ended June 30, 2022 and 2021,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2680" w:type="dxa"/>
            <w:vAlign w:val="bottom"/>
            <w:gridSpan w:val="7"/>
            <w:shd w:val="clear" w:color="auto" w:fill="1D2758"/>
          </w:tcPr>
          <w:p>
            <w:pPr>
              <w:jc w:val="center"/>
              <w:spacing w:after="0"/>
              <w:rPr>
                <w:sz w:val="20"/>
                <w:szCs w:val="20"/>
                <w:color w:val="auto"/>
              </w:rPr>
            </w:pPr>
            <w:r>
              <w:rPr>
                <w:rFonts w:ascii="Arial" w:cs="Arial" w:eastAsia="Arial" w:hAnsi="Arial"/>
                <w:sz w:val="15"/>
                <w:szCs w:val="15"/>
                <w:b w:val="1"/>
                <w:bCs w:val="1"/>
                <w:color w:val="FFFFFF"/>
              </w:rPr>
              <w:t>Three Months Ended June 30, 2022</w:t>
            </w:r>
          </w:p>
        </w:tc>
        <w:tc>
          <w:tcPr>
            <w:tcW w:w="12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20" w:type="dxa"/>
            <w:vAlign w:val="bottom"/>
            <w:shd w:val="clear" w:color="auto" w:fill="1D2758"/>
          </w:tcPr>
          <w:p>
            <w:pPr>
              <w:spacing w:after="0"/>
              <w:rPr>
                <w:sz w:val="13"/>
                <w:szCs w:val="13"/>
                <w:color w:val="auto"/>
              </w:rPr>
            </w:pPr>
          </w:p>
        </w:tc>
        <w:tc>
          <w:tcPr>
            <w:tcW w:w="1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NA Storage</w:t>
            </w: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3"/>
                <w:szCs w:val="13"/>
                <w:color w:val="auto"/>
              </w:rPr>
            </w:pPr>
          </w:p>
        </w:tc>
        <w:tc>
          <w:tcPr>
            <w:tcW w:w="960" w:type="dxa"/>
            <w:vAlign w:val="bottom"/>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Tank and</w:t>
            </w:r>
          </w:p>
        </w:tc>
        <w:tc>
          <w:tcPr>
            <w:tcW w:w="260" w:type="dxa"/>
            <w:vAlign w:val="bottom"/>
            <w:shd w:val="clear" w:color="auto" w:fill="1D2758"/>
          </w:tcPr>
          <w:p>
            <w:pPr>
              <w:spacing w:after="0"/>
              <w:rPr>
                <w:sz w:val="13"/>
                <w:szCs w:val="13"/>
                <w:color w:val="auto"/>
              </w:rPr>
            </w:pPr>
          </w:p>
        </w:tc>
        <w:tc>
          <w:tcPr>
            <w:tcW w:w="122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3"/>
                <w:szCs w:val="13"/>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88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Pump</w:t>
            </w:r>
          </w:p>
        </w:tc>
        <w:tc>
          <w:tcPr>
            <w:tcW w:w="2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252,046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134,339</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20,156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22,079</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428,620</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73,680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37,163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5,342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9,218</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125,403</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8,520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1,407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678</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11,094</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13,424</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2,311</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679</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111</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16,525</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347,670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175,220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26,666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32,086</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581,642</w:t>
            </w:r>
          </w:p>
        </w:tc>
        <w:tc>
          <w:tcPr>
            <w:tcW w:w="0" w:type="dxa"/>
            <w:vAlign w:val="bottom"/>
          </w:tcPr>
          <w:p>
            <w:pPr>
              <w:spacing w:after="0"/>
              <w:rPr>
                <w:sz w:val="1"/>
                <w:szCs w:val="1"/>
                <w:color w:val="auto"/>
              </w:rPr>
            </w:pPr>
          </w:p>
        </w:tc>
      </w:tr>
      <w:tr>
        <w:trPr>
          <w:trHeight w:val="246"/>
        </w:trPr>
        <w:tc>
          <w:tcPr>
            <w:tcW w:w="38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68,297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19,814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4,608</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96,912</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58,969</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23,568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3,410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7,640</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93,587</w:t>
            </w: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4,244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1,077</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322</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496</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6,139</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6,947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1,531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(23)</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8,955</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55,405</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7,826</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1,152</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2,793</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67,176</w:t>
            </w:r>
          </w:p>
        </w:tc>
        <w:tc>
          <w:tcPr>
            <w:tcW w:w="0" w:type="dxa"/>
            <w:vAlign w:val="bottom"/>
          </w:tcPr>
          <w:p>
            <w:pPr>
              <w:spacing w:after="0"/>
              <w:rPr>
                <w:sz w:val="1"/>
                <w:szCs w:val="1"/>
                <w:color w:val="auto"/>
              </w:rPr>
            </w:pPr>
          </w:p>
        </w:tc>
      </w:tr>
      <w:tr>
        <w:trPr>
          <w:trHeight w:val="198"/>
        </w:trPr>
        <w:tc>
          <w:tcPr>
            <w:tcW w:w="38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153,808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121,404</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17,089</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16,572</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308,873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127,881</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80,762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12,230</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12,462</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233,335</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85,416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48,468</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6,010</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6,904</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15,366</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162,164</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82,482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34,282</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7,604</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5,785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130,153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6"/>
        </w:trPr>
        <w:tc>
          <w:tcPr>
            <w:tcW w:w="38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shd w:val="clear" w:color="auto" w:fill="1D2758"/>
          </w:tcPr>
          <w:p>
            <w:pPr>
              <w:spacing w:after="0"/>
              <w:rPr>
                <w:sz w:val="17"/>
                <w:szCs w:val="17"/>
                <w:color w:val="auto"/>
              </w:rPr>
            </w:pPr>
          </w:p>
        </w:tc>
        <w:tc>
          <w:tcPr>
            <w:tcW w:w="2680" w:type="dxa"/>
            <w:vAlign w:val="bottom"/>
            <w:gridSpan w:val="7"/>
            <w:shd w:val="clear" w:color="auto" w:fill="1D2758"/>
          </w:tcPr>
          <w:p>
            <w:pPr>
              <w:jc w:val="center"/>
              <w:spacing w:after="0"/>
              <w:rPr>
                <w:sz w:val="20"/>
                <w:szCs w:val="20"/>
                <w:color w:val="auto"/>
              </w:rPr>
            </w:pPr>
            <w:r>
              <w:rPr>
                <w:rFonts w:ascii="Arial" w:cs="Arial" w:eastAsia="Arial" w:hAnsi="Arial"/>
                <w:sz w:val="15"/>
                <w:szCs w:val="15"/>
                <w:b w:val="1"/>
                <w:bCs w:val="1"/>
                <w:color w:val="FFFFFF"/>
              </w:rPr>
              <w:t>Three Months Ended June 30, 2021</w:t>
            </w:r>
          </w:p>
        </w:tc>
        <w:tc>
          <w:tcPr>
            <w:tcW w:w="122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88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88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20" w:type="dxa"/>
            <w:vAlign w:val="bottom"/>
            <w:shd w:val="clear" w:color="auto" w:fill="1D2758"/>
          </w:tcPr>
          <w:p>
            <w:pPr>
              <w:spacing w:after="0"/>
              <w:rPr>
                <w:sz w:val="13"/>
                <w:szCs w:val="13"/>
                <w:color w:val="auto"/>
              </w:rPr>
            </w:pPr>
          </w:p>
        </w:tc>
        <w:tc>
          <w:tcPr>
            <w:tcW w:w="100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NA Storage</w:t>
            </w:r>
          </w:p>
        </w:tc>
        <w:tc>
          <w:tcPr>
            <w:tcW w:w="80" w:type="dxa"/>
            <w:vAlign w:val="bottom"/>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10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3"/>
                <w:szCs w:val="13"/>
                <w:color w:val="auto"/>
              </w:rPr>
            </w:pPr>
          </w:p>
        </w:tc>
        <w:tc>
          <w:tcPr>
            <w:tcW w:w="960" w:type="dxa"/>
            <w:vAlign w:val="bottom"/>
            <w:shd w:val="clear" w:color="auto" w:fill="1D2758"/>
          </w:tcPr>
          <w:p>
            <w:pPr>
              <w:jc w:val="right"/>
              <w:ind w:right="143"/>
              <w:spacing w:after="0" w:line="155" w:lineRule="exact"/>
              <w:rPr>
                <w:sz w:val="20"/>
                <w:szCs w:val="20"/>
                <w:color w:val="auto"/>
              </w:rPr>
            </w:pPr>
            <w:r>
              <w:rPr>
                <w:rFonts w:ascii="Arial" w:cs="Arial" w:eastAsia="Arial" w:hAnsi="Arial"/>
                <w:sz w:val="15"/>
                <w:szCs w:val="15"/>
                <w:b w:val="1"/>
                <w:bCs w:val="1"/>
                <w:color w:val="FFFFFF"/>
              </w:rPr>
              <w:t>Tank and</w:t>
            </w:r>
          </w:p>
        </w:tc>
        <w:tc>
          <w:tcPr>
            <w:tcW w:w="260" w:type="dxa"/>
            <w:vAlign w:val="bottom"/>
            <w:shd w:val="clear" w:color="auto" w:fill="1D2758"/>
          </w:tcPr>
          <w:p>
            <w:pPr>
              <w:spacing w:after="0"/>
              <w:rPr>
                <w:sz w:val="13"/>
                <w:szCs w:val="13"/>
                <w:color w:val="auto"/>
              </w:rPr>
            </w:pPr>
          </w:p>
        </w:tc>
        <w:tc>
          <w:tcPr>
            <w:tcW w:w="1220" w:type="dxa"/>
            <w:vAlign w:val="bottom"/>
            <w:shd w:val="clear" w:color="auto" w:fill="1D2758"/>
          </w:tcPr>
          <w:p>
            <w:pPr>
              <w:jc w:val="right"/>
              <w:ind w:right="223"/>
              <w:spacing w:after="0" w:line="155" w:lineRule="exact"/>
              <w:rPr>
                <w:sz w:val="20"/>
                <w:szCs w:val="20"/>
                <w:color w:val="auto"/>
              </w:rPr>
            </w:pPr>
            <w:r>
              <w:rPr>
                <w:rFonts w:ascii="Arial" w:cs="Arial" w:eastAsia="Arial" w:hAnsi="Arial"/>
                <w:sz w:val="15"/>
                <w:szCs w:val="15"/>
                <w:b w:val="1"/>
                <w:bCs w:val="1"/>
                <w:color w:val="FFFFFF"/>
              </w:rPr>
              <w:t>Unallocated</w:t>
            </w:r>
          </w:p>
        </w:tc>
        <w:tc>
          <w:tcPr>
            <w:tcW w:w="240" w:type="dxa"/>
            <w:vAlign w:val="bottom"/>
            <w:shd w:val="clear" w:color="auto" w:fill="1D2758"/>
          </w:tcPr>
          <w:p>
            <w:pPr>
              <w:spacing w:after="0"/>
              <w:rPr>
                <w:sz w:val="13"/>
                <w:szCs w:val="13"/>
                <w:color w:val="auto"/>
              </w:rPr>
            </w:pPr>
          </w:p>
        </w:tc>
        <w:tc>
          <w:tcPr>
            <w:tcW w:w="880" w:type="dxa"/>
            <w:vAlign w:val="bottom"/>
            <w:vMerge w:val="restart"/>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88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00" w:type="dxa"/>
            <w:vAlign w:val="bottom"/>
            <w:vMerge w:val="continue"/>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00" w:type="dxa"/>
            <w:vAlign w:val="bottom"/>
            <w:gridSpan w:val="2"/>
            <w:vMerge w:val="continue"/>
            <w:shd w:val="clear" w:color="auto" w:fill="1D2758"/>
          </w:tcPr>
          <w:p>
            <w:pPr>
              <w:spacing w:after="0"/>
              <w:rPr>
                <w:sz w:val="17"/>
                <w:szCs w:val="17"/>
                <w:color w:val="auto"/>
              </w:rPr>
            </w:pPr>
          </w:p>
        </w:tc>
        <w:tc>
          <w:tcPr>
            <w:tcW w:w="160" w:type="dxa"/>
            <w:vAlign w:val="bottom"/>
            <w:shd w:val="clear" w:color="auto" w:fill="1D2758"/>
          </w:tcPr>
          <w:p>
            <w:pPr>
              <w:spacing w:after="0"/>
              <w:rPr>
                <w:sz w:val="17"/>
                <w:szCs w:val="17"/>
                <w:color w:val="auto"/>
              </w:rPr>
            </w:pPr>
          </w:p>
        </w:tc>
        <w:tc>
          <w:tcPr>
            <w:tcW w:w="960" w:type="dxa"/>
            <w:vAlign w:val="bottom"/>
            <w:shd w:val="clear" w:color="auto" w:fill="1D2758"/>
          </w:tcPr>
          <w:p>
            <w:pPr>
              <w:jc w:val="right"/>
              <w:ind w:right="263"/>
              <w:spacing w:after="0"/>
              <w:rPr>
                <w:sz w:val="20"/>
                <w:szCs w:val="20"/>
                <w:color w:val="auto"/>
              </w:rPr>
            </w:pPr>
            <w:r>
              <w:rPr>
                <w:rFonts w:ascii="Arial" w:cs="Arial" w:eastAsia="Arial" w:hAnsi="Arial"/>
                <w:sz w:val="15"/>
                <w:szCs w:val="15"/>
                <w:b w:val="1"/>
                <w:bCs w:val="1"/>
                <w:color w:val="FFFFFF"/>
              </w:rPr>
              <w:t>Pump</w:t>
            </w:r>
          </w:p>
        </w:tc>
        <w:tc>
          <w:tcPr>
            <w:tcW w:w="260" w:type="dxa"/>
            <w:vAlign w:val="bottom"/>
            <w:shd w:val="clear" w:color="auto" w:fill="1D2758"/>
          </w:tcPr>
          <w:p>
            <w:pPr>
              <w:spacing w:after="0"/>
              <w:rPr>
                <w:sz w:val="17"/>
                <w:szCs w:val="17"/>
                <w:color w:val="auto"/>
              </w:rPr>
            </w:pPr>
          </w:p>
        </w:tc>
        <w:tc>
          <w:tcPr>
            <w:tcW w:w="1220" w:type="dxa"/>
            <w:vAlign w:val="bottom"/>
            <w:shd w:val="clear" w:color="auto" w:fill="1D2758"/>
          </w:tcPr>
          <w:p>
            <w:pPr>
              <w:jc w:val="right"/>
              <w:ind w:right="443"/>
              <w:spacing w:after="0"/>
              <w:rPr>
                <w:sz w:val="20"/>
                <w:szCs w:val="20"/>
                <w:color w:val="auto"/>
              </w:rPr>
            </w:pPr>
            <w:r>
              <w:rPr>
                <w:rFonts w:ascii="Arial" w:cs="Arial" w:eastAsia="Arial" w:hAnsi="Arial"/>
                <w:sz w:val="15"/>
                <w:szCs w:val="15"/>
                <w:b w:val="1"/>
                <w:bCs w:val="1"/>
                <w:color w:val="FFFFFF"/>
              </w:rPr>
              <w:t>Costs</w:t>
            </w:r>
          </w:p>
        </w:tc>
        <w:tc>
          <w:tcPr>
            <w:tcW w:w="240" w:type="dxa"/>
            <w:vAlign w:val="bottom"/>
            <w:shd w:val="clear" w:color="auto" w:fill="1D2758"/>
          </w:tcPr>
          <w:p>
            <w:pPr>
              <w:spacing w:after="0"/>
              <w:rPr>
                <w:sz w:val="17"/>
                <w:szCs w:val="17"/>
                <w:color w:val="auto"/>
              </w:rPr>
            </w:pPr>
          </w:p>
        </w:tc>
        <w:tc>
          <w:tcPr>
            <w:tcW w:w="88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12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217,635</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85,966</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21,014</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18,564</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343,179</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54,851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23,519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5,839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7,471</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91,680</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1,864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1,295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978</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11,008</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10,025</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4,445</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284</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481</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15,235</w:t>
            </w:r>
          </w:p>
        </w:tc>
        <w:tc>
          <w:tcPr>
            <w:tcW w:w="0" w:type="dxa"/>
            <w:vAlign w:val="bottom"/>
          </w:tcPr>
          <w:p>
            <w:pPr>
              <w:spacing w:after="0"/>
              <w:rPr>
                <w:sz w:val="1"/>
                <w:szCs w:val="1"/>
                <w:color w:val="auto"/>
              </w:rPr>
            </w:pPr>
          </w:p>
        </w:tc>
      </w:tr>
      <w:tr>
        <w:trPr>
          <w:trHeight w:val="198"/>
        </w:trPr>
        <w:tc>
          <w:tcPr>
            <w:tcW w:w="388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289,382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115,794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28,432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27,494</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461,102</w:t>
            </w:r>
          </w:p>
        </w:tc>
        <w:tc>
          <w:tcPr>
            <w:tcW w:w="0" w:type="dxa"/>
            <w:vAlign w:val="bottom"/>
          </w:tcPr>
          <w:p>
            <w:pPr>
              <w:spacing w:after="0"/>
              <w:rPr>
                <w:sz w:val="1"/>
                <w:szCs w:val="1"/>
                <w:color w:val="auto"/>
              </w:rPr>
            </w:pPr>
          </w:p>
        </w:tc>
      </w:tr>
      <w:tr>
        <w:trPr>
          <w:trHeight w:val="246"/>
        </w:trPr>
        <w:tc>
          <w:tcPr>
            <w:tcW w:w="38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0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220" w:type="dxa"/>
            <w:vAlign w:val="bottom"/>
            <w:shd w:val="clear" w:color="auto" w:fill="DBDBDB"/>
          </w:tcPr>
          <w:p>
            <w:pPr>
              <w:spacing w:after="0"/>
              <w:rPr>
                <w:sz w:val="21"/>
                <w:szCs w:val="21"/>
                <w:color w:val="auto"/>
              </w:rPr>
            </w:pPr>
          </w:p>
        </w:tc>
        <w:tc>
          <w:tcPr>
            <w:tcW w:w="240" w:type="dxa"/>
            <w:vAlign w:val="bottom"/>
            <w:shd w:val="clear" w:color="auto" w:fill="DBDBDB"/>
          </w:tcPr>
          <w:p>
            <w:pPr>
              <w:spacing w:after="0"/>
              <w:rPr>
                <w:sz w:val="21"/>
                <w:szCs w:val="21"/>
                <w:color w:val="auto"/>
              </w:rPr>
            </w:pPr>
          </w:p>
        </w:tc>
        <w:tc>
          <w:tcPr>
            <w:tcW w:w="88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61,773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12,174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4,729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4,356</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83,032</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51,154</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16,743</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3,309</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5,947</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77,153</w:t>
            </w:r>
          </w:p>
        </w:tc>
        <w:tc>
          <w:tcPr>
            <w:tcW w:w="0" w:type="dxa"/>
            <w:vAlign w:val="bottom"/>
          </w:tcPr>
          <w:p>
            <w:pPr>
              <w:spacing w:after="0"/>
              <w:rPr>
                <w:sz w:val="1"/>
                <w:szCs w:val="1"/>
                <w:color w:val="auto"/>
              </w:rPr>
            </w:pPr>
          </w:p>
        </w:tc>
      </w:tr>
      <w:tr>
        <w:trPr>
          <w:trHeight w:val="205"/>
        </w:trPr>
        <w:tc>
          <w:tcPr>
            <w:tcW w:w="388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4,376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1,122</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845</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709</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7,052</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2,558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183</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8,162</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50,816</w:t>
            </w:r>
          </w:p>
        </w:tc>
        <w:tc>
          <w:tcPr>
            <w:tcW w:w="10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7,476</w:t>
            </w:r>
          </w:p>
        </w:tc>
        <w:tc>
          <w:tcPr>
            <w:tcW w:w="80" w:type="dxa"/>
            <w:vAlign w:val="bottom"/>
            <w:shd w:val="clear" w:color="auto" w:fill="DBDBDB"/>
          </w:tcPr>
          <w:p>
            <w:pPr>
              <w:spacing w:after="0"/>
              <w:rPr>
                <w:sz w:val="18"/>
                <w:szCs w:val="18"/>
                <w:color w:val="auto"/>
              </w:rPr>
            </w:pPr>
          </w:p>
        </w:tc>
        <w:tc>
          <w:tcPr>
            <w:tcW w:w="12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1,318</w:t>
            </w:r>
          </w:p>
        </w:tc>
        <w:tc>
          <w:tcPr>
            <w:tcW w:w="100" w:type="dxa"/>
            <w:vAlign w:val="bottom"/>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3,283</w:t>
            </w:r>
          </w:p>
        </w:tc>
        <w:tc>
          <w:tcPr>
            <w:tcW w:w="26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62,893</w:t>
            </w:r>
          </w:p>
        </w:tc>
        <w:tc>
          <w:tcPr>
            <w:tcW w:w="0" w:type="dxa"/>
            <w:vAlign w:val="bottom"/>
          </w:tcPr>
          <w:p>
            <w:pPr>
              <w:spacing w:after="0"/>
              <w:rPr>
                <w:sz w:val="1"/>
                <w:szCs w:val="1"/>
                <w:color w:val="auto"/>
              </w:rPr>
            </w:pPr>
          </w:p>
        </w:tc>
      </w:tr>
      <w:tr>
        <w:trPr>
          <w:trHeight w:val="198"/>
        </w:trPr>
        <w:tc>
          <w:tcPr>
            <w:tcW w:w="388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116,136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75,721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17,937</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13,016</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222,810</w:t>
            </w:r>
          </w:p>
        </w:tc>
        <w:tc>
          <w:tcPr>
            <w:tcW w:w="0" w:type="dxa"/>
            <w:vAlign w:val="bottom"/>
          </w:tcPr>
          <w:p>
            <w:pPr>
              <w:spacing w:after="0"/>
              <w:rPr>
                <w:sz w:val="1"/>
                <w:szCs w:val="1"/>
                <w:color w:val="auto"/>
              </w:rPr>
            </w:pPr>
          </w:p>
        </w:tc>
      </w:tr>
      <w:tr>
        <w:trPr>
          <w:trHeight w:val="20"/>
        </w:trPr>
        <w:tc>
          <w:tcPr>
            <w:tcW w:w="38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DBDBDB"/>
            </w:tcBorders>
          </w:tcPr>
          <w:p>
            <w:pPr>
              <w:spacing w:after="0" w:line="20" w:lineRule="exact"/>
              <w:rPr>
                <w:sz w:val="1"/>
                <w:szCs w:val="1"/>
                <w:color w:val="auto"/>
              </w:rPr>
            </w:pPr>
          </w:p>
        </w:tc>
        <w:tc>
          <w:tcPr>
            <w:tcW w:w="1220" w:type="dxa"/>
            <w:vAlign w:val="bottom"/>
            <w:tcBorders>
              <w:bottom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103,545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49,526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12,328</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10,096</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175,495</w:t>
            </w:r>
          </w:p>
        </w:tc>
        <w:tc>
          <w:tcPr>
            <w:tcW w:w="0" w:type="dxa"/>
            <w:vAlign w:val="bottom"/>
          </w:tcPr>
          <w:p>
            <w:pPr>
              <w:spacing w:after="0"/>
              <w:rPr>
                <w:sz w:val="1"/>
                <w:szCs w:val="1"/>
                <w:color w:val="auto"/>
              </w:rPr>
            </w:pPr>
          </w:p>
        </w:tc>
      </w:tr>
      <w:tr>
        <w:trPr>
          <w:trHeight w:val="207"/>
        </w:trPr>
        <w:tc>
          <w:tcPr>
            <w:tcW w:w="38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63,406</w:t>
            </w:r>
          </w:p>
        </w:tc>
        <w:tc>
          <w:tcPr>
            <w:tcW w:w="10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33,672</w:t>
            </w: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6,926</w:t>
            </w: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6,203</w:t>
            </w:r>
          </w:p>
        </w:tc>
        <w:tc>
          <w:tcPr>
            <w:tcW w:w="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12,180</w:t>
            </w:r>
          </w:p>
        </w:tc>
        <w:tc>
          <w:tcPr>
            <w:tcW w:w="240" w:type="dxa"/>
            <w:vAlign w:val="bottom"/>
            <w:shd w:val="clear" w:color="auto" w:fill="DBDBDB"/>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122,387</w:t>
            </w:r>
          </w:p>
        </w:tc>
        <w:tc>
          <w:tcPr>
            <w:tcW w:w="0" w:type="dxa"/>
            <w:vAlign w:val="bottom"/>
          </w:tcPr>
          <w:p>
            <w:pPr>
              <w:spacing w:after="0"/>
              <w:rPr>
                <w:sz w:val="1"/>
                <w:szCs w:val="1"/>
                <w:color w:val="auto"/>
              </w:rPr>
            </w:pPr>
          </w:p>
        </w:tc>
      </w:tr>
      <w:tr>
        <w:trPr>
          <w:trHeight w:val="205"/>
        </w:trPr>
        <w:tc>
          <w:tcPr>
            <w:tcW w:w="3880" w:type="dxa"/>
            <w:vAlign w:val="bottom"/>
          </w:tcPr>
          <w:p>
            <w:pPr>
              <w:ind w:left="220"/>
              <w:spacing w:after="0"/>
              <w:rPr>
                <w:sz w:val="20"/>
                <w:szCs w:val="20"/>
                <w:color w:val="auto"/>
              </w:rPr>
            </w:pPr>
            <w:r>
              <w:rPr>
                <w:rFonts w:ascii="Arial" w:cs="Arial" w:eastAsia="Arial" w:hAnsi="Arial"/>
                <w:sz w:val="15"/>
                <w:szCs w:val="15"/>
                <w:color w:val="auto"/>
              </w:rPr>
              <w:t>Purchases of rental equipment and refurbishments</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49,364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3"/>
              <w:spacing w:after="0"/>
              <w:rPr>
                <w:sz w:val="20"/>
                <w:szCs w:val="20"/>
                <w:color w:val="auto"/>
              </w:rPr>
            </w:pPr>
            <w:r>
              <w:rPr>
                <w:rFonts w:ascii="Arial" w:cs="Arial" w:eastAsia="Arial" w:hAnsi="Arial"/>
                <w:sz w:val="15"/>
                <w:szCs w:val="15"/>
                <w:color w:val="auto"/>
              </w:rPr>
              <w:t>8,773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4,226</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2,919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65,282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6"/>
        </w:trPr>
        <w:tc>
          <w:tcPr>
            <w:tcW w:w="334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6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940" w:type="dxa"/>
            <w:vAlign w:val="bottom"/>
            <w:gridSpan w:val="5"/>
            <w:shd w:val="clear" w:color="auto" w:fill="1D2758"/>
          </w:tcPr>
          <w:p>
            <w:pPr>
              <w:jc w:val="right"/>
              <w:ind w:right="383"/>
              <w:spacing w:after="0"/>
              <w:rPr>
                <w:sz w:val="20"/>
                <w:szCs w:val="20"/>
                <w:color w:val="auto"/>
              </w:rPr>
            </w:pPr>
            <w:r>
              <w:rPr>
                <w:rFonts w:ascii="Arial" w:cs="Arial" w:eastAsia="Arial" w:hAnsi="Arial"/>
                <w:sz w:val="15"/>
                <w:szCs w:val="15"/>
                <w:b w:val="1"/>
                <w:bCs w:val="1"/>
                <w:color w:val="FFFFFF"/>
              </w:rPr>
              <w:t>Six Months Ended June 30, 2022</w:t>
            </w:r>
          </w:p>
        </w:tc>
        <w:tc>
          <w:tcPr>
            <w:tcW w:w="106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3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40" w:type="dxa"/>
            <w:vAlign w:val="bottom"/>
            <w:gridSpan w:val="2"/>
            <w:vMerge w:val="restart"/>
            <w:shd w:val="clear" w:color="auto" w:fill="1D2758"/>
          </w:tcPr>
          <w:p>
            <w:pPr>
              <w:ind w:left="4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3"/>
                <w:szCs w:val="13"/>
                <w:color w:val="auto"/>
              </w:rPr>
            </w:pPr>
          </w:p>
        </w:tc>
        <w:tc>
          <w:tcPr>
            <w:tcW w:w="1120" w:type="dxa"/>
            <w:vAlign w:val="bottom"/>
            <w:gridSpan w:val="2"/>
            <w:vMerge w:val="restart"/>
            <w:shd w:val="clear" w:color="auto" w:fill="1D2758"/>
          </w:tcPr>
          <w:p>
            <w:pPr>
              <w:ind w:left="40"/>
              <w:spacing w:after="0"/>
              <w:rPr>
                <w:sz w:val="20"/>
                <w:szCs w:val="20"/>
                <w:color w:val="auto"/>
              </w:rPr>
            </w:pPr>
            <w:r>
              <w:rPr>
                <w:rFonts w:ascii="Arial" w:cs="Arial" w:eastAsia="Arial" w:hAnsi="Arial"/>
                <w:sz w:val="15"/>
                <w:szCs w:val="15"/>
                <w:b w:val="1"/>
                <w:bCs w:val="1"/>
                <w:color w:val="FFFFFF"/>
              </w:rPr>
              <w:t>NA Storage</w:t>
            </w:r>
          </w:p>
        </w:tc>
        <w:tc>
          <w:tcPr>
            <w:tcW w:w="140" w:type="dxa"/>
            <w:vAlign w:val="bottom"/>
            <w:shd w:val="clear" w:color="auto" w:fill="1D2758"/>
          </w:tcPr>
          <w:p>
            <w:pPr>
              <w:spacing w:after="0"/>
              <w:rPr>
                <w:sz w:val="13"/>
                <w:szCs w:val="13"/>
                <w:color w:val="auto"/>
              </w:rPr>
            </w:pPr>
          </w:p>
        </w:tc>
        <w:tc>
          <w:tcPr>
            <w:tcW w:w="1140" w:type="dxa"/>
            <w:vAlign w:val="bottom"/>
            <w:gridSpan w:val="2"/>
            <w:vMerge w:val="restart"/>
            <w:shd w:val="clear" w:color="auto" w:fill="1D2758"/>
          </w:tcPr>
          <w:p>
            <w:pPr>
              <w:ind w:left="40"/>
              <w:spacing w:after="0"/>
              <w:rPr>
                <w:sz w:val="20"/>
                <w:szCs w:val="20"/>
                <w:color w:val="auto"/>
              </w:rPr>
            </w:pPr>
            <w:r>
              <w:rPr>
                <w:rFonts w:ascii="Arial" w:cs="Arial" w:eastAsia="Arial" w:hAnsi="Arial"/>
                <w:sz w:val="15"/>
                <w:szCs w:val="15"/>
                <w:b w:val="1"/>
                <w:bCs w:val="1"/>
                <w:color w:val="FFFFFF"/>
              </w:rPr>
              <w:t>UK Storage</w:t>
            </w:r>
          </w:p>
        </w:tc>
        <w:tc>
          <w:tcPr>
            <w:tcW w:w="180" w:type="dxa"/>
            <w:vAlign w:val="bottom"/>
            <w:shd w:val="clear" w:color="auto" w:fill="1D2758"/>
          </w:tcPr>
          <w:p>
            <w:pPr>
              <w:spacing w:after="0"/>
              <w:rPr>
                <w:sz w:val="13"/>
                <w:szCs w:val="13"/>
                <w:color w:val="auto"/>
              </w:rPr>
            </w:pPr>
          </w:p>
        </w:tc>
        <w:tc>
          <w:tcPr>
            <w:tcW w:w="980" w:type="dxa"/>
            <w:vAlign w:val="bottom"/>
            <w:shd w:val="clear" w:color="auto" w:fill="1D2758"/>
          </w:tcPr>
          <w:p>
            <w:pPr>
              <w:jc w:val="right"/>
              <w:ind w:right="163"/>
              <w:spacing w:after="0" w:line="155" w:lineRule="exact"/>
              <w:rPr>
                <w:sz w:val="20"/>
                <w:szCs w:val="20"/>
                <w:color w:val="auto"/>
              </w:rPr>
            </w:pPr>
            <w:r>
              <w:rPr>
                <w:rFonts w:ascii="Arial" w:cs="Arial" w:eastAsia="Arial" w:hAnsi="Arial"/>
                <w:sz w:val="15"/>
                <w:szCs w:val="15"/>
                <w:b w:val="1"/>
                <w:bCs w:val="1"/>
                <w:color w:val="FFFFFF"/>
              </w:rPr>
              <w:t>Tank and</w:t>
            </w:r>
          </w:p>
        </w:tc>
        <w:tc>
          <w:tcPr>
            <w:tcW w:w="1700" w:type="dxa"/>
            <w:vAlign w:val="bottom"/>
            <w:gridSpan w:val="2"/>
            <w:vMerge w:val="restart"/>
            <w:shd w:val="clear" w:color="auto" w:fill="1D2758"/>
          </w:tcPr>
          <w:p>
            <w:pPr>
              <w:jc w:val="right"/>
              <w:ind w:right="83"/>
              <w:spacing w:after="0"/>
              <w:rPr>
                <w:sz w:val="20"/>
                <w:szCs w:val="20"/>
                <w:color w:val="auto"/>
              </w:rPr>
            </w:pPr>
            <w:r>
              <w:rPr>
                <w:rFonts w:ascii="Arial" w:cs="Arial" w:eastAsia="Arial" w:hAnsi="Arial"/>
                <w:sz w:val="15"/>
                <w:szCs w:val="15"/>
                <w:b w:val="1"/>
                <w:bCs w:val="1"/>
                <w:color w:val="FFFFFF"/>
              </w:rPr>
              <w:t>Unallocated Costs</w:t>
            </w:r>
          </w:p>
        </w:tc>
        <w:tc>
          <w:tcPr>
            <w:tcW w:w="280" w:type="dxa"/>
            <w:vAlign w:val="bottom"/>
            <w:shd w:val="clear" w:color="auto" w:fill="1D2758"/>
          </w:tcPr>
          <w:p>
            <w:pPr>
              <w:spacing w:after="0"/>
              <w:rPr>
                <w:sz w:val="13"/>
                <w:szCs w:val="13"/>
                <w:color w:val="auto"/>
              </w:rPr>
            </w:pPr>
          </w:p>
        </w:tc>
        <w:tc>
          <w:tcPr>
            <w:tcW w:w="960" w:type="dxa"/>
            <w:vAlign w:val="bottom"/>
            <w:vMerge w:val="restart"/>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34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4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12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140" w:type="dxa"/>
            <w:vAlign w:val="bottom"/>
            <w:gridSpan w:val="2"/>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980" w:type="dxa"/>
            <w:vAlign w:val="bottom"/>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Pump</w:t>
            </w:r>
          </w:p>
        </w:tc>
        <w:tc>
          <w:tcPr>
            <w:tcW w:w="1700" w:type="dxa"/>
            <w:vAlign w:val="bottom"/>
            <w:gridSpan w:val="2"/>
            <w:vMerge w:val="continue"/>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9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485,024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252,920</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40,727</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43,141</w:t>
            </w: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821,812</w:t>
            </w:r>
          </w:p>
        </w:tc>
        <w:tc>
          <w:tcPr>
            <w:tcW w:w="0" w:type="dxa"/>
            <w:vAlign w:val="bottom"/>
          </w:tcPr>
          <w:p>
            <w:pPr>
              <w:spacing w:after="0"/>
              <w:rPr>
                <w:sz w:val="1"/>
                <w:szCs w:val="1"/>
                <w:color w:val="auto"/>
              </w:rPr>
            </w:pPr>
          </w:p>
        </w:tc>
      </w:tr>
      <w:tr>
        <w:trPr>
          <w:trHeight w:val="205"/>
        </w:trPr>
        <w:tc>
          <w:tcPr>
            <w:tcW w:w="334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129,314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67,067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11,809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17,544</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225,734</w:t>
            </w: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13,365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2,349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1,360</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17,691</w:t>
            </w: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19,653</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4,368</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953</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325</w:t>
            </w: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25,299</w:t>
            </w:r>
          </w:p>
        </w:tc>
        <w:tc>
          <w:tcPr>
            <w:tcW w:w="0" w:type="dxa"/>
            <w:vAlign w:val="bottom"/>
          </w:tcPr>
          <w:p>
            <w:pPr>
              <w:spacing w:after="0"/>
              <w:rPr>
                <w:sz w:val="1"/>
                <w:szCs w:val="1"/>
                <w:color w:val="auto"/>
              </w:rPr>
            </w:pPr>
          </w:p>
        </w:tc>
      </w:tr>
      <w:tr>
        <w:trPr>
          <w:trHeight w:val="198"/>
        </w:trPr>
        <w:tc>
          <w:tcPr>
            <w:tcW w:w="334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647,356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326,704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54,106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62,370</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1,090,536</w:t>
            </w:r>
          </w:p>
        </w:tc>
        <w:tc>
          <w:tcPr>
            <w:tcW w:w="0" w:type="dxa"/>
            <w:vAlign w:val="bottom"/>
          </w:tcPr>
          <w:p>
            <w:pPr>
              <w:spacing w:after="0"/>
              <w:rPr>
                <w:sz w:val="1"/>
                <w:szCs w:val="1"/>
                <w:color w:val="auto"/>
              </w:rPr>
            </w:pPr>
          </w:p>
        </w:tc>
      </w:tr>
      <w:tr>
        <w:trPr>
          <w:trHeight w:val="259"/>
        </w:trPr>
        <w:tc>
          <w:tcPr>
            <w:tcW w:w="334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980" w:type="dxa"/>
            <w:vAlign w:val="bottom"/>
            <w:shd w:val="clear" w:color="auto" w:fill="DBDBDB"/>
          </w:tcPr>
          <w:p>
            <w:pPr>
              <w:spacing w:after="0"/>
              <w:rPr>
                <w:sz w:val="22"/>
                <w:szCs w:val="22"/>
                <w:color w:val="auto"/>
              </w:rPr>
            </w:pPr>
          </w:p>
        </w:tc>
        <w:tc>
          <w:tcPr>
            <w:tcW w:w="64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132,286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36,160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8,430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8,914</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185,790</w:t>
            </w: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108,023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45,094</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7,333</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14,652</w:t>
            </w: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175,102</w:t>
            </w:r>
          </w:p>
        </w:tc>
        <w:tc>
          <w:tcPr>
            <w:tcW w:w="0" w:type="dxa"/>
            <w:vAlign w:val="bottom"/>
          </w:tcPr>
          <w:p>
            <w:pPr>
              <w:spacing w:after="0"/>
              <w:rPr>
                <w:sz w:val="1"/>
                <w:szCs w:val="1"/>
                <w:color w:val="auto"/>
              </w:rPr>
            </w:pPr>
          </w:p>
        </w:tc>
      </w:tr>
      <w:tr>
        <w:trPr>
          <w:trHeight w:val="205"/>
        </w:trPr>
        <w:tc>
          <w:tcPr>
            <w:tcW w:w="334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7,501</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1,575</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386</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1,003</w:t>
            </w: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10,465</w:t>
            </w:r>
          </w:p>
        </w:tc>
        <w:tc>
          <w:tcPr>
            <w:tcW w:w="0" w:type="dxa"/>
            <w:vAlign w:val="bottom"/>
          </w:tcPr>
          <w:p>
            <w:pPr>
              <w:spacing w:after="0"/>
              <w:rPr>
                <w:sz w:val="1"/>
                <w:szCs w:val="1"/>
                <w:color w:val="auto"/>
              </w:rPr>
            </w:pPr>
          </w:p>
        </w:tc>
      </w:tr>
      <w:tr>
        <w:trPr>
          <w:trHeight w:val="205"/>
        </w:trPr>
        <w:tc>
          <w:tcPr>
            <w:tcW w:w="334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10,485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2,884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657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73</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14,099</w:t>
            </w: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106,322</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14,457</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2,290</w:t>
            </w:r>
          </w:p>
        </w:tc>
        <w:tc>
          <w:tcPr>
            <w:tcW w:w="10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6,323</w:t>
            </w:r>
          </w:p>
        </w:tc>
        <w:tc>
          <w:tcPr>
            <w:tcW w:w="64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129,392</w:t>
            </w:r>
          </w:p>
        </w:tc>
        <w:tc>
          <w:tcPr>
            <w:tcW w:w="0" w:type="dxa"/>
            <w:vAlign w:val="bottom"/>
          </w:tcPr>
          <w:p>
            <w:pPr>
              <w:spacing w:after="0"/>
              <w:rPr>
                <w:sz w:val="1"/>
                <w:szCs w:val="1"/>
                <w:color w:val="auto"/>
              </w:rPr>
            </w:pPr>
          </w:p>
        </w:tc>
      </w:tr>
      <w:tr>
        <w:trPr>
          <w:trHeight w:val="198"/>
        </w:trPr>
        <w:tc>
          <w:tcPr>
            <w:tcW w:w="334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282,739</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226,534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35,010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31,405</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575,688</w:t>
            </w:r>
          </w:p>
        </w:tc>
        <w:tc>
          <w:tcPr>
            <w:tcW w:w="0" w:type="dxa"/>
            <w:vAlign w:val="bottom"/>
          </w:tcPr>
          <w:p>
            <w:pPr>
              <w:spacing w:after="0"/>
              <w:rPr>
                <w:sz w:val="1"/>
                <w:szCs w:val="1"/>
                <w:color w:val="auto"/>
              </w:rPr>
            </w:pPr>
          </w:p>
        </w:tc>
      </w:tr>
      <w:tr>
        <w:trPr>
          <w:trHeight w:val="20"/>
        </w:trPr>
        <w:tc>
          <w:tcPr>
            <w:tcW w:w="33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DBDBDB"/>
            </w:tcBorders>
          </w:tcPr>
          <w:p>
            <w:pPr>
              <w:spacing w:after="0" w:line="20" w:lineRule="exact"/>
              <w:rPr>
                <w:sz w:val="1"/>
                <w:szCs w:val="1"/>
                <w:color w:val="auto"/>
              </w:rPr>
            </w:pPr>
          </w:p>
        </w:tc>
        <w:tc>
          <w:tcPr>
            <w:tcW w:w="106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34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tcPr>
          <w:p>
            <w:pPr>
              <w:jc w:val="right"/>
              <w:ind w:right="3"/>
              <w:spacing w:after="0"/>
              <w:rPr>
                <w:sz w:val="20"/>
                <w:szCs w:val="20"/>
                <w:color w:val="auto"/>
              </w:rPr>
            </w:pPr>
            <w:r>
              <w:rPr>
                <w:rFonts w:ascii="Arial" w:cs="Arial" w:eastAsia="Arial" w:hAnsi="Arial"/>
                <w:sz w:val="15"/>
                <w:szCs w:val="15"/>
                <w:color w:val="auto"/>
              </w:rPr>
              <w:t>231,829</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144,587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24,774</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23,968</w:t>
            </w:r>
          </w:p>
        </w:tc>
        <w:tc>
          <w:tcPr>
            <w:tcW w:w="640" w:type="dxa"/>
            <w:vAlign w:val="bottom"/>
          </w:tcPr>
          <w:p>
            <w:pPr>
              <w:jc w:val="right"/>
              <w:ind w:right="363"/>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425,158</w:t>
            </w:r>
          </w:p>
        </w:tc>
        <w:tc>
          <w:tcPr>
            <w:tcW w:w="0" w:type="dxa"/>
            <w:vAlign w:val="bottom"/>
          </w:tcPr>
          <w:p>
            <w:pPr>
              <w:spacing w:after="0"/>
              <w:rPr>
                <w:sz w:val="1"/>
                <w:szCs w:val="1"/>
                <w:color w:val="auto"/>
              </w:rPr>
            </w:pPr>
          </w:p>
        </w:tc>
      </w:tr>
      <w:tr>
        <w:trPr>
          <w:trHeight w:val="207"/>
        </w:trPr>
        <w:tc>
          <w:tcPr>
            <w:tcW w:w="3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162,936</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96,406</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12,524</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13,761</w:t>
            </w:r>
          </w:p>
        </w:tc>
        <w:tc>
          <w:tcPr>
            <w:tcW w:w="640" w:type="dxa"/>
            <w:vAlign w:val="bottom"/>
            <w:shd w:val="clear" w:color="auto" w:fill="DBDBDB"/>
          </w:tcPr>
          <w:p>
            <w:pPr>
              <w:jc w:val="right"/>
              <w:ind w:right="3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26,747</w:t>
            </w:r>
          </w:p>
        </w:tc>
        <w:tc>
          <w:tcPr>
            <w:tcW w:w="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312,374</w:t>
            </w:r>
          </w:p>
        </w:tc>
        <w:tc>
          <w:tcPr>
            <w:tcW w:w="0" w:type="dxa"/>
            <w:vAlign w:val="bottom"/>
          </w:tcPr>
          <w:p>
            <w:pPr>
              <w:spacing w:after="0"/>
              <w:rPr>
                <w:sz w:val="1"/>
                <w:szCs w:val="1"/>
                <w:color w:val="auto"/>
              </w:rPr>
            </w:pPr>
          </w:p>
        </w:tc>
      </w:tr>
      <w:tr>
        <w:trPr>
          <w:trHeight w:val="155"/>
        </w:trPr>
        <w:tc>
          <w:tcPr>
            <w:tcW w:w="3340" w:type="dxa"/>
            <w:vAlign w:val="bottom"/>
          </w:tcPr>
          <w:p>
            <w:pPr>
              <w:ind w:left="220"/>
              <w:spacing w:after="0" w:line="156" w:lineRule="exact"/>
              <w:rPr>
                <w:sz w:val="20"/>
                <w:szCs w:val="20"/>
                <w:color w:val="auto"/>
              </w:rPr>
            </w:pPr>
            <w:r>
              <w:rPr>
                <w:rFonts w:ascii="Arial" w:cs="Arial" w:eastAsia="Arial" w:hAnsi="Arial"/>
                <w:sz w:val="15"/>
                <w:szCs w:val="15"/>
                <w:color w:val="auto"/>
              </w:rPr>
              <w:t>Purchases of rental equipment and</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vMerge w:val="restart"/>
          </w:tcPr>
          <w:p>
            <w:pPr>
              <w:jc w:val="right"/>
              <w:ind w:right="3"/>
              <w:spacing w:after="0"/>
              <w:rPr>
                <w:sz w:val="20"/>
                <w:szCs w:val="20"/>
                <w:color w:val="auto"/>
              </w:rPr>
            </w:pPr>
            <w:r>
              <w:rPr>
                <w:rFonts w:ascii="Arial" w:cs="Arial" w:eastAsia="Arial" w:hAnsi="Arial"/>
                <w:sz w:val="15"/>
                <w:szCs w:val="15"/>
                <w:color w:val="auto"/>
              </w:rPr>
              <w:t>140,059</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54,453</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17,219</w:t>
            </w:r>
          </w:p>
        </w:tc>
        <w:tc>
          <w:tcPr>
            <w:tcW w:w="10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13,658</w:t>
            </w:r>
          </w:p>
        </w:tc>
        <w:tc>
          <w:tcPr>
            <w:tcW w:w="640" w:type="dxa"/>
            <w:vAlign w:val="bottom"/>
            <w:vMerge w:val="restart"/>
          </w:tcPr>
          <w:p>
            <w:pPr>
              <w:jc w:val="right"/>
              <w:ind w:right="363"/>
              <w:spacing w:after="0"/>
              <w:rPr>
                <w:sz w:val="20"/>
                <w:szCs w:val="20"/>
                <w:color w:val="auto"/>
              </w:rPr>
            </w:pPr>
            <w:r>
              <w:rPr>
                <w:rFonts w:ascii="Arial" w:cs="Arial" w:eastAsia="Arial" w:hAnsi="Arial"/>
                <w:sz w:val="15"/>
                <w:szCs w:val="15"/>
                <w:color w:val="auto"/>
              </w:rPr>
              <w:t>$</w:t>
            </w:r>
          </w:p>
        </w:tc>
        <w:tc>
          <w:tcPr>
            <w:tcW w:w="106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225,389</w:t>
            </w:r>
          </w:p>
        </w:tc>
        <w:tc>
          <w:tcPr>
            <w:tcW w:w="0" w:type="dxa"/>
            <w:vAlign w:val="bottom"/>
          </w:tcPr>
          <w:p>
            <w:pPr>
              <w:spacing w:after="0"/>
              <w:rPr>
                <w:sz w:val="1"/>
                <w:szCs w:val="1"/>
                <w:color w:val="auto"/>
              </w:rPr>
            </w:pPr>
          </w:p>
        </w:tc>
      </w:tr>
      <w:tr>
        <w:trPr>
          <w:trHeight w:val="204"/>
        </w:trPr>
        <w:tc>
          <w:tcPr>
            <w:tcW w:w="3340" w:type="dxa"/>
            <w:vAlign w:val="bottom"/>
          </w:tcPr>
          <w:p>
            <w:pPr>
              <w:ind w:left="220"/>
              <w:spacing w:after="0"/>
              <w:rPr>
                <w:sz w:val="20"/>
                <w:szCs w:val="20"/>
                <w:color w:val="auto"/>
              </w:rPr>
            </w:pPr>
            <w:r>
              <w:rPr>
                <w:rFonts w:ascii="Arial" w:cs="Arial" w:eastAsia="Arial" w:hAnsi="Arial"/>
                <w:sz w:val="15"/>
                <w:szCs w:val="15"/>
                <w:color w:val="auto"/>
              </w:rPr>
              <w:t>refurbishments</w:t>
            </w:r>
          </w:p>
        </w:tc>
        <w:tc>
          <w:tcPr>
            <w:tcW w:w="1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6"/>
        </w:trPr>
        <w:tc>
          <w:tcPr>
            <w:tcW w:w="2960" w:type="dxa"/>
            <w:vAlign w:val="bottom"/>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0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2580" w:type="dxa"/>
            <w:vAlign w:val="bottom"/>
            <w:gridSpan w:val="5"/>
            <w:shd w:val="clear" w:color="auto" w:fill="1D2758"/>
          </w:tcPr>
          <w:p>
            <w:pPr>
              <w:ind w:left="120"/>
              <w:spacing w:after="0"/>
              <w:rPr>
                <w:sz w:val="20"/>
                <w:szCs w:val="20"/>
                <w:color w:val="auto"/>
              </w:rPr>
            </w:pPr>
            <w:r>
              <w:rPr>
                <w:rFonts w:ascii="Arial" w:cs="Arial" w:eastAsia="Arial" w:hAnsi="Arial"/>
                <w:sz w:val="15"/>
                <w:szCs w:val="15"/>
                <w:b w:val="1"/>
                <w:bCs w:val="1"/>
                <w:color w:val="FFFFFF"/>
              </w:rPr>
              <w:t>Six Months Ended June 30, 2021</w:t>
            </w:r>
          </w:p>
        </w:tc>
        <w:tc>
          <w:tcPr>
            <w:tcW w:w="22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80" w:type="dxa"/>
            <w:vAlign w:val="bottom"/>
            <w:shd w:val="clear" w:color="auto" w:fill="1D2758"/>
          </w:tcPr>
          <w:p>
            <w:pPr>
              <w:spacing w:after="0"/>
              <w:rPr>
                <w:sz w:val="17"/>
                <w:szCs w:val="17"/>
                <w:color w:val="auto"/>
              </w:rPr>
            </w:pPr>
          </w:p>
        </w:tc>
        <w:tc>
          <w:tcPr>
            <w:tcW w:w="96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6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20" w:type="dxa"/>
            <w:vAlign w:val="bottom"/>
            <w:shd w:val="clear" w:color="auto" w:fill="1D2758"/>
          </w:tcPr>
          <w:p>
            <w:pPr>
              <w:spacing w:after="0"/>
              <w:rPr>
                <w:sz w:val="13"/>
                <w:szCs w:val="13"/>
                <w:color w:val="auto"/>
              </w:rPr>
            </w:pPr>
          </w:p>
        </w:tc>
        <w:tc>
          <w:tcPr>
            <w:tcW w:w="114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Modular</w:t>
            </w:r>
          </w:p>
        </w:tc>
        <w:tc>
          <w:tcPr>
            <w:tcW w:w="140" w:type="dxa"/>
            <w:vAlign w:val="bottom"/>
            <w:shd w:val="clear" w:color="auto" w:fill="1D2758"/>
          </w:tcPr>
          <w:p>
            <w:pPr>
              <w:spacing w:after="0"/>
              <w:rPr>
                <w:sz w:val="13"/>
                <w:szCs w:val="13"/>
                <w:color w:val="auto"/>
              </w:rPr>
            </w:pPr>
          </w:p>
        </w:tc>
        <w:tc>
          <w:tcPr>
            <w:tcW w:w="11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NA Storage</w:t>
            </w:r>
          </w:p>
        </w:tc>
        <w:tc>
          <w:tcPr>
            <w:tcW w:w="140" w:type="dxa"/>
            <w:vAlign w:val="bottom"/>
            <w:shd w:val="clear" w:color="auto" w:fill="1D2758"/>
          </w:tcPr>
          <w:p>
            <w:pPr>
              <w:spacing w:after="0"/>
              <w:rPr>
                <w:sz w:val="13"/>
                <w:szCs w:val="13"/>
                <w:color w:val="auto"/>
              </w:rPr>
            </w:pPr>
          </w:p>
        </w:tc>
        <w:tc>
          <w:tcPr>
            <w:tcW w:w="1120" w:type="dxa"/>
            <w:vAlign w:val="bottom"/>
            <w:gridSpan w:val="2"/>
            <w:vMerge w:val="restart"/>
            <w:shd w:val="clear" w:color="auto" w:fill="1D2758"/>
          </w:tcPr>
          <w:p>
            <w:pPr>
              <w:ind w:left="20"/>
              <w:spacing w:after="0"/>
              <w:rPr>
                <w:sz w:val="20"/>
                <w:szCs w:val="20"/>
                <w:color w:val="auto"/>
              </w:rPr>
            </w:pPr>
            <w:r>
              <w:rPr>
                <w:rFonts w:ascii="Arial" w:cs="Arial" w:eastAsia="Arial" w:hAnsi="Arial"/>
                <w:sz w:val="15"/>
                <w:szCs w:val="15"/>
                <w:b w:val="1"/>
                <w:bCs w:val="1"/>
                <w:color w:val="FFFFFF"/>
              </w:rPr>
              <w:t>UK Storage</w:t>
            </w:r>
          </w:p>
        </w:tc>
        <w:tc>
          <w:tcPr>
            <w:tcW w:w="180" w:type="dxa"/>
            <w:vAlign w:val="bottom"/>
            <w:shd w:val="clear" w:color="auto" w:fill="1D2758"/>
          </w:tcPr>
          <w:p>
            <w:pPr>
              <w:spacing w:after="0"/>
              <w:rPr>
                <w:sz w:val="13"/>
                <w:szCs w:val="13"/>
                <w:color w:val="auto"/>
              </w:rPr>
            </w:pPr>
          </w:p>
        </w:tc>
        <w:tc>
          <w:tcPr>
            <w:tcW w:w="1280" w:type="dxa"/>
            <w:vAlign w:val="bottom"/>
            <w:gridSpan w:val="2"/>
            <w:shd w:val="clear" w:color="auto" w:fill="1D2758"/>
          </w:tcPr>
          <w:p>
            <w:pPr>
              <w:jc w:val="center"/>
              <w:ind w:right="460"/>
              <w:spacing w:after="0" w:line="155" w:lineRule="exact"/>
              <w:rPr>
                <w:sz w:val="20"/>
                <w:szCs w:val="20"/>
                <w:color w:val="auto"/>
              </w:rPr>
            </w:pPr>
            <w:r>
              <w:rPr>
                <w:rFonts w:ascii="Arial" w:cs="Arial" w:eastAsia="Arial" w:hAnsi="Arial"/>
                <w:sz w:val="15"/>
                <w:szCs w:val="15"/>
                <w:b w:val="1"/>
                <w:bCs w:val="1"/>
                <w:color w:val="FFFFFF"/>
              </w:rPr>
              <w:t>Tank and</w:t>
            </w:r>
          </w:p>
        </w:tc>
        <w:tc>
          <w:tcPr>
            <w:tcW w:w="220" w:type="dxa"/>
            <w:vAlign w:val="bottom"/>
            <w:shd w:val="clear" w:color="auto" w:fill="1D2758"/>
          </w:tcPr>
          <w:p>
            <w:pPr>
              <w:spacing w:after="0"/>
              <w:rPr>
                <w:sz w:val="13"/>
                <w:szCs w:val="13"/>
                <w:color w:val="auto"/>
              </w:rPr>
            </w:pPr>
          </w:p>
        </w:tc>
        <w:tc>
          <w:tcPr>
            <w:tcW w:w="1260" w:type="dxa"/>
            <w:vAlign w:val="bottom"/>
            <w:shd w:val="clear" w:color="auto" w:fill="1D2758"/>
          </w:tcPr>
          <w:p>
            <w:pPr>
              <w:jc w:val="right"/>
              <w:ind w:right="243"/>
              <w:spacing w:after="0" w:line="155" w:lineRule="exact"/>
              <w:rPr>
                <w:sz w:val="20"/>
                <w:szCs w:val="20"/>
                <w:color w:val="auto"/>
              </w:rPr>
            </w:pPr>
            <w:r>
              <w:rPr>
                <w:rFonts w:ascii="Arial" w:cs="Arial" w:eastAsia="Arial" w:hAnsi="Arial"/>
                <w:sz w:val="15"/>
                <w:szCs w:val="15"/>
                <w:b w:val="1"/>
                <w:bCs w:val="1"/>
                <w:color w:val="FFFFFF"/>
              </w:rPr>
              <w:t>Unallocated</w:t>
            </w:r>
          </w:p>
        </w:tc>
        <w:tc>
          <w:tcPr>
            <w:tcW w:w="280" w:type="dxa"/>
            <w:vAlign w:val="bottom"/>
            <w:shd w:val="clear" w:color="auto" w:fill="1D2758"/>
          </w:tcPr>
          <w:p>
            <w:pPr>
              <w:spacing w:after="0"/>
              <w:rPr>
                <w:sz w:val="13"/>
                <w:szCs w:val="13"/>
                <w:color w:val="auto"/>
              </w:rPr>
            </w:pPr>
          </w:p>
        </w:tc>
        <w:tc>
          <w:tcPr>
            <w:tcW w:w="960" w:type="dxa"/>
            <w:vAlign w:val="bottom"/>
            <w:vMerge w:val="restart"/>
            <w:shd w:val="clear" w:color="auto" w:fill="1D2758"/>
          </w:tcPr>
          <w:p>
            <w:pPr>
              <w:jc w:val="right"/>
              <w:ind w:right="3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2960" w:type="dxa"/>
            <w:vAlign w:val="bottom"/>
            <w:vMerge w:val="continue"/>
            <w:shd w:val="clear" w:color="auto" w:fill="1D2758"/>
          </w:tcPr>
          <w:p>
            <w:pPr>
              <w:spacing w:after="0"/>
              <w:rPr>
                <w:sz w:val="17"/>
                <w:szCs w:val="17"/>
                <w:color w:val="auto"/>
              </w:rPr>
            </w:pPr>
          </w:p>
        </w:tc>
        <w:tc>
          <w:tcPr>
            <w:tcW w:w="120" w:type="dxa"/>
            <w:vAlign w:val="bottom"/>
            <w:shd w:val="clear" w:color="auto" w:fill="1D2758"/>
          </w:tcPr>
          <w:p>
            <w:pPr>
              <w:spacing w:after="0"/>
              <w:rPr>
                <w:sz w:val="17"/>
                <w:szCs w:val="17"/>
                <w:color w:val="auto"/>
              </w:rPr>
            </w:pPr>
          </w:p>
        </w:tc>
        <w:tc>
          <w:tcPr>
            <w:tcW w:w="114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120" w:type="dxa"/>
            <w:vAlign w:val="bottom"/>
            <w:gridSpan w:val="2"/>
            <w:vMerge w:val="continue"/>
            <w:shd w:val="clear" w:color="auto" w:fill="1D2758"/>
          </w:tcPr>
          <w:p>
            <w:pPr>
              <w:spacing w:after="0"/>
              <w:rPr>
                <w:sz w:val="17"/>
                <w:szCs w:val="17"/>
                <w:color w:val="auto"/>
              </w:rPr>
            </w:pPr>
          </w:p>
        </w:tc>
        <w:tc>
          <w:tcPr>
            <w:tcW w:w="140" w:type="dxa"/>
            <w:vAlign w:val="bottom"/>
            <w:shd w:val="clear" w:color="auto" w:fill="1D2758"/>
          </w:tcPr>
          <w:p>
            <w:pPr>
              <w:spacing w:after="0"/>
              <w:rPr>
                <w:sz w:val="17"/>
                <w:szCs w:val="17"/>
                <w:color w:val="auto"/>
              </w:rPr>
            </w:pPr>
          </w:p>
        </w:tc>
        <w:tc>
          <w:tcPr>
            <w:tcW w:w="1120" w:type="dxa"/>
            <w:vAlign w:val="bottom"/>
            <w:gridSpan w:val="2"/>
            <w:vMerge w:val="continue"/>
            <w:shd w:val="clear" w:color="auto" w:fill="1D2758"/>
          </w:tcPr>
          <w:p>
            <w:pPr>
              <w:spacing w:after="0"/>
              <w:rPr>
                <w:sz w:val="17"/>
                <w:szCs w:val="17"/>
                <w:color w:val="auto"/>
              </w:rPr>
            </w:pPr>
          </w:p>
        </w:tc>
        <w:tc>
          <w:tcPr>
            <w:tcW w:w="180" w:type="dxa"/>
            <w:vAlign w:val="bottom"/>
            <w:shd w:val="clear" w:color="auto" w:fill="1D2758"/>
          </w:tcPr>
          <w:p>
            <w:pPr>
              <w:spacing w:after="0"/>
              <w:rPr>
                <w:sz w:val="17"/>
                <w:szCs w:val="17"/>
                <w:color w:val="auto"/>
              </w:rPr>
            </w:pPr>
          </w:p>
        </w:tc>
        <w:tc>
          <w:tcPr>
            <w:tcW w:w="1280" w:type="dxa"/>
            <w:vAlign w:val="bottom"/>
            <w:gridSpan w:val="2"/>
            <w:shd w:val="clear" w:color="auto" w:fill="1D2758"/>
          </w:tcPr>
          <w:p>
            <w:pPr>
              <w:jc w:val="center"/>
              <w:ind w:right="460"/>
              <w:spacing w:after="0"/>
              <w:rPr>
                <w:sz w:val="20"/>
                <w:szCs w:val="20"/>
                <w:color w:val="auto"/>
              </w:rPr>
            </w:pPr>
            <w:r>
              <w:rPr>
                <w:rFonts w:ascii="Arial" w:cs="Arial" w:eastAsia="Arial" w:hAnsi="Arial"/>
                <w:sz w:val="15"/>
                <w:szCs w:val="15"/>
                <w:b w:val="1"/>
                <w:bCs w:val="1"/>
                <w:color w:val="FFFFFF"/>
              </w:rPr>
              <w:t>Pump</w:t>
            </w:r>
          </w:p>
        </w:tc>
        <w:tc>
          <w:tcPr>
            <w:tcW w:w="22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Costs</w:t>
            </w:r>
          </w:p>
        </w:tc>
        <w:tc>
          <w:tcPr>
            <w:tcW w:w="280" w:type="dxa"/>
            <w:vAlign w:val="bottom"/>
            <w:shd w:val="clear" w:color="auto" w:fill="1D2758"/>
          </w:tcPr>
          <w:p>
            <w:pPr>
              <w:spacing w:after="0"/>
              <w:rPr>
                <w:sz w:val="17"/>
                <w:szCs w:val="17"/>
                <w:color w:val="auto"/>
              </w:rPr>
            </w:pPr>
          </w:p>
        </w:tc>
        <w:tc>
          <w:tcPr>
            <w:tcW w:w="960" w:type="dxa"/>
            <w:vAlign w:val="bottom"/>
            <w:vMerge w:val="continue"/>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00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60" w:type="dxa"/>
            <w:vAlign w:val="bottom"/>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Arial" w:cs="Arial" w:eastAsia="Arial" w:hAnsi="Arial"/>
                <w:sz w:val="15"/>
                <w:szCs w:val="15"/>
                <w:color w:val="auto"/>
              </w:rPr>
              <w:t>Leasing and services revenue: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417,243</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166,317</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39,735</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35,546</w:t>
            </w: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658,841</w:t>
            </w:r>
          </w:p>
        </w:tc>
        <w:tc>
          <w:tcPr>
            <w:tcW w:w="0" w:type="dxa"/>
            <w:vAlign w:val="bottom"/>
          </w:tcPr>
          <w:p>
            <w:pPr>
              <w:spacing w:after="0"/>
              <w:rPr>
                <w:sz w:val="1"/>
                <w:szCs w:val="1"/>
                <w:color w:val="auto"/>
              </w:rPr>
            </w:pPr>
          </w:p>
        </w:tc>
      </w:tr>
      <w:tr>
        <w:trPr>
          <w:trHeight w:val="205"/>
        </w:trPr>
        <w:tc>
          <w:tcPr>
            <w:tcW w:w="2960" w:type="dxa"/>
            <w:vAlign w:val="bottom"/>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103,531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44,884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12,589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14,180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175,184</w:t>
            </w: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Sales revenue:</w:t>
            </w: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14,331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4,048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2,166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21,963</w:t>
            </w: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20,501</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8,293</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949</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694</w:t>
            </w: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30,437</w:t>
            </w:r>
          </w:p>
        </w:tc>
        <w:tc>
          <w:tcPr>
            <w:tcW w:w="0" w:type="dxa"/>
            <w:vAlign w:val="bottom"/>
          </w:tcPr>
          <w:p>
            <w:pPr>
              <w:spacing w:after="0"/>
              <w:rPr>
                <w:sz w:val="1"/>
                <w:szCs w:val="1"/>
                <w:color w:val="auto"/>
              </w:rPr>
            </w:pPr>
          </w:p>
        </w:tc>
      </w:tr>
      <w:tr>
        <w:trPr>
          <w:trHeight w:val="198"/>
        </w:trPr>
        <w:tc>
          <w:tcPr>
            <w:tcW w:w="296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555,606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223,542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55,439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51,838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886,425</w:t>
            </w:r>
          </w:p>
        </w:tc>
        <w:tc>
          <w:tcPr>
            <w:tcW w:w="0" w:type="dxa"/>
            <w:vAlign w:val="bottom"/>
          </w:tcPr>
          <w:p>
            <w:pPr>
              <w:spacing w:after="0"/>
              <w:rPr>
                <w:sz w:val="1"/>
                <w:szCs w:val="1"/>
                <w:color w:val="auto"/>
              </w:rPr>
            </w:pPr>
          </w:p>
        </w:tc>
      </w:tr>
      <w:tr>
        <w:trPr>
          <w:trHeight w:val="259"/>
        </w:trPr>
        <w:tc>
          <w:tcPr>
            <w:tcW w:w="296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040" w:type="dxa"/>
            <w:vAlign w:val="bottom"/>
            <w:shd w:val="clear" w:color="auto" w:fill="DBDBDB"/>
          </w:tcPr>
          <w:p>
            <w:pPr>
              <w:spacing w:after="0"/>
              <w:rPr>
                <w:sz w:val="22"/>
                <w:szCs w:val="22"/>
                <w:color w:val="auto"/>
              </w:rPr>
            </w:pPr>
          </w:p>
        </w:tc>
        <w:tc>
          <w:tcPr>
            <w:tcW w:w="80" w:type="dxa"/>
            <w:vAlign w:val="bottom"/>
            <w:shd w:val="clear" w:color="auto" w:fill="DBDBDB"/>
          </w:tcPr>
          <w:p>
            <w:pPr>
              <w:spacing w:after="0"/>
              <w:rPr>
                <w:sz w:val="22"/>
                <w:szCs w:val="22"/>
                <w:color w:val="auto"/>
              </w:rPr>
            </w:pPr>
          </w:p>
        </w:tc>
        <w:tc>
          <w:tcPr>
            <w:tcW w:w="180" w:type="dxa"/>
            <w:vAlign w:val="bottom"/>
            <w:shd w:val="clear" w:color="auto" w:fill="DBDBDB"/>
          </w:tcPr>
          <w:p>
            <w:pPr>
              <w:spacing w:after="0"/>
              <w:rPr>
                <w:sz w:val="22"/>
                <w:szCs w:val="22"/>
                <w:color w:val="auto"/>
              </w:rPr>
            </w:pPr>
          </w:p>
        </w:tc>
        <w:tc>
          <w:tcPr>
            <w:tcW w:w="100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220" w:type="dxa"/>
            <w:vAlign w:val="bottom"/>
            <w:shd w:val="clear" w:color="auto" w:fill="DBDBDB"/>
          </w:tcPr>
          <w:p>
            <w:pPr>
              <w:spacing w:after="0"/>
              <w:rPr>
                <w:sz w:val="22"/>
                <w:szCs w:val="22"/>
                <w:color w:val="auto"/>
              </w:rPr>
            </w:pPr>
          </w:p>
        </w:tc>
        <w:tc>
          <w:tcPr>
            <w:tcW w:w="1260" w:type="dxa"/>
            <w:vAlign w:val="bottom"/>
            <w:shd w:val="clear" w:color="auto" w:fill="DBDBDB"/>
          </w:tcPr>
          <w:p>
            <w:pPr>
              <w:spacing w:after="0"/>
              <w:rPr>
                <w:sz w:val="22"/>
                <w:szCs w:val="22"/>
                <w:color w:val="auto"/>
              </w:rPr>
            </w:pPr>
          </w:p>
        </w:tc>
        <w:tc>
          <w:tcPr>
            <w:tcW w:w="280" w:type="dxa"/>
            <w:vAlign w:val="bottom"/>
            <w:shd w:val="clear" w:color="auto" w:fill="DBDBDB"/>
          </w:tcPr>
          <w:p>
            <w:pPr>
              <w:spacing w:after="0"/>
              <w:rPr>
                <w:sz w:val="22"/>
                <w:szCs w:val="22"/>
                <w:color w:val="auto"/>
              </w:rPr>
            </w:pPr>
          </w:p>
        </w:tc>
        <w:tc>
          <w:tcPr>
            <w:tcW w:w="960" w:type="dxa"/>
            <w:vAlign w:val="bottom"/>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Arial" w:cs="Arial" w:eastAsia="Arial" w:hAnsi="Arial"/>
                <w:sz w:val="15"/>
                <w:szCs w:val="15"/>
                <w:color w:val="auto"/>
              </w:rPr>
              <w:t>Costs: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 of leasing and services:</w:t>
            </w: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20"/>
              <w:spacing w:after="0"/>
              <w:rPr>
                <w:sz w:val="20"/>
                <w:szCs w:val="20"/>
                <w:color w:val="auto"/>
              </w:rPr>
            </w:pPr>
            <w:r>
              <w:rPr>
                <w:rFonts w:ascii="Arial" w:cs="Arial" w:eastAsia="Arial" w:hAnsi="Arial"/>
                <w:sz w:val="15"/>
                <w:szCs w:val="15"/>
                <w:color w:val="auto"/>
              </w:rPr>
              <w:t>Leasing</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112,848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22,907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9,025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8,147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152,927</w:t>
            </w: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Delivery and installation</w:t>
            </w: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95,859</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32,483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7,400</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11,547</w:t>
            </w: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147,289</w:t>
            </w:r>
          </w:p>
        </w:tc>
        <w:tc>
          <w:tcPr>
            <w:tcW w:w="0" w:type="dxa"/>
            <w:vAlign w:val="bottom"/>
          </w:tcPr>
          <w:p>
            <w:pPr>
              <w:spacing w:after="0"/>
              <w:rPr>
                <w:sz w:val="1"/>
                <w:szCs w:val="1"/>
                <w:color w:val="auto"/>
              </w:rPr>
            </w:pPr>
          </w:p>
        </w:tc>
      </w:tr>
      <w:tr>
        <w:trPr>
          <w:trHeight w:val="205"/>
        </w:trPr>
        <w:tc>
          <w:tcPr>
            <w:tcW w:w="2960" w:type="dxa"/>
            <w:vAlign w:val="bottom"/>
          </w:tcPr>
          <w:p>
            <w:pPr>
              <w:ind w:left="20"/>
              <w:spacing w:after="0"/>
              <w:rPr>
                <w:sz w:val="20"/>
                <w:szCs w:val="20"/>
                <w:color w:val="auto"/>
              </w:rPr>
            </w:pPr>
            <w:r>
              <w:rPr>
                <w:rFonts w:ascii="Arial" w:cs="Arial" w:eastAsia="Arial" w:hAnsi="Arial"/>
                <w:sz w:val="15"/>
                <w:szCs w:val="15"/>
                <w:color w:val="auto"/>
              </w:rPr>
              <w:t>Cost of sales: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New units</w:t>
            </w:r>
          </w:p>
        </w:tc>
        <w:tc>
          <w:tcPr>
            <w:tcW w:w="12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9,250</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2,463</w:t>
            </w:r>
          </w:p>
        </w:tc>
        <w:tc>
          <w:tcPr>
            <w:tcW w:w="8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1,434</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1,014</w:t>
            </w: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14,161</w:t>
            </w:r>
          </w:p>
        </w:tc>
        <w:tc>
          <w:tcPr>
            <w:tcW w:w="0" w:type="dxa"/>
            <w:vAlign w:val="bottom"/>
          </w:tcPr>
          <w:p>
            <w:pPr>
              <w:spacing w:after="0"/>
              <w:rPr>
                <w:sz w:val="1"/>
                <w:szCs w:val="1"/>
                <w:color w:val="auto"/>
              </w:rPr>
            </w:pPr>
          </w:p>
        </w:tc>
      </w:tr>
      <w:tr>
        <w:trPr>
          <w:trHeight w:val="205"/>
        </w:trPr>
        <w:tc>
          <w:tcPr>
            <w:tcW w:w="2960" w:type="dxa"/>
            <w:vAlign w:val="bottom"/>
          </w:tcPr>
          <w:p>
            <w:pPr>
              <w:ind w:left="220"/>
              <w:spacing w:after="0"/>
              <w:rPr>
                <w:sz w:val="20"/>
                <w:szCs w:val="20"/>
                <w:color w:val="auto"/>
              </w:rPr>
            </w:pPr>
            <w:r>
              <w:rPr>
                <w:rFonts w:ascii="Arial" w:cs="Arial" w:eastAsia="Arial" w:hAnsi="Arial"/>
                <w:sz w:val="15"/>
                <w:szCs w:val="15"/>
                <w:color w:val="auto"/>
              </w:rPr>
              <w:t>Rental units</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10,975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5,080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918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294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17,267</w:t>
            </w:r>
          </w:p>
        </w:tc>
        <w:tc>
          <w:tcPr>
            <w:tcW w:w="0" w:type="dxa"/>
            <w:vAlign w:val="bottom"/>
          </w:tcPr>
          <w:p>
            <w:pPr>
              <w:spacing w:after="0"/>
              <w:rPr>
                <w:sz w:val="1"/>
                <w:szCs w:val="1"/>
                <w:color w:val="auto"/>
              </w:rPr>
            </w:pPr>
          </w:p>
        </w:tc>
      </w:tr>
      <w:tr>
        <w:trPr>
          <w:trHeight w:val="207"/>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Depreciation of rental equipment</w:t>
            </w:r>
          </w:p>
        </w:tc>
        <w:tc>
          <w:tcPr>
            <w:tcW w:w="12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97,536</w:t>
            </w:r>
          </w:p>
        </w:tc>
        <w:tc>
          <w:tcPr>
            <w:tcW w:w="10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12,269</w:t>
            </w:r>
          </w:p>
        </w:tc>
        <w:tc>
          <w:tcPr>
            <w:tcW w:w="80" w:type="dxa"/>
            <w:vAlign w:val="bottom"/>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2,232</w:t>
            </w:r>
          </w:p>
        </w:tc>
        <w:tc>
          <w:tcPr>
            <w:tcW w:w="80" w:type="dxa"/>
            <w:vAlign w:val="bottom"/>
            <w:shd w:val="clear" w:color="auto" w:fill="DBDBDB"/>
          </w:tcPr>
          <w:p>
            <w:pPr>
              <w:spacing w:after="0"/>
              <w:rPr>
                <w:sz w:val="18"/>
                <w:szCs w:val="18"/>
                <w:color w:val="auto"/>
              </w:rPr>
            </w:pPr>
          </w:p>
        </w:tc>
        <w:tc>
          <w:tcPr>
            <w:tcW w:w="180" w:type="dxa"/>
            <w:vAlign w:val="bottom"/>
            <w:tcBorders>
              <w:bottom w:val="single" w:sz="8" w:color="auto"/>
            </w:tcBorders>
            <w:shd w:val="clear" w:color="auto" w:fill="DBDBDB"/>
          </w:tcPr>
          <w:p>
            <w:pPr>
              <w:spacing w:after="0"/>
              <w:rPr>
                <w:sz w:val="18"/>
                <w:szCs w:val="18"/>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6,554</w:t>
            </w:r>
          </w:p>
        </w:tc>
        <w:tc>
          <w:tcPr>
            <w:tcW w:w="2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60" w:type="dxa"/>
            <w:vAlign w:val="bottom"/>
            <w:shd w:val="clear" w:color="auto" w:fill="DBDBDB"/>
          </w:tcPr>
          <w:p>
            <w:pPr>
              <w:spacing w:after="0"/>
              <w:rPr>
                <w:sz w:val="18"/>
                <w:szCs w:val="18"/>
                <w:color w:val="auto"/>
              </w:rPr>
            </w:pPr>
          </w:p>
        </w:tc>
        <w:tc>
          <w:tcPr>
            <w:tcW w:w="280" w:type="dxa"/>
            <w:vAlign w:val="bottom"/>
            <w:tcBorders>
              <w:bottom w:val="single" w:sz="8" w:color="auto"/>
            </w:tcBorders>
            <w:shd w:val="clear" w:color="auto" w:fill="DBDBDB"/>
          </w:tcPr>
          <w:p>
            <w:pPr>
              <w:spacing w:after="0"/>
              <w:rPr>
                <w:sz w:val="18"/>
                <w:szCs w:val="18"/>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118,591</w:t>
            </w:r>
          </w:p>
        </w:tc>
        <w:tc>
          <w:tcPr>
            <w:tcW w:w="0" w:type="dxa"/>
            <w:vAlign w:val="bottom"/>
          </w:tcPr>
          <w:p>
            <w:pPr>
              <w:spacing w:after="0"/>
              <w:rPr>
                <w:sz w:val="1"/>
                <w:szCs w:val="1"/>
                <w:color w:val="auto"/>
              </w:rPr>
            </w:pPr>
          </w:p>
        </w:tc>
      </w:tr>
      <w:tr>
        <w:trPr>
          <w:trHeight w:val="198"/>
        </w:trPr>
        <w:tc>
          <w:tcPr>
            <w:tcW w:w="2960" w:type="dxa"/>
            <w:vAlign w:val="bottom"/>
          </w:tcPr>
          <w:p>
            <w:pPr>
              <w:ind w:left="440"/>
              <w:spacing w:after="0"/>
              <w:rPr>
                <w:sz w:val="20"/>
                <w:szCs w:val="20"/>
                <w:color w:val="auto"/>
              </w:rPr>
            </w:pPr>
            <w:r>
              <w:rPr>
                <w:rFonts w:ascii="Arial" w:cs="Arial" w:eastAsia="Arial" w:hAnsi="Arial"/>
                <w:sz w:val="15"/>
                <w:szCs w:val="15"/>
                <w:color w:val="auto"/>
              </w:rPr>
              <w:t>Gross profit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229,138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148,340</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34,430</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24,282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436,190</w:t>
            </w:r>
          </w:p>
        </w:tc>
        <w:tc>
          <w:tcPr>
            <w:tcW w:w="0" w:type="dxa"/>
            <w:vAlign w:val="bottom"/>
          </w:tcPr>
          <w:p>
            <w:pPr>
              <w:spacing w:after="0"/>
              <w:rPr>
                <w:sz w:val="1"/>
                <w:szCs w:val="1"/>
                <w:color w:val="auto"/>
              </w:rPr>
            </w:pPr>
          </w:p>
        </w:tc>
      </w:tr>
      <w:tr>
        <w:trPr>
          <w:trHeight w:val="20"/>
        </w:trPr>
        <w:tc>
          <w:tcPr>
            <w:tcW w:w="296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DBDBDB"/>
            </w:tcBorders>
          </w:tcPr>
          <w:p>
            <w:pPr>
              <w:spacing w:after="0" w:line="20" w:lineRule="exact"/>
              <w:rPr>
                <w:sz w:val="1"/>
                <w:szCs w:val="1"/>
                <w:color w:val="auto"/>
              </w:rPr>
            </w:pPr>
          </w:p>
        </w:tc>
        <w:tc>
          <w:tcPr>
            <w:tcW w:w="126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960" w:type="dxa"/>
            <w:vAlign w:val="bottom"/>
            <w:shd w:val="clear" w:color="auto" w:fill="DBDBDB"/>
          </w:tcPr>
          <w:p>
            <w:pPr>
              <w:ind w:left="20"/>
              <w:spacing w:after="0"/>
              <w:rPr>
                <w:sz w:val="20"/>
                <w:szCs w:val="20"/>
                <w:color w:val="auto"/>
              </w:rPr>
            </w:pPr>
            <w:r>
              <w:rPr>
                <w:rFonts w:ascii="Arial" w:cs="Arial" w:eastAsia="Arial" w:hAnsi="Arial"/>
                <w:sz w:val="15"/>
                <w:szCs w:val="15"/>
                <w:color w:val="auto"/>
              </w:rPr>
              <w:t>Other selected data:</w:t>
            </w:r>
          </w:p>
        </w:tc>
        <w:tc>
          <w:tcPr>
            <w:tcW w:w="12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0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960" w:type="dxa"/>
            <w:vAlign w:val="bottom"/>
          </w:tcPr>
          <w:p>
            <w:pPr>
              <w:ind w:left="220"/>
              <w:spacing w:after="0"/>
              <w:rPr>
                <w:sz w:val="20"/>
                <w:szCs w:val="20"/>
                <w:color w:val="auto"/>
              </w:rPr>
            </w:pPr>
            <w:r>
              <w:rPr>
                <w:rFonts w:ascii="Arial" w:cs="Arial" w:eastAsia="Arial" w:hAnsi="Arial"/>
                <w:sz w:val="15"/>
                <w:szCs w:val="15"/>
                <w:color w:val="auto"/>
              </w:rPr>
              <w:t>Adjusted EBITDA</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200,916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95,848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23,392</w:t>
            </w:r>
          </w:p>
        </w:tc>
        <w:tc>
          <w:tcPr>
            <w:tcW w:w="8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18,924</w:t>
            </w:r>
          </w:p>
        </w:tc>
        <w:tc>
          <w:tcPr>
            <w:tcW w:w="2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339,080</w:t>
            </w:r>
          </w:p>
        </w:tc>
        <w:tc>
          <w:tcPr>
            <w:tcW w:w="0" w:type="dxa"/>
            <w:vAlign w:val="bottom"/>
          </w:tcPr>
          <w:p>
            <w:pPr>
              <w:spacing w:after="0"/>
              <w:rPr>
                <w:sz w:val="1"/>
                <w:szCs w:val="1"/>
                <w:color w:val="auto"/>
              </w:rPr>
            </w:pPr>
          </w:p>
        </w:tc>
      </w:tr>
      <w:tr>
        <w:trPr>
          <w:trHeight w:val="156"/>
        </w:trPr>
        <w:tc>
          <w:tcPr>
            <w:tcW w:w="2960" w:type="dxa"/>
            <w:vAlign w:val="bottom"/>
            <w:shd w:val="clear" w:color="auto" w:fill="DBDBDB"/>
          </w:tcPr>
          <w:p>
            <w:pPr>
              <w:ind w:left="220"/>
              <w:spacing w:after="0" w:line="156" w:lineRule="exact"/>
              <w:rPr>
                <w:sz w:val="20"/>
                <w:szCs w:val="20"/>
                <w:color w:val="auto"/>
              </w:rPr>
            </w:pPr>
            <w:r>
              <w:rPr>
                <w:rFonts w:ascii="Arial" w:cs="Arial" w:eastAsia="Arial" w:hAnsi="Arial"/>
                <w:sz w:val="15"/>
                <w:szCs w:val="15"/>
                <w:color w:val="auto"/>
              </w:rPr>
              <w:t>Selling, general and administrative</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125,756</w:t>
            </w:r>
          </w:p>
        </w:tc>
        <w:tc>
          <w:tcPr>
            <w:tcW w:w="10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64,761</w:t>
            </w:r>
          </w:p>
        </w:tc>
        <w:tc>
          <w:tcPr>
            <w:tcW w:w="80" w:type="dxa"/>
            <w:vAlign w:val="bottom"/>
            <w:shd w:val="clear" w:color="auto" w:fill="DBDBDB"/>
          </w:tcPr>
          <w:p>
            <w:pPr>
              <w:spacing w:after="0"/>
              <w:rPr>
                <w:sz w:val="13"/>
                <w:szCs w:val="13"/>
                <w:color w:val="auto"/>
              </w:rPr>
            </w:pPr>
          </w:p>
        </w:tc>
        <w:tc>
          <w:tcPr>
            <w:tcW w:w="1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13,269</w:t>
            </w:r>
          </w:p>
        </w:tc>
        <w:tc>
          <w:tcPr>
            <w:tcW w:w="80" w:type="dxa"/>
            <w:vAlign w:val="bottom"/>
            <w:shd w:val="clear" w:color="auto" w:fill="DBDBDB"/>
          </w:tcPr>
          <w:p>
            <w:pPr>
              <w:spacing w:after="0"/>
              <w:rPr>
                <w:sz w:val="13"/>
                <w:szCs w:val="13"/>
                <w:color w:val="auto"/>
              </w:rPr>
            </w:pPr>
          </w:p>
        </w:tc>
        <w:tc>
          <w:tcPr>
            <w:tcW w:w="18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11,913</w:t>
            </w:r>
          </w:p>
        </w:tc>
        <w:tc>
          <w:tcPr>
            <w:tcW w:w="280" w:type="dxa"/>
            <w:vAlign w:val="bottom"/>
            <w:shd w:val="clear" w:color="auto" w:fill="DBDBDB"/>
          </w:tcPr>
          <w:p>
            <w:pPr>
              <w:spacing w:after="0"/>
              <w:rPr>
                <w:sz w:val="13"/>
                <w:szCs w:val="13"/>
                <w:color w:val="auto"/>
              </w:rPr>
            </w:pPr>
          </w:p>
        </w:tc>
        <w:tc>
          <w:tcPr>
            <w:tcW w:w="2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60" w:type="dxa"/>
            <w:vAlign w:val="bottom"/>
            <w:vMerge w:val="restart"/>
            <w:shd w:val="clear" w:color="auto" w:fill="DBDBDB"/>
          </w:tcPr>
          <w:p>
            <w:pPr>
              <w:jc w:val="right"/>
              <w:ind w:right="83"/>
              <w:spacing w:after="0"/>
              <w:rPr>
                <w:sz w:val="20"/>
                <w:szCs w:val="20"/>
                <w:color w:val="auto"/>
              </w:rPr>
            </w:pPr>
            <w:r>
              <w:rPr>
                <w:rFonts w:ascii="Arial" w:cs="Arial" w:eastAsia="Arial" w:hAnsi="Arial"/>
                <w:sz w:val="15"/>
                <w:szCs w:val="15"/>
                <w:color w:val="auto"/>
              </w:rPr>
              <w:t>24,017</w:t>
            </w:r>
          </w:p>
        </w:tc>
        <w:tc>
          <w:tcPr>
            <w:tcW w:w="280" w:type="dxa"/>
            <w:vAlign w:val="bottom"/>
            <w:vMerge w:val="restart"/>
            <w:shd w:val="clear" w:color="auto" w:fill="DBDBDB"/>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239,716</w:t>
            </w:r>
          </w:p>
        </w:tc>
        <w:tc>
          <w:tcPr>
            <w:tcW w:w="0" w:type="dxa"/>
            <w:vAlign w:val="bottom"/>
          </w:tcPr>
          <w:p>
            <w:pPr>
              <w:spacing w:after="0"/>
              <w:rPr>
                <w:sz w:val="1"/>
                <w:szCs w:val="1"/>
                <w:color w:val="auto"/>
              </w:rPr>
            </w:pPr>
          </w:p>
        </w:tc>
      </w:tr>
      <w:tr>
        <w:trPr>
          <w:trHeight w:val="206"/>
        </w:trPr>
        <w:tc>
          <w:tcPr>
            <w:tcW w:w="29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expense</w:t>
            </w:r>
          </w:p>
        </w:tc>
        <w:tc>
          <w:tcPr>
            <w:tcW w:w="120" w:type="dxa"/>
            <w:vAlign w:val="bottom"/>
            <w:vMerge w:val="continue"/>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40" w:type="dxa"/>
            <w:vAlign w:val="bottom"/>
            <w:vMerge w:val="continue"/>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vMerge w:val="continue"/>
            <w:shd w:val="clear" w:color="auto" w:fill="DBDBDB"/>
          </w:tcPr>
          <w:p>
            <w:pPr>
              <w:spacing w:after="0"/>
              <w:rPr>
                <w:sz w:val="17"/>
                <w:szCs w:val="17"/>
                <w:color w:val="auto"/>
              </w:rPr>
            </w:pPr>
          </w:p>
        </w:tc>
        <w:tc>
          <w:tcPr>
            <w:tcW w:w="1040" w:type="dxa"/>
            <w:vAlign w:val="bottom"/>
            <w:vMerge w:val="continue"/>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80" w:type="dxa"/>
            <w:vAlign w:val="bottom"/>
            <w:vMerge w:val="continue"/>
            <w:shd w:val="clear" w:color="auto" w:fill="DBDBDB"/>
          </w:tcPr>
          <w:p>
            <w:pPr>
              <w:spacing w:after="0"/>
              <w:rPr>
                <w:sz w:val="17"/>
                <w:szCs w:val="17"/>
                <w:color w:val="auto"/>
              </w:rPr>
            </w:pPr>
          </w:p>
        </w:tc>
        <w:tc>
          <w:tcPr>
            <w:tcW w:w="1000" w:type="dxa"/>
            <w:vAlign w:val="bottom"/>
            <w:vMerge w:val="continue"/>
            <w:shd w:val="clear" w:color="auto" w:fill="DBDBDB"/>
          </w:tcPr>
          <w:p>
            <w:pPr>
              <w:spacing w:after="0"/>
              <w:rPr>
                <w:sz w:val="17"/>
                <w:szCs w:val="17"/>
                <w:color w:val="auto"/>
              </w:rPr>
            </w:pPr>
          </w:p>
        </w:tc>
        <w:tc>
          <w:tcPr>
            <w:tcW w:w="280" w:type="dxa"/>
            <w:vAlign w:val="bottom"/>
            <w:shd w:val="clear" w:color="auto" w:fill="DBDBDB"/>
          </w:tcPr>
          <w:p>
            <w:pPr>
              <w:spacing w:after="0"/>
              <w:rPr>
                <w:sz w:val="17"/>
                <w:szCs w:val="17"/>
                <w:color w:val="auto"/>
              </w:rPr>
            </w:pPr>
          </w:p>
        </w:tc>
        <w:tc>
          <w:tcPr>
            <w:tcW w:w="220" w:type="dxa"/>
            <w:vAlign w:val="bottom"/>
            <w:vMerge w:val="continue"/>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280" w:type="dxa"/>
            <w:vAlign w:val="bottom"/>
            <w:vMerge w:val="continue"/>
            <w:shd w:val="clear" w:color="auto" w:fill="DBDBDB"/>
          </w:tcPr>
          <w:p>
            <w:pPr>
              <w:spacing w:after="0"/>
              <w:rPr>
                <w:sz w:val="17"/>
                <w:szCs w:val="17"/>
                <w:color w:val="auto"/>
              </w:rPr>
            </w:pPr>
          </w:p>
        </w:tc>
        <w:tc>
          <w:tcPr>
            <w:tcW w:w="96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960" w:type="dxa"/>
            <w:vAlign w:val="bottom"/>
          </w:tcPr>
          <w:p>
            <w:pPr>
              <w:ind w:left="220"/>
              <w:spacing w:after="0" w:line="156" w:lineRule="exact"/>
              <w:rPr>
                <w:sz w:val="20"/>
                <w:szCs w:val="20"/>
                <w:color w:val="auto"/>
              </w:rPr>
            </w:pPr>
            <w:r>
              <w:rPr>
                <w:rFonts w:ascii="Arial" w:cs="Arial" w:eastAsia="Arial" w:hAnsi="Arial"/>
                <w:sz w:val="15"/>
                <w:szCs w:val="15"/>
                <w:color w:val="auto"/>
              </w:rPr>
              <w:t>Purchases of rental equipment and</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spacing w:after="0"/>
              <w:rPr>
                <w:sz w:val="20"/>
                <w:szCs w:val="20"/>
                <w:color w:val="auto"/>
              </w:rPr>
            </w:pPr>
            <w:r>
              <w:rPr>
                <w:rFonts w:ascii="Arial" w:cs="Arial" w:eastAsia="Arial" w:hAnsi="Arial"/>
                <w:sz w:val="15"/>
                <w:szCs w:val="15"/>
                <w:color w:val="auto"/>
              </w:rPr>
              <w:t>88,499</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12,245</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vMerge w:val="restart"/>
          </w:tcPr>
          <w:p>
            <w:pPr>
              <w:jc w:val="right"/>
              <w:ind w:right="3"/>
              <w:spacing w:after="0"/>
              <w:rPr>
                <w:sz w:val="20"/>
                <w:szCs w:val="20"/>
                <w:color w:val="auto"/>
              </w:rPr>
            </w:pPr>
            <w:r>
              <w:rPr>
                <w:rFonts w:ascii="Arial" w:cs="Arial" w:eastAsia="Arial" w:hAnsi="Arial"/>
                <w:sz w:val="15"/>
                <w:szCs w:val="15"/>
                <w:color w:val="auto"/>
              </w:rPr>
              <w:t>10,996</w:t>
            </w:r>
          </w:p>
        </w:tc>
        <w:tc>
          <w:tcPr>
            <w:tcW w:w="80" w:type="dxa"/>
            <w:vAlign w:val="bottom"/>
          </w:tcPr>
          <w:p>
            <w:pPr>
              <w:spacing w:after="0"/>
              <w:rPr>
                <w:sz w:val="13"/>
                <w:szCs w:val="13"/>
                <w:color w:val="auto"/>
              </w:rPr>
            </w:pPr>
          </w:p>
        </w:tc>
        <w:tc>
          <w:tcPr>
            <w:tcW w:w="180" w:type="dxa"/>
            <w:vAlign w:val="bottom"/>
            <w:vMerge w:val="restart"/>
          </w:tcPr>
          <w:p>
            <w:pPr>
              <w:jc w:val="right"/>
              <w:ind w:right="3"/>
              <w:spacing w:after="0"/>
              <w:rPr>
                <w:sz w:val="20"/>
                <w:szCs w:val="20"/>
                <w:color w:val="auto"/>
              </w:rPr>
            </w:pPr>
            <w:r>
              <w:rPr>
                <w:rFonts w:ascii="Arial" w:cs="Arial" w:eastAsia="Arial" w:hAnsi="Arial"/>
                <w:sz w:val="15"/>
                <w:szCs w:val="15"/>
                <w:color w:val="auto"/>
                <w:w w:val="95"/>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6,077</w:t>
            </w:r>
          </w:p>
        </w:tc>
        <w:tc>
          <w:tcPr>
            <w:tcW w:w="28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260" w:type="dxa"/>
            <w:vAlign w:val="bottom"/>
            <w:vMerge w:val="restart"/>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vMerge w:val="restart"/>
          </w:tcPr>
          <w:p>
            <w:pPr>
              <w:jc w:val="right"/>
              <w:ind w:right="103"/>
              <w:spacing w:after="0"/>
              <w:rPr>
                <w:sz w:val="20"/>
                <w:szCs w:val="20"/>
                <w:color w:val="auto"/>
              </w:rPr>
            </w:pPr>
            <w:r>
              <w:rPr>
                <w:rFonts w:ascii="Arial" w:cs="Arial" w:eastAsia="Arial" w:hAnsi="Arial"/>
                <w:sz w:val="15"/>
                <w:szCs w:val="15"/>
                <w:color w:val="auto"/>
                <w:w w:val="95"/>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117,817</w:t>
            </w:r>
          </w:p>
        </w:tc>
        <w:tc>
          <w:tcPr>
            <w:tcW w:w="0" w:type="dxa"/>
            <w:vAlign w:val="bottom"/>
          </w:tcPr>
          <w:p>
            <w:pPr>
              <w:spacing w:after="0"/>
              <w:rPr>
                <w:sz w:val="1"/>
                <w:szCs w:val="1"/>
                <w:color w:val="auto"/>
              </w:rPr>
            </w:pPr>
          </w:p>
        </w:tc>
      </w:tr>
      <w:tr>
        <w:trPr>
          <w:trHeight w:val="204"/>
        </w:trPr>
        <w:tc>
          <w:tcPr>
            <w:tcW w:w="2960" w:type="dxa"/>
            <w:vAlign w:val="bottom"/>
          </w:tcPr>
          <w:p>
            <w:pPr>
              <w:ind w:left="220"/>
              <w:spacing w:after="0"/>
              <w:rPr>
                <w:sz w:val="20"/>
                <w:szCs w:val="20"/>
                <w:color w:val="auto"/>
              </w:rPr>
            </w:pPr>
            <w:r>
              <w:rPr>
                <w:rFonts w:ascii="Arial" w:cs="Arial" w:eastAsia="Arial" w:hAnsi="Arial"/>
                <w:sz w:val="15"/>
                <w:szCs w:val="15"/>
                <w:color w:val="auto"/>
              </w:rPr>
              <w:t>refurbishments</w:t>
            </w:r>
          </w:p>
        </w:tc>
        <w:tc>
          <w:tcPr>
            <w:tcW w:w="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0"/>
          </w:cols>
          <w:pgMar w:left="320" w:top="1093" w:right="659" w:bottom="1440" w:gutter="0" w:footer="0" w:header="0"/>
        </w:sectPr>
      </w:pPr>
    </w:p>
    <w:bookmarkStart w:id="25" w:name="page26"/>
    <w:bookmarkEnd w:id="25"/>
    <w:p>
      <w:pPr>
        <w:jc w:val="both"/>
        <w:ind w:firstLine="619"/>
        <w:spacing w:after="0" w:line="294" w:lineRule="auto"/>
        <w:rPr>
          <w:sz w:val="20"/>
          <w:szCs w:val="20"/>
          <w:color w:val="auto"/>
        </w:rPr>
      </w:pPr>
      <w:r>
        <w:rPr>
          <w:rFonts w:ascii="Arial" w:cs="Arial" w:eastAsia="Arial" w:hAnsi="Arial"/>
          <w:sz w:val="15"/>
          <w:szCs w:val="15"/>
          <w:color w:val="auto"/>
        </w:rPr>
        <w:t>The following table presents a reconciliation of the Company’s Net income to Adjusted EBITDA for the three and six months ended June 30, 2022 and 2021, respectively: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3420" w:type="dxa"/>
            <w:vAlign w:val="bottom"/>
            <w:gridSpan w:val="5"/>
            <w:shd w:val="clear" w:color="auto" w:fill="1D2758"/>
          </w:tcPr>
          <w:p>
            <w:pPr>
              <w:ind w:left="360"/>
              <w:spacing w:after="0"/>
              <w:rPr>
                <w:sz w:val="20"/>
                <w:szCs w:val="20"/>
                <w:color w:val="auto"/>
              </w:rPr>
            </w:pPr>
            <w:r>
              <w:rPr>
                <w:rFonts w:ascii="Arial" w:cs="Arial" w:eastAsia="Arial" w:hAnsi="Arial"/>
                <w:sz w:val="15"/>
                <w:szCs w:val="15"/>
                <w:b w:val="1"/>
                <w:bCs w:val="1"/>
                <w:color w:val="FFFFFF"/>
              </w:rPr>
              <w:t>Three Months Ended June 30,</w:t>
            </w:r>
          </w:p>
        </w:tc>
        <w:tc>
          <w:tcPr>
            <w:tcW w:w="440" w:type="dxa"/>
            <w:vAlign w:val="bottom"/>
            <w:shd w:val="clear" w:color="auto" w:fill="1D2758"/>
          </w:tcPr>
          <w:p>
            <w:pPr>
              <w:spacing w:after="0"/>
              <w:rPr>
                <w:sz w:val="17"/>
                <w:szCs w:val="17"/>
                <w:color w:val="auto"/>
              </w:rPr>
            </w:pPr>
          </w:p>
        </w:tc>
        <w:tc>
          <w:tcPr>
            <w:tcW w:w="3340" w:type="dxa"/>
            <w:vAlign w:val="bottom"/>
            <w:gridSpan w:val="4"/>
            <w:shd w:val="clear" w:color="auto" w:fill="1D2758"/>
          </w:tcPr>
          <w:p>
            <w:pPr>
              <w:jc w:val="right"/>
              <w:ind w:right="803"/>
              <w:spacing w:after="0"/>
              <w:rPr>
                <w:sz w:val="20"/>
                <w:szCs w:val="20"/>
                <w:color w:val="auto"/>
              </w:rPr>
            </w:pPr>
            <w:r>
              <w:rPr>
                <w:rFonts w:ascii="Arial" w:cs="Arial" w:eastAsia="Arial" w:hAnsi="Arial"/>
                <w:sz w:val="15"/>
                <w:szCs w:val="15"/>
                <w:b w:val="1"/>
                <w:bCs w:val="1"/>
                <w:color w:val="FFFFFF"/>
              </w:rPr>
              <w:t>Six Months Ended June 30,</w:t>
            </w:r>
          </w:p>
        </w:tc>
        <w:tc>
          <w:tcPr>
            <w:tcW w:w="0" w:type="dxa"/>
            <w:vAlign w:val="bottom"/>
          </w:tcPr>
          <w:p>
            <w:pPr>
              <w:spacing w:after="0"/>
              <w:rPr>
                <w:sz w:val="1"/>
                <w:szCs w:val="1"/>
                <w:color w:val="auto"/>
              </w:rPr>
            </w:pPr>
          </w:p>
        </w:tc>
      </w:tr>
      <w:tr>
        <w:trPr>
          <w:trHeight w:val="206"/>
        </w:trPr>
        <w:tc>
          <w:tcPr>
            <w:tcW w:w="362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20" w:type="dxa"/>
            <w:vAlign w:val="bottom"/>
            <w:shd w:val="clear" w:color="auto" w:fill="1D2758"/>
          </w:tcPr>
          <w:p>
            <w:pPr>
              <w:spacing w:after="0"/>
              <w:rPr>
                <w:sz w:val="17"/>
                <w:szCs w:val="17"/>
                <w:color w:val="auto"/>
              </w:rPr>
            </w:pPr>
          </w:p>
        </w:tc>
        <w:tc>
          <w:tcPr>
            <w:tcW w:w="140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4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20" w:type="dxa"/>
            <w:vAlign w:val="bottom"/>
            <w:shd w:val="clear" w:color="auto" w:fill="1D2758"/>
          </w:tcPr>
          <w:p>
            <w:pPr>
              <w:spacing w:after="0"/>
              <w:rPr>
                <w:sz w:val="17"/>
                <w:szCs w:val="17"/>
                <w:color w:val="auto"/>
              </w:rPr>
            </w:pPr>
          </w:p>
        </w:tc>
        <w:tc>
          <w:tcPr>
            <w:tcW w:w="1420" w:type="dxa"/>
            <w:vAlign w:val="bottom"/>
            <w:shd w:val="clear" w:color="auto" w:fill="1D2758"/>
          </w:tcPr>
          <w:p>
            <w:pPr>
              <w:jc w:val="right"/>
              <w:ind w:right="66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206"/>
        </w:trPr>
        <w:tc>
          <w:tcPr>
            <w:tcW w:w="36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10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20,371</w:t>
            </w:r>
          </w:p>
        </w:tc>
        <w:tc>
          <w:tcPr>
            <w:tcW w:w="80" w:type="dxa"/>
            <w:vAlign w:val="bottom"/>
            <w:shd w:val="clear" w:color="auto" w:fill="DBDBDB"/>
          </w:tcPr>
          <w:p>
            <w:pPr>
              <w:spacing w:after="0"/>
              <w:rPr>
                <w:sz w:val="17"/>
                <w:szCs w:val="17"/>
                <w:color w:val="auto"/>
              </w:rPr>
            </w:pPr>
          </w:p>
        </w:tc>
        <w:tc>
          <w:tcPr>
            <w:tcW w:w="44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124,547</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24,818</w:t>
            </w:r>
          </w:p>
        </w:tc>
        <w:tc>
          <w:tcPr>
            <w:tcW w:w="0" w:type="dxa"/>
            <w:vAlign w:val="bottom"/>
          </w:tcPr>
          <w:p>
            <w:pPr>
              <w:spacing w:after="0"/>
              <w:rPr>
                <w:sz w:val="1"/>
                <w:szCs w:val="1"/>
                <w:color w:val="auto"/>
              </w:rPr>
            </w:pPr>
          </w:p>
        </w:tc>
      </w:tr>
      <w:tr>
        <w:trPr>
          <w:trHeight w:val="205"/>
        </w:trPr>
        <w:tc>
          <w:tcPr>
            <w:tcW w:w="362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24,711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18,828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40,459</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29,309</w:t>
            </w:r>
          </w:p>
        </w:tc>
        <w:tc>
          <w:tcPr>
            <w:tcW w:w="0" w:type="dxa"/>
            <w:vAlign w:val="bottom"/>
          </w:tcPr>
          <w:p>
            <w:pPr>
              <w:spacing w:after="0"/>
              <w:rPr>
                <w:sz w:val="1"/>
                <w:szCs w:val="1"/>
                <w:color w:val="auto"/>
              </w:rPr>
            </w:pPr>
          </w:p>
        </w:tc>
      </w:tr>
      <w:tr>
        <w:trPr>
          <w:trHeight w:val="207"/>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2,814</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155"/>
        </w:trPr>
        <w:tc>
          <w:tcPr>
            <w:tcW w:w="3620" w:type="dxa"/>
            <w:vAlign w:val="bottom"/>
          </w:tcPr>
          <w:p>
            <w:pPr>
              <w:ind w:left="220"/>
              <w:spacing w:after="0" w:line="156" w:lineRule="exact"/>
              <w:rPr>
                <w:sz w:val="20"/>
                <w:szCs w:val="20"/>
                <w:color w:val="auto"/>
              </w:rPr>
            </w:pPr>
            <w:r>
              <w:rPr>
                <w:rFonts w:ascii="Arial" w:cs="Arial" w:eastAsia="Arial" w:hAnsi="Arial"/>
                <w:sz w:val="15"/>
                <w:szCs w:val="15"/>
                <w:color w:val="auto"/>
              </w:rPr>
              <w:t>Fair value (gain) loss on common stock warrant</w:t>
            </w:r>
          </w:p>
        </w:tc>
        <w:tc>
          <w:tcPr>
            <w:tcW w:w="420" w:type="dxa"/>
            <w:vAlign w:val="bottom"/>
          </w:tcPr>
          <w:p>
            <w:pPr>
              <w:spacing w:after="0"/>
              <w:rPr>
                <w:sz w:val="13"/>
                <w:szCs w:val="13"/>
                <w:color w:val="auto"/>
              </w:rPr>
            </w:pPr>
          </w:p>
        </w:tc>
        <w:tc>
          <w:tcPr>
            <w:tcW w:w="150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auto"/>
              </w:rPr>
              <w:t>(610)</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00" w:type="dxa"/>
            <w:vAlign w:val="bottom"/>
            <w:gridSpan w:val="2"/>
          </w:tcPr>
          <w:p>
            <w:pPr>
              <w:jc w:val="right"/>
              <w:ind w:right="160"/>
              <w:spacing w:after="0" w:line="156"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3"/>
                <w:szCs w:val="13"/>
                <w:color w:val="auto"/>
              </w:rPr>
            </w:pPr>
          </w:p>
        </w:tc>
        <w:tc>
          <w:tcPr>
            <w:tcW w:w="1420" w:type="dxa"/>
            <w:vAlign w:val="bottom"/>
          </w:tcPr>
          <w:p>
            <w:pPr>
              <w:jc w:val="right"/>
              <w:spacing w:after="0" w:line="156" w:lineRule="exact"/>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3620" w:type="dxa"/>
            <w:vAlign w:val="bottom"/>
          </w:tcPr>
          <w:p>
            <w:pPr>
              <w:ind w:left="220"/>
              <w:spacing w:after="0"/>
              <w:rPr>
                <w:sz w:val="20"/>
                <w:szCs w:val="20"/>
                <w:color w:val="auto"/>
              </w:rPr>
            </w:pPr>
            <w:r>
              <w:rPr>
                <w:rFonts w:ascii="Arial" w:cs="Arial" w:eastAsia="Arial" w:hAnsi="Arial"/>
                <w:sz w:val="15"/>
                <w:szCs w:val="15"/>
                <w:color w:val="auto"/>
              </w:rPr>
              <w:t>liabilities</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33,574</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29,212</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64,564</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59,176</w:t>
            </w:r>
          </w:p>
        </w:tc>
        <w:tc>
          <w:tcPr>
            <w:tcW w:w="0" w:type="dxa"/>
            <w:vAlign w:val="bottom"/>
          </w:tcPr>
          <w:p>
            <w:pPr>
              <w:spacing w:after="0"/>
              <w:rPr>
                <w:sz w:val="1"/>
                <w:szCs w:val="1"/>
                <w:color w:val="auto"/>
              </w:rPr>
            </w:pPr>
          </w:p>
        </w:tc>
      </w:tr>
      <w:tr>
        <w:trPr>
          <w:trHeight w:val="205"/>
        </w:trPr>
        <w:tc>
          <w:tcPr>
            <w:tcW w:w="362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86,230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84,515</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168,050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158,537</w:t>
            </w:r>
          </w:p>
        </w:tc>
        <w:tc>
          <w:tcPr>
            <w:tcW w:w="0" w:type="dxa"/>
            <w:vAlign w:val="bottom"/>
          </w:tcPr>
          <w:p>
            <w:pPr>
              <w:spacing w:after="0"/>
              <w:rPr>
                <w:sz w:val="1"/>
                <w:szCs w:val="1"/>
                <w:color w:val="auto"/>
              </w:rPr>
            </w:pPr>
          </w:p>
        </w:tc>
      </w:tr>
      <w:tr>
        <w:trPr>
          <w:trHeight w:val="207"/>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55"/>
        </w:trPr>
        <w:tc>
          <w:tcPr>
            <w:tcW w:w="362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w:t>
            </w:r>
          </w:p>
        </w:tc>
        <w:tc>
          <w:tcPr>
            <w:tcW w:w="42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vMerge w:val="restart"/>
          </w:tcPr>
          <w:p>
            <w:pPr>
              <w:jc w:val="right"/>
              <w:ind w:right="3"/>
              <w:spacing w:after="0"/>
              <w:rPr>
                <w:sz w:val="20"/>
                <w:szCs w:val="20"/>
                <w:color w:val="auto"/>
              </w:rPr>
            </w:pPr>
            <w:r>
              <w:rPr>
                <w:rFonts w:ascii="Arial" w:cs="Arial" w:eastAsia="Arial" w:hAnsi="Arial"/>
                <w:sz w:val="15"/>
                <w:szCs w:val="15"/>
                <w:color w:val="auto"/>
              </w:rPr>
              <w:t>7,434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vMerge w:val="restart"/>
          </w:tcPr>
          <w:p>
            <w:pPr>
              <w:jc w:val="right"/>
              <w:ind w:right="3"/>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11,829</w:t>
            </w:r>
          </w:p>
        </w:tc>
        <w:tc>
          <w:tcPr>
            <w:tcW w:w="0" w:type="dxa"/>
            <w:vAlign w:val="bottom"/>
          </w:tcPr>
          <w:p>
            <w:pPr>
              <w:spacing w:after="0"/>
              <w:rPr>
                <w:sz w:val="1"/>
                <w:szCs w:val="1"/>
                <w:color w:val="auto"/>
              </w:rPr>
            </w:pPr>
          </w:p>
        </w:tc>
      </w:tr>
      <w:tr>
        <w:trPr>
          <w:trHeight w:val="205"/>
        </w:trPr>
        <w:tc>
          <w:tcPr>
            <w:tcW w:w="3620" w:type="dxa"/>
            <w:vAlign w:val="bottom"/>
          </w:tcPr>
          <w:p>
            <w:pPr>
              <w:ind w:left="220"/>
              <w:spacing w:after="0"/>
              <w:rPr>
                <w:sz w:val="20"/>
                <w:szCs w:val="20"/>
                <w:color w:val="auto"/>
              </w:rPr>
            </w:pPr>
            <w:r>
              <w:rPr>
                <w:rFonts w:ascii="Arial" w:cs="Arial" w:eastAsia="Arial" w:hAnsi="Arial"/>
                <w:sz w:val="15"/>
                <w:szCs w:val="15"/>
                <w:color w:val="auto"/>
              </w:rPr>
              <w:t>and other related charges</w:t>
            </w:r>
          </w:p>
        </w:tc>
        <w:tc>
          <w:tcPr>
            <w:tcW w:w="42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5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205"/>
        </w:trPr>
        <w:tc>
          <w:tcPr>
            <w:tcW w:w="362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5,203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7,622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jc w:val="right"/>
              <w:ind w:right="3"/>
              <w:spacing w:after="0"/>
              <w:rPr>
                <w:sz w:val="20"/>
                <w:szCs w:val="20"/>
                <w:color w:val="auto"/>
              </w:rPr>
            </w:pPr>
            <w:r>
              <w:rPr>
                <w:rFonts w:ascii="Arial" w:cs="Arial" w:eastAsia="Arial" w:hAnsi="Arial"/>
                <w:sz w:val="15"/>
                <w:szCs w:val="15"/>
                <w:color w:val="auto"/>
              </w:rPr>
              <w:t>9,291</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14,964</w:t>
            </w:r>
          </w:p>
        </w:tc>
        <w:tc>
          <w:tcPr>
            <w:tcW w:w="0" w:type="dxa"/>
            <w:vAlign w:val="bottom"/>
          </w:tcPr>
          <w:p>
            <w:pPr>
              <w:spacing w:after="0"/>
              <w:rPr>
                <w:sz w:val="1"/>
                <w:szCs w:val="1"/>
                <w:color w:val="auto"/>
              </w:rPr>
            </w:pPr>
          </w:p>
        </w:tc>
      </w:tr>
      <w:tr>
        <w:trPr>
          <w:trHeight w:val="207"/>
        </w:trPr>
        <w:tc>
          <w:tcPr>
            <w:tcW w:w="36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420" w:type="dxa"/>
            <w:vAlign w:val="bottom"/>
            <w:shd w:val="clear" w:color="auto" w:fill="DBDBDB"/>
          </w:tcPr>
          <w:p>
            <w:pPr>
              <w:spacing w:after="0"/>
              <w:rPr>
                <w:sz w:val="18"/>
                <w:szCs w:val="18"/>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9,292</w:t>
            </w:r>
          </w:p>
        </w:tc>
        <w:tc>
          <w:tcPr>
            <w:tcW w:w="10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4,707</w:t>
            </w:r>
          </w:p>
        </w:tc>
        <w:tc>
          <w:tcPr>
            <w:tcW w:w="8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15,687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8,221</w:t>
            </w:r>
          </w:p>
        </w:tc>
        <w:tc>
          <w:tcPr>
            <w:tcW w:w="0" w:type="dxa"/>
            <w:vAlign w:val="bottom"/>
          </w:tcPr>
          <w:p>
            <w:pPr>
              <w:spacing w:after="0"/>
              <w:rPr>
                <w:sz w:val="1"/>
                <w:szCs w:val="1"/>
                <w:color w:val="auto"/>
              </w:rPr>
            </w:pPr>
          </w:p>
        </w:tc>
      </w:tr>
      <w:tr>
        <w:trPr>
          <w:trHeight w:val="205"/>
        </w:trPr>
        <w:tc>
          <w:tcPr>
            <w:tcW w:w="362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1,149</w:t>
            </w:r>
          </w:p>
        </w:tc>
        <w:tc>
          <w:tcPr>
            <w:tcW w:w="10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569</w:t>
            </w:r>
          </w:p>
        </w:tc>
        <w:tc>
          <w:tcPr>
            <w:tcW w:w="80" w:type="dxa"/>
            <w:vAlign w:val="bottom"/>
            <w:tcBorders>
              <w:bottom w:val="single" w:sz="8" w:color="DBDBDB"/>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2,340</w:t>
            </w:r>
          </w:p>
        </w:tc>
        <w:tc>
          <w:tcPr>
            <w:tcW w:w="80" w:type="dxa"/>
            <w:vAlign w:val="bottom"/>
            <w:tcBorders>
              <w:bottom w:val="single" w:sz="8" w:color="DBDBDB"/>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25"/>
        </w:trPr>
        <w:tc>
          <w:tcPr>
            <w:tcW w:w="3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233,335</w:t>
            </w:r>
          </w:p>
        </w:tc>
        <w:tc>
          <w:tcPr>
            <w:tcW w:w="10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175,495</w:t>
            </w:r>
          </w:p>
        </w:tc>
        <w:tc>
          <w:tcPr>
            <w:tcW w:w="80" w:type="dxa"/>
            <w:vAlign w:val="bottom"/>
            <w:tcBorders>
              <w:bottom w:val="single" w:sz="8" w:color="DBDBDB"/>
            </w:tcBorders>
            <w:shd w:val="clear" w:color="auto" w:fill="DBDBDB"/>
          </w:tcPr>
          <w:p>
            <w:pPr>
              <w:spacing w:after="0"/>
              <w:rPr>
                <w:sz w:val="19"/>
                <w:szCs w:val="19"/>
                <w:color w:val="auto"/>
              </w:rPr>
            </w:pPr>
          </w:p>
        </w:tc>
        <w:tc>
          <w:tcPr>
            <w:tcW w:w="44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rPr>
              <w:t>$</w:t>
            </w:r>
          </w:p>
        </w:tc>
        <w:tc>
          <w:tcPr>
            <w:tcW w:w="14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425,158</w:t>
            </w:r>
          </w:p>
        </w:tc>
        <w:tc>
          <w:tcPr>
            <w:tcW w:w="80" w:type="dxa"/>
            <w:vAlign w:val="bottom"/>
            <w:tcBorders>
              <w:bottom w:val="single" w:sz="8" w:color="DBDBDB"/>
            </w:tcBorders>
            <w:shd w:val="clear" w:color="auto" w:fill="DBDBDB"/>
          </w:tcPr>
          <w:p>
            <w:pPr>
              <w:spacing w:after="0"/>
              <w:rPr>
                <w:sz w:val="19"/>
                <w:szCs w:val="19"/>
                <w:color w:val="auto"/>
              </w:rPr>
            </w:pPr>
          </w:p>
        </w:tc>
        <w:tc>
          <w:tcPr>
            <w:tcW w:w="4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339,080</w:t>
            </w:r>
          </w:p>
        </w:tc>
        <w:tc>
          <w:tcPr>
            <w:tcW w:w="0" w:type="dxa"/>
            <w:vAlign w:val="bottom"/>
          </w:tcPr>
          <w:p>
            <w:pPr>
              <w:spacing w:after="0"/>
              <w:rPr>
                <w:sz w:val="1"/>
                <w:szCs w:val="1"/>
                <w:color w:val="auto"/>
              </w:rPr>
            </w:pPr>
          </w:p>
        </w:tc>
      </w:tr>
      <w:tr>
        <w:trPr>
          <w:trHeight w:val="20"/>
        </w:trPr>
        <w:tc>
          <w:tcPr>
            <w:tcW w:w="362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DBDBDB"/>
              <w:bottom w:val="single" w:sz="8" w:color="auto"/>
            </w:tcBorders>
          </w:tcPr>
          <w:p>
            <w:pPr>
              <w:spacing w:after="0" w:line="20" w:lineRule="exact"/>
              <w:rPr>
                <w:sz w:val="1"/>
                <w:szCs w:val="1"/>
                <w:color w:val="auto"/>
              </w:rPr>
            </w:pPr>
          </w:p>
        </w:tc>
        <w:tc>
          <w:tcPr>
            <w:tcW w:w="14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Included in restructuring costs for the three and six months ended June 30, 2021 was expense of approximately $4.3 million and $5.8 million, respectively, recognized as a result of the modification of certain equity awards associated with the Transition, Separation and Release Agreement entered into on February 25, 2021 with the Company's former President and Chief Operating Officer.</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1D2758"/>
        </w:rPr>
        <w:t>NOTE 18 - Earnings Per Share</w:t>
      </w:r>
    </w:p>
    <w:p>
      <w:pPr>
        <w:spacing w:after="0" w:line="11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The following table reconciles the weighted average shares outstanding for the basic calculation to the weighted average shares outstanding for the diluted calculation: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2880" w:type="dxa"/>
            <w:vAlign w:val="bottom"/>
            <w:gridSpan w:val="5"/>
            <w:shd w:val="clear" w:color="auto" w:fill="1D2758"/>
          </w:tcPr>
          <w:p>
            <w:pPr>
              <w:ind w:left="460"/>
              <w:spacing w:after="0"/>
              <w:rPr>
                <w:sz w:val="20"/>
                <w:szCs w:val="20"/>
                <w:color w:val="auto"/>
              </w:rPr>
            </w:pPr>
            <w:r>
              <w:rPr>
                <w:rFonts w:ascii="Arial" w:cs="Arial" w:eastAsia="Arial" w:hAnsi="Arial"/>
                <w:sz w:val="15"/>
                <w:szCs w:val="15"/>
                <w:b w:val="1"/>
                <w:bCs w:val="1"/>
                <w:color w:val="FFFFFF"/>
              </w:rPr>
              <w:t>Three Months Ended</w:t>
            </w:r>
          </w:p>
        </w:tc>
        <w:tc>
          <w:tcPr>
            <w:tcW w:w="340" w:type="dxa"/>
            <w:vAlign w:val="bottom"/>
            <w:shd w:val="clear" w:color="auto" w:fill="1D2758"/>
          </w:tcPr>
          <w:p>
            <w:pPr>
              <w:spacing w:after="0"/>
              <w:rPr>
                <w:sz w:val="17"/>
                <w:szCs w:val="17"/>
                <w:color w:val="auto"/>
              </w:rPr>
            </w:pPr>
          </w:p>
        </w:tc>
        <w:tc>
          <w:tcPr>
            <w:tcW w:w="2780" w:type="dxa"/>
            <w:vAlign w:val="bottom"/>
            <w:gridSpan w:val="4"/>
            <w:shd w:val="clear" w:color="auto" w:fill="1D2758"/>
          </w:tcPr>
          <w:p>
            <w:pPr>
              <w:jc w:val="right"/>
              <w:ind w:right="823"/>
              <w:spacing w:after="0"/>
              <w:rPr>
                <w:sz w:val="20"/>
                <w:szCs w:val="20"/>
                <w:color w:val="auto"/>
              </w:rPr>
            </w:pPr>
            <w:r>
              <w:rPr>
                <w:rFonts w:ascii="Arial" w:cs="Arial" w:eastAsia="Arial" w:hAnsi="Arial"/>
                <w:sz w:val="15"/>
                <w:szCs w:val="15"/>
                <w:b w:val="1"/>
                <w:bCs w:val="1"/>
                <w:color w:val="FFFFFF"/>
              </w:rPr>
              <w:t>Six Months Ended</w:t>
            </w:r>
          </w:p>
        </w:tc>
      </w:tr>
      <w:tr>
        <w:trPr>
          <w:trHeight w:val="205"/>
        </w:trPr>
        <w:tc>
          <w:tcPr>
            <w:tcW w:w="4880" w:type="dxa"/>
            <w:vAlign w:val="bottom"/>
            <w:shd w:val="clear" w:color="auto" w:fill="1D2758"/>
          </w:tcPr>
          <w:p>
            <w:pPr>
              <w:spacing w:after="0"/>
              <w:rPr>
                <w:sz w:val="17"/>
                <w:szCs w:val="17"/>
                <w:color w:val="auto"/>
              </w:rPr>
            </w:pPr>
          </w:p>
        </w:tc>
        <w:tc>
          <w:tcPr>
            <w:tcW w:w="36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00" w:type="dxa"/>
            <w:vAlign w:val="bottom"/>
            <w:shd w:val="clear" w:color="auto" w:fill="1D2758"/>
          </w:tcPr>
          <w:p>
            <w:pPr>
              <w:spacing w:after="0"/>
              <w:rPr>
                <w:sz w:val="17"/>
                <w:szCs w:val="17"/>
                <w:color w:val="auto"/>
              </w:rPr>
            </w:pPr>
          </w:p>
        </w:tc>
        <w:tc>
          <w:tcPr>
            <w:tcW w:w="100" w:type="dxa"/>
            <w:vAlign w:val="bottom"/>
            <w:shd w:val="clear" w:color="auto" w:fill="1D2758"/>
          </w:tcPr>
          <w:p>
            <w:pPr>
              <w:spacing w:after="0"/>
              <w:rPr>
                <w:sz w:val="17"/>
                <w:szCs w:val="17"/>
                <w:color w:val="auto"/>
              </w:rPr>
            </w:pPr>
          </w:p>
        </w:tc>
        <w:tc>
          <w:tcPr>
            <w:tcW w:w="340" w:type="dxa"/>
            <w:vAlign w:val="bottom"/>
            <w:shd w:val="clear" w:color="auto" w:fill="1D2758"/>
          </w:tcPr>
          <w:p>
            <w:pPr>
              <w:spacing w:after="0"/>
              <w:rPr>
                <w:sz w:val="17"/>
                <w:szCs w:val="17"/>
                <w:color w:val="auto"/>
              </w:rPr>
            </w:pPr>
          </w:p>
        </w:tc>
        <w:tc>
          <w:tcPr>
            <w:tcW w:w="1680" w:type="dxa"/>
            <w:vAlign w:val="bottom"/>
            <w:gridSpan w:val="3"/>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June 30</w:t>
            </w:r>
          </w:p>
        </w:tc>
        <w:tc>
          <w:tcPr>
            <w:tcW w:w="1100" w:type="dxa"/>
            <w:vAlign w:val="bottom"/>
            <w:shd w:val="clear" w:color="auto" w:fill="1D2758"/>
          </w:tcPr>
          <w:p>
            <w:pPr>
              <w:spacing w:after="0"/>
              <w:rPr>
                <w:sz w:val="17"/>
                <w:szCs w:val="17"/>
                <w:color w:val="auto"/>
              </w:rPr>
            </w:pPr>
          </w:p>
        </w:tc>
      </w:tr>
      <w:tr>
        <w:trPr>
          <w:trHeight w:val="208"/>
        </w:trPr>
        <w:tc>
          <w:tcPr>
            <w:tcW w:w="48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6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2021</w:t>
            </w:r>
          </w:p>
        </w:tc>
        <w:tc>
          <w:tcPr>
            <w:tcW w:w="10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52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42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Numerator:</w:t>
            </w:r>
          </w:p>
        </w:tc>
        <w:tc>
          <w:tcPr>
            <w:tcW w:w="3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r>
      <w:tr>
        <w:trPr>
          <w:trHeight w:val="205"/>
        </w:trPr>
        <w:tc>
          <w:tcPr>
            <w:tcW w:w="4880" w:type="dxa"/>
            <w:vAlign w:val="bottom"/>
          </w:tcPr>
          <w:p>
            <w:pPr>
              <w:ind w:left="20"/>
              <w:spacing w:after="0"/>
              <w:rPr>
                <w:sz w:val="20"/>
                <w:szCs w:val="20"/>
                <w:color w:val="auto"/>
              </w:rPr>
            </w:pPr>
            <w:r>
              <w:rPr>
                <w:rFonts w:ascii="Arial" w:cs="Arial" w:eastAsia="Arial" w:hAnsi="Arial"/>
                <w:sz w:val="15"/>
                <w:szCs w:val="15"/>
                <w:color w:val="auto"/>
              </w:rPr>
              <w:t>Net income - basic</w:t>
            </w:r>
          </w:p>
        </w:tc>
        <w:tc>
          <w:tcPr>
            <w:tcW w:w="36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73,376</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20,371</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124,547</w:t>
            </w:r>
          </w:p>
        </w:tc>
        <w:tc>
          <w:tcPr>
            <w:tcW w:w="8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24,818</w:t>
            </w:r>
          </w:p>
        </w:tc>
      </w:tr>
      <w:tr>
        <w:trPr>
          <w:trHeight w:val="206"/>
        </w:trPr>
        <w:tc>
          <w:tcPr>
            <w:tcW w:w="48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Fair value gain on common stock warrant liabilities</w:t>
            </w:r>
          </w:p>
        </w:tc>
        <w:tc>
          <w:tcPr>
            <w:tcW w:w="360" w:type="dxa"/>
            <w:vAlign w:val="bottom"/>
            <w:shd w:val="clear" w:color="auto" w:fill="DBDBDB"/>
          </w:tcPr>
          <w:p>
            <w:pPr>
              <w:spacing w:after="0"/>
              <w:rPr>
                <w:sz w:val="17"/>
                <w:szCs w:val="17"/>
                <w:color w:val="auto"/>
              </w:rPr>
            </w:pPr>
          </w:p>
        </w:tc>
        <w:tc>
          <w:tcPr>
            <w:tcW w:w="12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2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DBDBDB"/>
          </w:tcPr>
          <w:p>
            <w:pPr>
              <w:spacing w:after="0"/>
              <w:rPr>
                <w:sz w:val="17"/>
                <w:szCs w:val="17"/>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r>
      <w:tr>
        <w:trPr>
          <w:trHeight w:val="200"/>
        </w:trPr>
        <w:tc>
          <w:tcPr>
            <w:tcW w:w="4880" w:type="dxa"/>
            <w:vAlign w:val="bottom"/>
          </w:tcPr>
          <w:p>
            <w:pPr>
              <w:ind w:left="20"/>
              <w:spacing w:after="0"/>
              <w:rPr>
                <w:sz w:val="20"/>
                <w:szCs w:val="20"/>
                <w:color w:val="auto"/>
              </w:rPr>
            </w:pPr>
            <w:r>
              <w:rPr>
                <w:rFonts w:ascii="Arial" w:cs="Arial" w:eastAsia="Arial" w:hAnsi="Arial"/>
                <w:sz w:val="15"/>
                <w:szCs w:val="15"/>
                <w:color w:val="auto"/>
              </w:rPr>
              <w:t>Net income - dilutive</w:t>
            </w:r>
          </w:p>
        </w:tc>
        <w:tc>
          <w:tcPr>
            <w:tcW w:w="36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73,376</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19,761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rPr>
              <w:t>124,547</w:t>
            </w: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24,818</w:t>
            </w:r>
          </w:p>
        </w:tc>
      </w:tr>
      <w:tr>
        <w:trPr>
          <w:trHeight w:val="20"/>
        </w:trPr>
        <w:tc>
          <w:tcPr>
            <w:tcW w:w="488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488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05"/>
        </w:trPr>
        <w:tc>
          <w:tcPr>
            <w:tcW w:w="488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880" w:type="dxa"/>
            <w:vAlign w:val="bottom"/>
            <w:shd w:val="clear" w:color="auto" w:fill="DBDBDB"/>
          </w:tcPr>
          <w:p>
            <w:pPr>
              <w:ind w:left="20"/>
              <w:spacing w:after="0"/>
              <w:rPr>
                <w:sz w:val="20"/>
                <w:szCs w:val="20"/>
                <w:color w:val="auto"/>
              </w:rPr>
            </w:pPr>
            <w:r>
              <w:rPr>
                <w:rFonts w:ascii="Arial" w:cs="Arial" w:eastAsia="Arial" w:hAnsi="Arial"/>
                <w:sz w:val="15"/>
                <w:szCs w:val="15"/>
                <w:color w:val="auto"/>
              </w:rPr>
              <w:t>Weighted average Common Shares outstanding - basic</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223,376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228,407</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222,197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228,350</w:t>
            </w:r>
          </w:p>
        </w:tc>
      </w:tr>
      <w:tr>
        <w:trPr>
          <w:trHeight w:val="205"/>
        </w:trPr>
        <w:tc>
          <w:tcPr>
            <w:tcW w:w="4880" w:type="dxa"/>
            <w:vAlign w:val="bottom"/>
          </w:tcPr>
          <w:p>
            <w:pPr>
              <w:ind w:left="220"/>
              <w:spacing w:after="0"/>
              <w:rPr>
                <w:sz w:val="20"/>
                <w:szCs w:val="20"/>
                <w:color w:val="auto"/>
              </w:rPr>
            </w:pPr>
            <w:r>
              <w:rPr>
                <w:rFonts w:ascii="Arial" w:cs="Arial" w:eastAsia="Arial" w:hAnsi="Arial"/>
                <w:sz w:val="15"/>
                <w:szCs w:val="15"/>
                <w:color w:val="auto"/>
              </w:rPr>
              <w:t>Dilutive effect of shares outstanding</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48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Warrants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1,746</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5,705</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1,818</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4,000</w:t>
            </w:r>
          </w:p>
        </w:tc>
      </w:tr>
      <w:tr>
        <w:trPr>
          <w:trHeight w:val="205"/>
        </w:trPr>
        <w:tc>
          <w:tcPr>
            <w:tcW w:w="4880" w:type="dxa"/>
            <w:vAlign w:val="bottom"/>
          </w:tcPr>
          <w:p>
            <w:pPr>
              <w:ind w:left="320"/>
              <w:spacing w:after="0"/>
              <w:rPr>
                <w:sz w:val="20"/>
                <w:szCs w:val="20"/>
                <w:color w:val="auto"/>
              </w:rPr>
            </w:pPr>
            <w:r>
              <w:rPr>
                <w:rFonts w:ascii="Arial" w:cs="Arial" w:eastAsia="Arial" w:hAnsi="Arial"/>
                <w:sz w:val="15"/>
                <w:szCs w:val="15"/>
                <w:color w:val="auto"/>
              </w:rPr>
              <w:t>RSAs</w:t>
            </w:r>
          </w:p>
        </w:tc>
        <w:tc>
          <w:tcPr>
            <w:tcW w:w="3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07"/>
        </w:trPr>
        <w:tc>
          <w:tcPr>
            <w:tcW w:w="48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Time-based RSUs</w:t>
            </w:r>
          </w:p>
        </w:tc>
        <w:tc>
          <w:tcPr>
            <w:tcW w:w="36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307</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395</w:t>
            </w: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622</w:t>
            </w:r>
          </w:p>
        </w:tc>
      </w:tr>
      <w:tr>
        <w:trPr>
          <w:trHeight w:val="205"/>
        </w:trPr>
        <w:tc>
          <w:tcPr>
            <w:tcW w:w="4880" w:type="dxa"/>
            <w:vAlign w:val="bottom"/>
          </w:tcPr>
          <w:p>
            <w:pPr>
              <w:ind w:left="320"/>
              <w:spacing w:after="0"/>
              <w:rPr>
                <w:sz w:val="20"/>
                <w:szCs w:val="20"/>
                <w:color w:val="auto"/>
              </w:rPr>
            </w:pPr>
            <w:r>
              <w:rPr>
                <w:rFonts w:ascii="Arial" w:cs="Arial" w:eastAsia="Arial" w:hAnsi="Arial"/>
                <w:sz w:val="15"/>
                <w:szCs w:val="15"/>
                <w:color w:val="auto"/>
              </w:rPr>
              <w:t>Performance-based RSUs</w:t>
            </w:r>
          </w:p>
        </w:tc>
        <w:tc>
          <w:tcPr>
            <w:tcW w:w="3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952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5"/>
                <w:szCs w:val="15"/>
                <w:color w:val="auto"/>
              </w:rPr>
              <w:t>1,385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817</w:t>
            </w:r>
          </w:p>
        </w:tc>
      </w:tr>
      <w:tr>
        <w:trPr>
          <w:trHeight w:val="206"/>
        </w:trPr>
        <w:tc>
          <w:tcPr>
            <w:tcW w:w="4880" w:type="dxa"/>
            <w:vAlign w:val="bottom"/>
            <w:shd w:val="clear" w:color="auto" w:fill="DBDBDB"/>
          </w:tcPr>
          <w:p>
            <w:pPr>
              <w:ind w:left="320"/>
              <w:spacing w:after="0"/>
              <w:rPr>
                <w:sz w:val="20"/>
                <w:szCs w:val="20"/>
                <w:color w:val="auto"/>
              </w:rPr>
            </w:pPr>
            <w:r>
              <w:rPr>
                <w:rFonts w:ascii="Arial" w:cs="Arial" w:eastAsia="Arial" w:hAnsi="Arial"/>
                <w:sz w:val="15"/>
                <w:szCs w:val="15"/>
                <w:color w:val="auto"/>
              </w:rPr>
              <w:t>Stock Options</w:t>
            </w:r>
          </w:p>
        </w:tc>
        <w:tc>
          <w:tcPr>
            <w:tcW w:w="36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1,085</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1,081</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1,166</w:t>
            </w:r>
          </w:p>
        </w:tc>
        <w:tc>
          <w:tcPr>
            <w:tcW w:w="80" w:type="dxa"/>
            <w:vAlign w:val="bottom"/>
            <w:shd w:val="clear" w:color="auto" w:fill="DBDBDB"/>
          </w:tcPr>
          <w:p>
            <w:pPr>
              <w:spacing w:after="0"/>
              <w:rPr>
                <w:sz w:val="17"/>
                <w:szCs w:val="17"/>
                <w:color w:val="auto"/>
              </w:rPr>
            </w:pPr>
          </w:p>
        </w:tc>
        <w:tc>
          <w:tcPr>
            <w:tcW w:w="420" w:type="dxa"/>
            <w:vAlign w:val="bottom"/>
            <w:tcBorders>
              <w:bottom w:val="single" w:sz="8" w:color="auto"/>
            </w:tcBorders>
            <w:shd w:val="clear" w:color="auto" w:fill="DBDBDB"/>
          </w:tcPr>
          <w:p>
            <w:pPr>
              <w:spacing w:after="0"/>
              <w:rPr>
                <w:sz w:val="17"/>
                <w:szCs w:val="17"/>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1,074</w:t>
            </w:r>
          </w:p>
        </w:tc>
      </w:tr>
      <w:tr>
        <w:trPr>
          <w:trHeight w:val="200"/>
        </w:trPr>
        <w:tc>
          <w:tcPr>
            <w:tcW w:w="4880" w:type="dxa"/>
            <w:vAlign w:val="bottom"/>
          </w:tcPr>
          <w:p>
            <w:pPr>
              <w:ind w:left="20"/>
              <w:spacing w:after="0"/>
              <w:rPr>
                <w:sz w:val="20"/>
                <w:szCs w:val="20"/>
                <w:color w:val="auto"/>
              </w:rPr>
            </w:pPr>
            <w:r>
              <w:rPr>
                <w:rFonts w:ascii="Arial" w:cs="Arial" w:eastAsia="Arial" w:hAnsi="Arial"/>
                <w:sz w:val="15"/>
                <w:szCs w:val="15"/>
                <w:color w:val="auto"/>
              </w:rPr>
              <w:t>Weighted average Common Shares outstanding - dilutive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227,484</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236,537</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226,983</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234,899</w:t>
            </w: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26" w:name="page27"/>
    <w:bookmarkEnd w:id="26"/>
    <w:p>
      <w:pPr>
        <w:jc w:val="both"/>
        <w:ind w:firstLine="619"/>
        <w:spacing w:after="0" w:line="291" w:lineRule="auto"/>
        <w:rPr>
          <w:sz w:val="20"/>
          <w:szCs w:val="20"/>
          <w:color w:val="auto"/>
        </w:rPr>
      </w:pPr>
      <w:r>
        <w:rPr>
          <w:rFonts w:ascii="Arial" w:cs="Arial" w:eastAsia="Arial" w:hAnsi="Arial"/>
          <w:sz w:val="15"/>
          <w:szCs w:val="15"/>
          <w:color w:val="auto"/>
        </w:rPr>
        <w:t>For the three and six months ended June 30, 2022, 1,252,968 and 904,379 shares of Performance-Based RSUs, respectively, were excluded from the computation of diluted EPS because their effect would have been anti-dilutive. For the three and six months ended June 30, 2021, no warrants, shares or options were excluded from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7" w:name="page28"/>
    <w:bookmarkEnd w:id="27"/>
    <w:p>
      <w:pPr>
        <w:ind w:left="1740" w:right="12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2.</w:t>
        <w:tab/>
        <w:t>Management’s Discussion and Analysis of Financial Condition and Results of Operations</w:t>
      </w:r>
    </w:p>
    <w:p>
      <w:pPr>
        <w:jc w:val="both"/>
        <w:ind w:firstLine="619"/>
        <w:spacing w:after="0" w:line="277" w:lineRule="auto"/>
        <w:rPr>
          <w:sz w:val="20"/>
          <w:szCs w:val="20"/>
          <w:color w:val="auto"/>
        </w:rPr>
      </w:pPr>
      <w:r>
        <w:rPr>
          <w:rFonts w:ascii="Arial" w:cs="Arial" w:eastAsia="Arial" w:hAnsi="Arial"/>
          <w:sz w:val="15"/>
          <w:szCs w:val="15"/>
          <w:color w:val="auto"/>
        </w:rPr>
        <w:t>The following Management’s Discussion and Analysis of Financial Condition and Results of Operations (“MD&amp;A”) is intended to help the reader understand WillScot Mobile Mini Holdings Corp. ("WillScot Mobile Mini"), our operations and our present business environment. MD&amp;A is provided as a supplement to, and should be read in conjunction with, our financial statements and the accompanying notes thereto, contained in Part I, Item 1 of this report. The discussion of results of operations in this MD&amp;A is presented on a historical basis, as of or for the three and six months ended June 30, 2022 or prior periods.</w:t>
      </w:r>
    </w:p>
    <w:p>
      <w:pPr>
        <w:spacing w:after="0" w:line="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The consolidated financial statements were prepared in conformity with accounting principles generally accepted in the US (“GAAP”). We use certain non-GAAP financial metrics to supplement the GAAP reported results to highlight key operational metrics that are used by management to evaluate Company performance. Reconciliations of GAAP financial information to the disclosed non-GAAP measures are provided in the Reconciliation of Non-GAAP Financial Measures section.</w:t>
      </w: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1D2758"/>
        </w:rPr>
        <w:t>Executive Summary and Outlook</w:t>
      </w:r>
    </w:p>
    <w:p>
      <w:pPr>
        <w:spacing w:after="0" w:line="1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We are a leading business services provider specializing in innovative flexible work space and portable storage solutions. We service diverse end markets across all sectors of the economy throughout the United States ("US"), Canada, Mexico and the United Kingdom ("UK"). We are also a leading provider of specialty containment solutions in the US with approximately 13,500 tank and pump units in our fleet. As of June 30, 2022, our branch network included approximately 280 branch locations and additional drop lots to service over 85,000 customers. We offer our customers an extensive selection of “Ready to Work” modular space and portable storage solutions with over 164,000 modular space units and over 218,000 portable storage units in our fleet.</w:t>
      </w:r>
    </w:p>
    <w:p>
      <w:pPr>
        <w:spacing w:after="0" w:line="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primarily lease, rather than sell, our modular and portable storage units to customers, which results in a highly diversified and predictable recurring revenue stream. Over 90% of new lease orders are on our standard lease agreement, pre-negotiated master lease or national account agreements. The initial lease periods vary, and our leases are customarily renewable on a month-to-month basis after their initial term. Our lease revenue is highly predictable due to its recurring nature and the underlying stability and diversification of our lease portfolio. Furthermore, given that our customers value flexibility, they consistently extend their leases or renew on a month-to-month basis such that the average effective duration of our modular space and portable storage lease portfolio, excluding seasonal portable storage units, is approximately 30 months. We complement our core leasing business by selling both new and used units, allowing us to leverage scale, achieve purchasing benefits and redeploy capital employed in our lease fleet.</w:t>
      </w:r>
    </w:p>
    <w:p>
      <w:pPr>
        <w:spacing w:after="0" w:line="10"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customers operate in a diversified set of end markets, including construction, commercial and industrial, retail and wholesale trade, energy and natural resources, education, government and institutions, and healthcare. Core to our operating model is the ability to redeploy standardized assets across end markets, as we did in 2020 and 2021 to service emerging demand in the healthcare and government sectors related to COVID-19, as well as expanded space requirements related to social distancing. We track several market leading indicators to predict demand, including those related to our two largest end markets, the commercial and industrial segment and the construction segment, which collectively accounted for approximately 47% and 40% of our revenues, respectively, for the three months ended June 30, 2022.</w:t>
      </w:r>
    </w:p>
    <w:p>
      <w:pPr>
        <w:spacing w:after="0" w:line="9"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remain focused on our core priorities of growing leasing revenues by increasing units on rent, both organically and through our consolidation strategy, delivering “Ready to Work” solutions to our customers with value added products and services ("VAPS"), and on continually improving the overall customer experience.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Significant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Amendment to the ABL Facility</w:t>
      </w:r>
    </w:p>
    <w:p>
      <w:pPr>
        <w:spacing w:after="0" w:line="111" w:lineRule="exact"/>
        <w:rPr>
          <w:sz w:val="20"/>
          <w:szCs w:val="20"/>
          <w:color w:val="auto"/>
        </w:rPr>
      </w:pPr>
    </w:p>
    <w:p>
      <w:pPr>
        <w:jc w:val="both"/>
        <w:ind w:firstLine="619"/>
        <w:spacing w:after="0" w:line="268" w:lineRule="auto"/>
        <w:rPr>
          <w:sz w:val="20"/>
          <w:szCs w:val="20"/>
          <w:color w:val="auto"/>
        </w:rPr>
      </w:pPr>
      <w:r>
        <w:rPr>
          <w:rFonts w:ascii="Arial" w:cs="Arial" w:eastAsia="Arial" w:hAnsi="Arial"/>
          <w:sz w:val="15"/>
          <w:szCs w:val="15"/>
          <w:color w:val="auto"/>
        </w:rPr>
        <w:t>On June 30, 2022, the Company amended its ABL Facility to, among other things, extend the expiration date until June 30, 2027 and increase the aggregate principal amount of revolving credit facilities from $2.4 billion to $3.7 billion. The amendment also converted the interest rate for borrowings denominated in US dollars from a LIBOR-based rate to a Term SOFR-based rate with an interest period of one month and adjusted the applicable margins. The applicable margin for Canadian BA rate, Term SOFR, British Pounds Sterling and Euros loans decreased to 1.50%. The applicable margin for base rate and Canadian Prime Rate loans decreased to 0.50%. The applicable margins are subject to one step down of 0.25% based on excess availability or one step up of 0.25% based on the Company's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28" w:name="page29"/>
    <w:bookmarkEnd w:id="28"/>
    <w:p>
      <w:pPr>
        <w:spacing w:after="0"/>
        <w:rPr>
          <w:sz w:val="20"/>
          <w:szCs w:val="20"/>
          <w:color w:val="auto"/>
        </w:rPr>
      </w:pPr>
      <w:r>
        <w:rPr>
          <w:rFonts w:ascii="Arial" w:cs="Arial" w:eastAsia="Arial" w:hAnsi="Arial"/>
          <w:sz w:val="15"/>
          <w:szCs w:val="15"/>
          <w:b w:val="1"/>
          <w:bCs w:val="1"/>
          <w:i w:val="1"/>
          <w:iCs w:val="1"/>
          <w:color w:val="1D2758"/>
        </w:rPr>
        <w:t>Asset Acquisitions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During the second quarter of 2022, the Company acquired certain assets and liabilities of several entities, which consisted primarily of approximately 4,100 storage units and 1,000 modular units for $46.4 million in cash, net of cash acquired. When combined with other recent acquisitions over the past four quarters, we have acquired assets and liabilities from 12 regional and local storage and modular companies, consisting primarily of 22,300 storage units and 4,700 modular units.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Share and Warrant Repurchases</w:t>
      </w:r>
    </w:p>
    <w:p>
      <w:pPr>
        <w:spacing w:after="0" w:line="11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During the six months ended June 30, 2022, we repurchased and cancelled 33,965 of the 2018 Warrants for $0.6 million. In addition, for the six months ended June 30, 2022, 1,037,379 of the 2018 Warrants were exercised on a cashless basis, resulting in the issuance of 631,863 shares of common stock. At June 30, 2022, 3,006,829 of the 2018 Warrants were outstanding.</w:t>
      </w:r>
    </w:p>
    <w:p>
      <w:pPr>
        <w:jc w:val="both"/>
        <w:ind w:firstLine="619"/>
        <w:spacing w:after="0" w:line="271" w:lineRule="auto"/>
        <w:rPr>
          <w:sz w:val="20"/>
          <w:szCs w:val="20"/>
          <w:color w:val="auto"/>
        </w:rPr>
      </w:pPr>
      <w:r>
        <w:rPr>
          <w:rFonts w:ascii="Arial" w:cs="Arial" w:eastAsia="Arial" w:hAnsi="Arial"/>
          <w:sz w:val="15"/>
          <w:szCs w:val="15"/>
          <w:color w:val="auto"/>
        </w:rPr>
        <w:t>During the six months ended June 30, 2022, we repurchased a total of 9,304,626 shares of Common Stock and stock equivalents for $326.9 million, including the repurchased warrants. As of June 30, 2022, we had $629.8 million remaining of a $1 billion share repurchase authorization under our stock repurchase program. In July 2022, the Company's Board of Directors approved an increase to the share repurchase program that authorizes the Company to repurchase up to $1.0 billion of its outstanding shares of Common Stock and equivalents. Given our growth strategy and the predictability of our free cash flow, we believe that repurchases will be a reoccurring capital allocation priority.</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Second Quarter Highlights</w:t>
      </w:r>
    </w:p>
    <w:p>
      <w:pPr>
        <w:spacing w:after="0" w:line="121"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For the three months ended June 30, 2022, as compared to the three months ended June 30, 2021 unless otherwise noted, key drivers of our financial performance included:</w:t>
      </w:r>
    </w:p>
    <w:p>
      <w:pPr>
        <w:spacing w:after="0" w:line="54" w:lineRule="exact"/>
        <w:rPr>
          <w:sz w:val="20"/>
          <w:szCs w:val="20"/>
          <w:color w:val="auto"/>
        </w:rPr>
      </w:pPr>
    </w:p>
    <w:p>
      <w:pPr>
        <w:jc w:val="both"/>
        <w:ind w:left="620" w:hanging="307"/>
        <w:spacing w:after="0" w:line="271" w:lineRule="auto"/>
        <w:tabs>
          <w:tab w:leader="none" w:pos="609" w:val="left"/>
        </w:tabs>
        <w:numPr>
          <w:ilvl w:val="0"/>
          <w:numId w:val="7"/>
        </w:numPr>
        <w:rPr>
          <w:rFonts w:ascii="Arial" w:cs="Arial" w:eastAsia="Arial" w:hAnsi="Arial"/>
          <w:sz w:val="15"/>
          <w:szCs w:val="15"/>
          <w:b w:val="1"/>
          <w:bCs w:val="1"/>
          <w:i w:val="1"/>
          <w:iCs w:val="1"/>
          <w:color w:val="auto"/>
        </w:rPr>
      </w:pPr>
      <w:r>
        <w:rPr>
          <w:rFonts w:ascii="Arial" w:cs="Arial" w:eastAsia="Arial" w:hAnsi="Arial"/>
          <w:sz w:val="15"/>
          <w:szCs w:val="15"/>
          <w:color w:val="auto"/>
        </w:rPr>
        <w:t>Total revenues increased by $120.5 million, or 26.1%, attributable to organic revenue growth levers in the business and due to the impact of acquisitions. Leasing revenue increased $85.4 million, or 24.9%, and delivery and installation revenue increased $33.7 million, or 36.8%. Additionally, rental unit sales increased $1.3 million, or 8.6%, and new unit sales revenue increased $0.1 million, or 0.9%. We estimate that recent acquisitions completed over the past four quarters contributed approximately $19.0 million to total revenues for the three months ended June 30, 2022.</w:t>
      </w:r>
    </w:p>
    <w:p>
      <w:pPr>
        <w:spacing w:after="0" w:line="58" w:lineRule="exact"/>
        <w:rPr>
          <w:rFonts w:ascii="Arial" w:cs="Arial" w:eastAsia="Arial" w:hAnsi="Arial"/>
          <w:sz w:val="15"/>
          <w:szCs w:val="15"/>
          <w:b w:val="1"/>
          <w:bCs w:val="1"/>
          <w:i w:val="1"/>
          <w:iCs w:val="1"/>
          <w:color w:val="auto"/>
        </w:rPr>
      </w:pPr>
    </w:p>
    <w:p>
      <w:pPr>
        <w:ind w:left="620"/>
        <w:spacing w:after="0"/>
        <w:rPr>
          <w:rFonts w:ascii="Arial" w:cs="Arial" w:eastAsia="Arial" w:hAnsi="Arial"/>
          <w:sz w:val="15"/>
          <w:szCs w:val="15"/>
          <w:b w:val="1"/>
          <w:bCs w:val="1"/>
          <w:i w:val="1"/>
          <w:iCs w:val="1"/>
          <w:color w:val="auto"/>
        </w:rPr>
      </w:pPr>
      <w:r>
        <w:rPr>
          <w:rFonts w:ascii="Arial" w:cs="Arial" w:eastAsia="Arial" w:hAnsi="Arial"/>
          <w:sz w:val="15"/>
          <w:szCs w:val="15"/>
          <w:color w:val="auto"/>
        </w:rPr>
        <w:t>Key leasing revenue drivers include:</w:t>
      </w:r>
    </w:p>
    <w:p>
      <w:pPr>
        <w:spacing w:after="0" w:line="124" w:lineRule="exact"/>
        <w:rPr>
          <w:rFonts w:ascii="Arial" w:cs="Arial" w:eastAsia="Arial" w:hAnsi="Arial"/>
          <w:sz w:val="15"/>
          <w:szCs w:val="15"/>
          <w:b w:val="1"/>
          <w:bCs w:val="1"/>
          <w:i w:val="1"/>
          <w:iCs w:val="1"/>
          <w:color w:val="auto"/>
        </w:rPr>
      </w:pPr>
    </w:p>
    <w:p>
      <w:pPr>
        <w:ind w:left="1240" w:hanging="309"/>
        <w:spacing w:after="0" w:line="271"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units on rent increased 32,056 units, or 21.1%, and average modular space units on rent increased 2,534 units, or 2.3%, across all segments. Approximately 35% of the increase in total average units on rent was driven by increases in organic delivery activity and lower return activity during 2021 and into the first half of 2022 as economic activity rebounded versus 2020 and the other 65% was driven by units on rent added through recent acquisitions.</w:t>
      </w:r>
    </w:p>
    <w:p>
      <w:pPr>
        <w:spacing w:after="0" w:line="58" w:lineRule="exact"/>
        <w:rPr>
          <w:rFonts w:ascii="Arial" w:cs="Arial" w:eastAsia="Arial" w:hAnsi="Arial"/>
          <w:sz w:val="15"/>
          <w:szCs w:val="15"/>
          <w:b w:val="1"/>
          <w:bCs w:val="1"/>
          <w:i w:val="1"/>
          <w:iCs w:val="1"/>
          <w:color w:val="auto"/>
        </w:rPr>
      </w:pPr>
    </w:p>
    <w:p>
      <w:pPr>
        <w:ind w:left="1240" w:hanging="309"/>
        <w:spacing w:after="0" w:line="277"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modular space monthly rental rate increased $117, or 15.9%, to $853 driven by strong pricing performance across NA Modular and NA Storage segments. Average modular space monthly rental rates increased by $130, or 16.2%, in the NA Modular segment and by $110, or 19.2%, in the NA Storage segment. Average modular space monthly rental rates decreased by $29, or 6.6%, in the UK Storage segment due to the weakening of the British Pound and were up £12 or 3.8% in local currency.</w:t>
      </w:r>
    </w:p>
    <w:p>
      <w:pPr>
        <w:spacing w:after="0" w:line="54" w:lineRule="exact"/>
        <w:rPr>
          <w:rFonts w:ascii="Arial" w:cs="Arial" w:eastAsia="Arial" w:hAnsi="Arial"/>
          <w:sz w:val="15"/>
          <w:szCs w:val="15"/>
          <w:b w:val="1"/>
          <w:bCs w:val="1"/>
          <w:i w:val="1"/>
          <w:iCs w:val="1"/>
          <w:color w:val="auto"/>
        </w:rPr>
      </w:pPr>
    </w:p>
    <w:p>
      <w:pPr>
        <w:ind w:left="1240" w:hanging="309"/>
        <w:spacing w:after="0" w:line="294"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portable storage monthly rental rate increased $33, or 23.7%, to $172 driven by increased pricing as a result of our price management tools and processes, further supported by tight supply of portable storage containers in the markets in which we operate.</w:t>
      </w:r>
    </w:p>
    <w:p>
      <w:pPr>
        <w:spacing w:after="0" w:line="54" w:lineRule="exact"/>
        <w:rPr>
          <w:rFonts w:ascii="Arial" w:cs="Arial" w:eastAsia="Arial" w:hAnsi="Arial"/>
          <w:sz w:val="15"/>
          <w:szCs w:val="15"/>
          <w:b w:val="1"/>
          <w:bCs w:val="1"/>
          <w:i w:val="1"/>
          <w:iCs w:val="1"/>
          <w:color w:val="auto"/>
        </w:rPr>
      </w:pPr>
    </w:p>
    <w:p>
      <w:pPr>
        <w:ind w:left="1240" w:hanging="309"/>
        <w:spacing w:after="0" w:line="294" w:lineRule="auto"/>
        <w:rPr>
          <w:rFonts w:ascii="Arial" w:cs="Arial" w:eastAsia="Arial" w:hAnsi="Arial"/>
          <w:sz w:val="15"/>
          <w:szCs w:val="15"/>
          <w:b w:val="1"/>
          <w:bCs w:val="1"/>
          <w:i w:val="1"/>
          <w:iCs w:val="1"/>
          <w:color w:val="auto"/>
        </w:rPr>
      </w:pPr>
      <w:r>
        <w:rPr>
          <w:rFonts w:ascii="Arial" w:cs="Arial" w:eastAsia="Arial" w:hAnsi="Arial"/>
          <w:sz w:val="15"/>
          <w:szCs w:val="15"/>
          <w:color w:val="auto"/>
        </w:rPr>
        <w:t>– Average utilization for portable storage units increased to 86.0% from 77.7% for the same period in 2021 driven by increased demand in 2022 as compared to the same period in 2021. Average utilization for modular space units decreased 150 basis points ("bps") to 68.8%.</w:t>
      </w:r>
    </w:p>
    <w:p>
      <w:pPr>
        <w:spacing w:after="0" w:line="54" w:lineRule="exact"/>
        <w:rPr>
          <w:rFonts w:ascii="Arial" w:cs="Arial" w:eastAsia="Arial" w:hAnsi="Arial"/>
          <w:sz w:val="15"/>
          <w:szCs w:val="15"/>
          <w:b w:val="1"/>
          <w:bCs w:val="1"/>
          <w:i w:val="1"/>
          <w:iCs w:val="1"/>
          <w:color w:val="auto"/>
        </w:rPr>
      </w:pPr>
    </w:p>
    <w:p>
      <w:pPr>
        <w:jc w:val="both"/>
        <w:ind w:left="620" w:hanging="307"/>
        <w:spacing w:after="0" w:line="266" w:lineRule="auto"/>
        <w:tabs>
          <w:tab w:leader="none" w:pos="609" w:val="left"/>
        </w:tabs>
        <w:numPr>
          <w:ilvl w:val="0"/>
          <w:numId w:val="7"/>
        </w:numPr>
        <w:rPr>
          <w:rFonts w:ascii="Arial" w:cs="Arial" w:eastAsia="Arial" w:hAnsi="Arial"/>
          <w:sz w:val="15"/>
          <w:szCs w:val="15"/>
          <w:b w:val="1"/>
          <w:bCs w:val="1"/>
          <w:i w:val="1"/>
          <w:iCs w:val="1"/>
          <w:color w:val="1D2758"/>
        </w:rPr>
      </w:pPr>
      <w:r>
        <w:rPr>
          <w:rFonts w:ascii="Arial" w:cs="Arial" w:eastAsia="Arial" w:hAnsi="Arial"/>
          <w:sz w:val="15"/>
          <w:szCs w:val="15"/>
          <w:color w:val="auto"/>
        </w:rPr>
        <w:t>NA Modular segment revenue, which represented 59.8% of consolidated revenue for the three months ended June 30, 2022, increased $58.3 million, or 20.1%, to $347.7 million. The increase was driven by our core leasing revenue, which grew $34.4 million, or 15.8%, due to continued growth of pricing and value added products. Delivery and installation revenues increased $18.8 million, or 34.2%, driven by increased pricing on new deliveries and returns and increased volumes as compared to 2021. Rental unit sales increased $3.4 million, or 34.0%, and new unit sales increased $1.6 million, or 23.2%, due to higher activity levels. NA Modular revenue drivers for the three months ended June 30, 2022 included:</w:t>
      </w:r>
    </w:p>
    <w:p>
      <w:pPr>
        <w:spacing w:after="0" w:line="62" w:lineRule="exact"/>
        <w:rPr>
          <w:rFonts w:ascii="Arial" w:cs="Arial" w:eastAsia="Arial" w:hAnsi="Arial"/>
          <w:sz w:val="15"/>
          <w:szCs w:val="15"/>
          <w:b w:val="1"/>
          <w:bCs w:val="1"/>
          <w:i w:val="1"/>
          <w:iCs w:val="1"/>
          <w:color w:val="1D2758"/>
        </w:rPr>
      </w:pPr>
    </w:p>
    <w:p>
      <w:pPr>
        <w:ind w:left="1240" w:hanging="309"/>
        <w:spacing w:after="0" w:line="312" w:lineRule="auto"/>
        <w:rPr>
          <w:rFonts w:ascii="Arial" w:cs="Arial" w:eastAsia="Arial" w:hAnsi="Arial"/>
          <w:sz w:val="15"/>
          <w:szCs w:val="15"/>
          <w:b w:val="1"/>
          <w:bCs w:val="1"/>
          <w:i w:val="1"/>
          <w:iCs w:val="1"/>
          <w:color w:val="1D2758"/>
        </w:rPr>
      </w:pPr>
      <w:r>
        <w:rPr>
          <w:rFonts w:ascii="Arial" w:cs="Arial" w:eastAsia="Arial" w:hAnsi="Arial"/>
          <w:sz w:val="15"/>
          <w:szCs w:val="15"/>
          <w:color w:val="auto"/>
        </w:rPr>
        <w:t>– Modular space average monthly rental rate of $931 increased 16.2% year over year representing a continuation of our long-term price optimization initiative and VAPS penetration opportunities across our portfolio.</w:t>
      </w:r>
    </w:p>
    <w:p>
      <w:pPr>
        <w:spacing w:after="0" w:line="24" w:lineRule="exact"/>
        <w:rPr>
          <w:rFonts w:ascii="Arial" w:cs="Arial" w:eastAsia="Arial" w:hAnsi="Arial"/>
          <w:sz w:val="15"/>
          <w:szCs w:val="15"/>
          <w:b w:val="1"/>
          <w:bCs w:val="1"/>
          <w:i w:val="1"/>
          <w:iCs w:val="1"/>
          <w:color w:val="1D2758"/>
        </w:rPr>
      </w:pPr>
    </w:p>
    <w:p>
      <w:pPr>
        <w:ind w:left="940"/>
        <w:spacing w:after="0"/>
        <w:rPr>
          <w:rFonts w:ascii="Arial" w:cs="Arial" w:eastAsia="Arial" w:hAnsi="Arial"/>
          <w:sz w:val="15"/>
          <w:szCs w:val="15"/>
          <w:b w:val="1"/>
          <w:bCs w:val="1"/>
          <w:i w:val="1"/>
          <w:iCs w:val="1"/>
          <w:color w:val="1D2758"/>
        </w:rPr>
      </w:pPr>
      <w:r>
        <w:rPr>
          <w:rFonts w:ascii="Times New Roman" w:cs="Times New Roman" w:eastAsia="Times New Roman" w:hAnsi="Times New Roman"/>
          <w:sz w:val="15"/>
          <w:szCs w:val="15"/>
          <w:b w:val="1"/>
          <w:bCs w:val="1"/>
          <w:i w:val="1"/>
          <w:iCs w:val="1"/>
          <w:color w:val="1D2758"/>
        </w:rPr>
        <w:t xml:space="preserve">–   </w:t>
      </w:r>
      <w:r>
        <w:rPr>
          <w:rFonts w:ascii="Arial" w:cs="Arial" w:eastAsia="Arial" w:hAnsi="Arial"/>
          <w:sz w:val="15"/>
          <w:szCs w:val="15"/>
          <w:color w:val="000000"/>
        </w:rPr>
        <w:t>Average modular space units on rent increased 1,804, or 2.1%, year over year driven primarily by units on rent added through recent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29" w:name="page30"/>
    <w:bookmarkEnd w:id="29"/>
    <w:p>
      <w:pPr>
        <w:ind w:left="927" w:hanging="309"/>
        <w:spacing w:after="0" w:line="294" w:lineRule="auto"/>
        <w:rPr>
          <w:sz w:val="20"/>
          <w:szCs w:val="20"/>
          <w:color w:val="auto"/>
        </w:rPr>
      </w:pPr>
      <w:r>
        <w:rPr>
          <w:rFonts w:ascii="Arial" w:cs="Arial" w:eastAsia="Arial" w:hAnsi="Arial"/>
          <w:sz w:val="15"/>
          <w:szCs w:val="15"/>
          <w:color w:val="auto"/>
        </w:rPr>
        <w:t>– Average modular space monthly utilization decreased 10 bps to 67.6% for the three months ended June 30, 2022, as compared to the three months ended June 30, 2021 due to lower utilized fleet added through acquisitions.</w:t>
      </w:r>
    </w:p>
    <w:p>
      <w:pPr>
        <w:spacing w:after="0" w:line="54" w:lineRule="exact"/>
        <w:rPr>
          <w:sz w:val="20"/>
          <w:szCs w:val="20"/>
          <w:color w:val="auto"/>
        </w:rPr>
      </w:pPr>
    </w:p>
    <w:p>
      <w:pPr>
        <w:jc w:val="both"/>
        <w:ind w:left="307" w:hanging="307"/>
        <w:spacing w:after="0" w:line="265" w:lineRule="auto"/>
        <w:tabs>
          <w:tab w:leader="none" w:pos="297" w:val="left"/>
        </w:tabs>
        <w:numPr>
          <w:ilvl w:val="0"/>
          <w:numId w:val="8"/>
        </w:numPr>
        <w:rPr>
          <w:rFonts w:ascii="Arial" w:cs="Arial" w:eastAsia="Arial" w:hAnsi="Arial"/>
          <w:sz w:val="15"/>
          <w:szCs w:val="15"/>
          <w:b w:val="1"/>
          <w:bCs w:val="1"/>
          <w:i w:val="1"/>
          <w:iCs w:val="1"/>
          <w:color w:val="1D2758"/>
        </w:rPr>
      </w:pPr>
      <w:r>
        <w:rPr>
          <w:rFonts w:ascii="Arial" w:cs="Arial" w:eastAsia="Arial" w:hAnsi="Arial"/>
          <w:sz w:val="15"/>
          <w:szCs w:val="15"/>
          <w:color w:val="auto"/>
        </w:rPr>
        <w:t>NA Storage segment revenue, which represented 30.1% of consolidated revenue for the three months ended June 30, 2022, increased $59.4 million, or 51.3%, to $175.2 million. The increase was driven by our core leasing revenue, which grew $48.3 million, or 56.2%, due to increased units on rent driven by significant increases in delivery activity during 2021 and into the first half of 2022 as economic activity rebounded versus 2020, recent acquisition activity, and increased pricing. Delivery and installation revenues increased $13.7 million, or 58.3%, driven by increased demand for new project deliveries, and by increased pricing on new deliveries and returns as compared to 2021. The increases to leasing revenue and delivery and installation revenues in the NA Storage segment were also impacted as a result of transitioning the majority of the portable storage product business within the NA Modular segment to the NA Storage segment in the third quarter of 2021. Rental unit sales decreased $2.1 million, or 47.7%, and new unit sales decreased $0.5 million, or 26.3% given constrained container supply.</w:t>
      </w:r>
    </w:p>
    <w:p>
      <w:pPr>
        <w:spacing w:after="0" w:line="252" w:lineRule="exact"/>
        <w:rPr>
          <w:rFonts w:ascii="Arial" w:cs="Arial" w:eastAsia="Arial" w:hAnsi="Arial"/>
          <w:sz w:val="15"/>
          <w:szCs w:val="15"/>
          <w:b w:val="1"/>
          <w:bCs w:val="1"/>
          <w:i w:val="1"/>
          <w:iCs w:val="1"/>
          <w:color w:val="1D2758"/>
        </w:rPr>
      </w:pPr>
    </w:p>
    <w:p>
      <w:pPr>
        <w:ind w:left="307"/>
        <w:spacing w:after="0"/>
        <w:rPr>
          <w:rFonts w:ascii="Arial" w:cs="Arial" w:eastAsia="Arial" w:hAnsi="Arial"/>
          <w:sz w:val="15"/>
          <w:szCs w:val="15"/>
          <w:b w:val="1"/>
          <w:bCs w:val="1"/>
          <w:i w:val="1"/>
          <w:iCs w:val="1"/>
          <w:color w:val="1D2758"/>
        </w:rPr>
      </w:pPr>
      <w:r>
        <w:rPr>
          <w:rFonts w:ascii="Arial" w:cs="Arial" w:eastAsia="Arial" w:hAnsi="Arial"/>
          <w:sz w:val="15"/>
          <w:szCs w:val="15"/>
          <w:color w:val="auto"/>
        </w:rPr>
        <w:t>NA Storage revenue drivers for the three months ended June 30, 2022 included:</w:t>
      </w:r>
    </w:p>
    <w:p>
      <w:pPr>
        <w:spacing w:after="0" w:line="111" w:lineRule="exact"/>
        <w:rPr>
          <w:sz w:val="20"/>
          <w:szCs w:val="20"/>
          <w:color w:val="auto"/>
        </w:rPr>
      </w:pPr>
    </w:p>
    <w:p>
      <w:pPr>
        <w:jc w:val="both"/>
        <w:ind w:left="927" w:hanging="309"/>
        <w:spacing w:after="0" w:line="282" w:lineRule="auto"/>
        <w:tabs>
          <w:tab w:leader="none" w:pos="917" w:val="left"/>
        </w:tabs>
        <w:numPr>
          <w:ilvl w:val="1"/>
          <w:numId w:val="9"/>
        </w:numPr>
        <w:rPr>
          <w:rFonts w:ascii="Arial" w:cs="Arial" w:eastAsia="Arial" w:hAnsi="Arial"/>
          <w:sz w:val="15"/>
          <w:szCs w:val="15"/>
          <w:color w:val="auto"/>
        </w:rPr>
      </w:pPr>
      <w:r>
        <w:rPr>
          <w:rFonts w:ascii="Arial" w:cs="Arial" w:eastAsia="Arial" w:hAnsi="Arial"/>
          <w:sz w:val="15"/>
          <w:szCs w:val="15"/>
          <w:color w:val="auto"/>
        </w:rPr>
        <w:t>Portable storage average monthly rental rate of $186, increased 23.2% year over year as a result of our price management tools and processes, further supported by tight supply of portable storage containers in the markets in which we operate. Modular space average monthly rental rate of $683 increased 19.2% year over year as a result of price optimization and early benefits from increased VAPS penetration opportunities.</w:t>
      </w:r>
    </w:p>
    <w:p>
      <w:pPr>
        <w:spacing w:after="0" w:line="49" w:lineRule="exact"/>
        <w:rPr>
          <w:rFonts w:ascii="Arial" w:cs="Arial" w:eastAsia="Arial" w:hAnsi="Arial"/>
          <w:sz w:val="15"/>
          <w:szCs w:val="15"/>
          <w:color w:val="auto"/>
        </w:rPr>
      </w:pPr>
    </w:p>
    <w:p>
      <w:pPr>
        <w:jc w:val="both"/>
        <w:ind w:left="927" w:hanging="309"/>
        <w:spacing w:after="0" w:line="268" w:lineRule="auto"/>
        <w:tabs>
          <w:tab w:leader="none" w:pos="917" w:val="left"/>
        </w:tabs>
        <w:numPr>
          <w:ilvl w:val="1"/>
          <w:numId w:val="9"/>
        </w:numPr>
        <w:rPr>
          <w:rFonts w:ascii="Arial" w:cs="Arial" w:eastAsia="Arial" w:hAnsi="Arial"/>
          <w:sz w:val="15"/>
          <w:szCs w:val="15"/>
          <w:b w:val="1"/>
          <w:bCs w:val="1"/>
          <w:i w:val="1"/>
          <w:iCs w:val="1"/>
          <w:color w:val="1D2758"/>
        </w:rPr>
      </w:pPr>
      <w:r>
        <w:rPr>
          <w:rFonts w:ascii="Arial" w:cs="Arial" w:eastAsia="Arial" w:hAnsi="Arial"/>
          <w:sz w:val="15"/>
          <w:szCs w:val="15"/>
          <w:color w:val="auto"/>
        </w:rPr>
        <w:t>Average portable storage units on rent increased 42,859, or 38.0%, year over year. Increases in organic activity in 2021 and the first half of 2022 drove an increase in average portable storage units on rent of approximately 11% or 12,000 units on rent. Of the remaining increase, approximately 18,700 units on rent were driven by units added in recent acquisitions, and approximately 12,000 units on rent were driven by transitioning the portable storage product business within the NA Modular segment to the NA Storage segment, which occurred in the third quarter of 2021. Combined, average portable storage units on rent for the NA Storage and NA Modular segments increased approximately 30,034 units, or 23.8%. Average modular space units on rent increased 1,697, or 10.4%, year over year driven by increases in organic delivery activity as well as due to units on rent acquired.</w:t>
      </w:r>
    </w:p>
    <w:p>
      <w:pPr>
        <w:spacing w:after="0" w:line="249" w:lineRule="exact"/>
        <w:rPr>
          <w:rFonts w:ascii="Arial" w:cs="Arial" w:eastAsia="Arial" w:hAnsi="Arial"/>
          <w:sz w:val="15"/>
          <w:szCs w:val="15"/>
          <w:b w:val="1"/>
          <w:bCs w:val="1"/>
          <w:i w:val="1"/>
          <w:iCs w:val="1"/>
          <w:color w:val="1D2758"/>
        </w:rPr>
      </w:pPr>
    </w:p>
    <w:p>
      <w:pPr>
        <w:jc w:val="both"/>
        <w:ind w:left="927" w:hanging="309"/>
        <w:spacing w:after="0" w:line="282" w:lineRule="auto"/>
        <w:tabs>
          <w:tab w:leader="none" w:pos="917" w:val="left"/>
        </w:tabs>
        <w:numPr>
          <w:ilvl w:val="1"/>
          <w:numId w:val="9"/>
        </w:numPr>
        <w:rPr>
          <w:rFonts w:ascii="Arial" w:cs="Arial" w:eastAsia="Arial" w:hAnsi="Arial"/>
          <w:sz w:val="15"/>
          <w:szCs w:val="15"/>
          <w:color w:val="auto"/>
        </w:rPr>
      </w:pPr>
      <w:r>
        <w:rPr>
          <w:rFonts w:ascii="Arial" w:cs="Arial" w:eastAsia="Arial" w:hAnsi="Arial"/>
          <w:sz w:val="15"/>
          <w:szCs w:val="15"/>
          <w:color w:val="auto"/>
        </w:rPr>
        <w:t>Average portable storage monthly utilization increased 940 bps to 85.5% for the three months ended June 30, 2022, as compared to the three months ended June 30, 2021. Average modular space monthly utilization decreased 420 bps to 74.2% for three months ended June 30, 2022, as compared to the three months ended June 30, 2021.</w:t>
      </w:r>
    </w:p>
    <w:p>
      <w:pPr>
        <w:spacing w:after="0" w:line="49" w:lineRule="exact"/>
        <w:rPr>
          <w:rFonts w:ascii="Arial" w:cs="Arial" w:eastAsia="Arial" w:hAnsi="Arial"/>
          <w:sz w:val="15"/>
          <w:szCs w:val="15"/>
          <w:color w:val="auto"/>
        </w:rPr>
      </w:pPr>
    </w:p>
    <w:p>
      <w:pPr>
        <w:ind w:left="307" w:hanging="307"/>
        <w:spacing w:after="0" w:line="312" w:lineRule="auto"/>
        <w:tabs>
          <w:tab w:leader="none" w:pos="297" w:val="left"/>
        </w:tabs>
        <w:numPr>
          <w:ilvl w:val="0"/>
          <w:numId w:val="9"/>
        </w:numPr>
        <w:rPr>
          <w:rFonts w:ascii="Arial" w:cs="Arial" w:eastAsia="Arial" w:hAnsi="Arial"/>
          <w:sz w:val="15"/>
          <w:szCs w:val="15"/>
          <w:color w:val="auto"/>
        </w:rPr>
      </w:pPr>
      <w:r>
        <w:rPr>
          <w:rFonts w:ascii="Arial" w:cs="Arial" w:eastAsia="Arial" w:hAnsi="Arial"/>
          <w:sz w:val="15"/>
          <w:szCs w:val="15"/>
          <w:color w:val="auto"/>
        </w:rPr>
        <w:t>Generated consolidated net income of $73.4 million for the three months ended June 30, 2022 representing an increase of $53.0 million, or 259.8%, versus the three months ended June 30, 2021, and included $5.2 million of discrete costs expensed in the period related to integration costs.</w:t>
      </w:r>
    </w:p>
    <w:p>
      <w:pPr>
        <w:spacing w:after="0" w:line="28" w:lineRule="exact"/>
        <w:rPr>
          <w:rFonts w:ascii="Arial" w:cs="Arial" w:eastAsia="Arial" w:hAnsi="Arial"/>
          <w:sz w:val="15"/>
          <w:szCs w:val="15"/>
          <w:color w:val="auto"/>
        </w:rPr>
      </w:pPr>
    </w:p>
    <w:p>
      <w:pPr>
        <w:ind w:left="307" w:hanging="307"/>
        <w:spacing w:after="0" w:line="312" w:lineRule="auto"/>
        <w:tabs>
          <w:tab w:leader="none" w:pos="297" w:val="left"/>
        </w:tabs>
        <w:numPr>
          <w:ilvl w:val="0"/>
          <w:numId w:val="9"/>
        </w:numPr>
        <w:rPr>
          <w:rFonts w:ascii="Times New Roman" w:cs="Times New Roman" w:eastAsia="Times New Roman" w:hAnsi="Times New Roman"/>
          <w:sz w:val="15"/>
          <w:szCs w:val="15"/>
          <w:b w:val="1"/>
          <w:bCs w:val="1"/>
          <w:i w:val="1"/>
          <w:iCs w:val="1"/>
          <w:color w:val="auto"/>
        </w:rPr>
      </w:pPr>
      <w:r>
        <w:rPr>
          <w:rFonts w:ascii="Arial" w:cs="Arial" w:eastAsia="Arial" w:hAnsi="Arial"/>
          <w:sz w:val="15"/>
          <w:szCs w:val="15"/>
          <w:color w:val="auto"/>
        </w:rPr>
        <w:t>Generated Adjusted EBITDA of $233.3 million for the three months ended June 30, 2022, representing an increase of $57.8 million, or 32.9%, as compared to the same period in 2021. This increase was driven primarily by increased leasing gross profit.</w:t>
      </w:r>
    </w:p>
    <w:p>
      <w:pPr>
        <w:spacing w:after="0" w:line="28" w:lineRule="exact"/>
        <w:rPr>
          <w:sz w:val="20"/>
          <w:szCs w:val="20"/>
          <w:color w:val="auto"/>
        </w:rPr>
      </w:pPr>
    </w:p>
    <w:p>
      <w:pPr>
        <w:jc w:val="both"/>
        <w:ind w:left="927" w:hanging="309"/>
        <w:spacing w:after="0" w:line="282" w:lineRule="auto"/>
        <w:tabs>
          <w:tab w:leader="none" w:pos="931" w:val="left"/>
        </w:tabs>
        <w:numPr>
          <w:ilvl w:val="1"/>
          <w:numId w:val="10"/>
        </w:numPr>
        <w:rPr>
          <w:rFonts w:ascii="Arial" w:cs="Arial" w:eastAsia="Arial" w:hAnsi="Arial"/>
          <w:sz w:val="15"/>
          <w:szCs w:val="15"/>
          <w:b w:val="1"/>
          <w:bCs w:val="1"/>
          <w:i w:val="1"/>
          <w:iCs w:val="1"/>
          <w:color w:val="auto"/>
        </w:rPr>
      </w:pPr>
      <w:r>
        <w:rPr>
          <w:rFonts w:ascii="Arial" w:cs="Arial" w:eastAsia="Arial" w:hAnsi="Arial"/>
          <w:sz w:val="15"/>
          <w:szCs w:val="15"/>
          <w:color w:val="auto"/>
        </w:rPr>
        <w:t>Consolidated Adjusted EBITDA Margin was 40.1% in the second quarter of 2022 and increased 200 bps versus prior year driven by increased leasing and delivery and installation margins as a result of increased volumes and pricing, partially offset by increased selling, general and administrative expense.</w:t>
      </w:r>
    </w:p>
    <w:p>
      <w:pPr>
        <w:spacing w:after="0" w:line="49" w:lineRule="exact"/>
        <w:rPr>
          <w:rFonts w:ascii="Arial" w:cs="Arial" w:eastAsia="Arial" w:hAnsi="Arial"/>
          <w:sz w:val="15"/>
          <w:szCs w:val="15"/>
          <w:b w:val="1"/>
          <w:bCs w:val="1"/>
          <w:i w:val="1"/>
          <w:iCs w:val="1"/>
          <w:color w:val="auto"/>
        </w:rPr>
      </w:pPr>
    </w:p>
    <w:p>
      <w:pPr>
        <w:jc w:val="both"/>
        <w:ind w:left="307" w:hanging="307"/>
        <w:spacing w:after="0" w:line="271" w:lineRule="auto"/>
        <w:tabs>
          <w:tab w:leader="none" w:pos="297" w:val="left"/>
        </w:tabs>
        <w:numPr>
          <w:ilvl w:val="0"/>
          <w:numId w:val="10"/>
        </w:numPr>
        <w:rPr>
          <w:rFonts w:ascii="Times New Roman" w:cs="Times New Roman" w:eastAsia="Times New Roman" w:hAnsi="Times New Roman"/>
          <w:sz w:val="15"/>
          <w:szCs w:val="15"/>
          <w:b w:val="1"/>
          <w:bCs w:val="1"/>
          <w:color w:val="auto"/>
        </w:rPr>
      </w:pPr>
      <w:r>
        <w:rPr>
          <w:rFonts w:ascii="Arial" w:cs="Arial" w:eastAsia="Arial" w:hAnsi="Arial"/>
          <w:sz w:val="15"/>
          <w:szCs w:val="15"/>
          <w:color w:val="auto"/>
        </w:rPr>
        <w:t>Generated Free Cash Flow of $69.4 million for the three months ended June 30, 2022 representing a decrease of $12.7 million as compared to the same period in 2021. Net cash provided by operating activities increased $48.8 million to $188.3 million. Net cash used in investing activities excluding acquisitions increased by $61.4 million to $118.9 million to support increases in delivery activity during 2022 as economic activity rebounded versus 2021, and the related unit on rent growth.</w:t>
      </w:r>
    </w:p>
    <w:p>
      <w:pPr>
        <w:spacing w:after="0" w:line="71" w:lineRule="exact"/>
        <w:rPr>
          <w:rFonts w:ascii="Times New Roman" w:cs="Times New Roman" w:eastAsia="Times New Roman" w:hAnsi="Times New Roman"/>
          <w:sz w:val="15"/>
          <w:szCs w:val="15"/>
          <w:b w:val="1"/>
          <w:bCs w:val="1"/>
          <w:color w:val="auto"/>
        </w:rPr>
      </w:pPr>
    </w:p>
    <w:p>
      <w:pPr>
        <w:jc w:val="both"/>
        <w:ind w:left="307" w:hanging="307"/>
        <w:spacing w:after="0" w:line="260" w:lineRule="auto"/>
        <w:tabs>
          <w:tab w:leader="none" w:pos="300" w:val="left"/>
        </w:tabs>
        <w:numPr>
          <w:ilvl w:val="0"/>
          <w:numId w:val="10"/>
        </w:numPr>
        <w:rPr>
          <w:rFonts w:ascii="Calibri" w:cs="Calibri" w:eastAsia="Calibri" w:hAnsi="Calibri"/>
          <w:sz w:val="17"/>
          <w:szCs w:val="17"/>
          <w:b w:val="1"/>
          <w:bCs w:val="1"/>
          <w:i w:val="1"/>
          <w:iCs w:val="1"/>
          <w:color w:val="1D2758"/>
        </w:rPr>
      </w:pPr>
      <w:r>
        <w:rPr>
          <w:rFonts w:ascii="Arial" w:cs="Arial" w:eastAsia="Arial" w:hAnsi="Arial"/>
          <w:sz w:val="15"/>
          <w:szCs w:val="15"/>
          <w:color w:val="auto"/>
        </w:rPr>
        <w:t>Returned $249.5 million to shareholders through stock and warrant repurchases and closed four acquisitions totaling approximately 4,100 storage units and 1,000 modular units for $46.4 million in cash, net of cash acquired, during the three months ended June 30, 2022. We believe the predictability of our free cash flow allows us to pursue multiple capital allocation priorities opportunistically, including investing in organic opportunities we see in the market, continuing our deleveraging trajectory, opportunistically executing accretive acquisitions, and returning capital to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3"/>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27"/>
          </w:cols>
          <w:pgMar w:left="633" w:top="1055"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color w:val="1D2758"/>
        </w:rPr>
        <w:t>Consolidated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June 30, 2022 Compared to the Three Months Ended June 30, 2021</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three months ended June 30, 2022 and 2021 are presented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380" w:type="dxa"/>
            <w:vAlign w:val="bottom"/>
            <w:gridSpan w:val="4"/>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Three Months Ended June 30,</w:t>
            </w:r>
          </w:p>
        </w:tc>
        <w:tc>
          <w:tcPr>
            <w:tcW w:w="72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 vs. 2021</w:t>
            </w:r>
          </w:p>
        </w:tc>
        <w:tc>
          <w:tcPr>
            <w:tcW w:w="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w:t>
            </w:r>
          </w:p>
        </w:tc>
        <w:tc>
          <w:tcPr>
            <w:tcW w:w="72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Change</w:t>
            </w:r>
          </w:p>
        </w:tc>
        <w:tc>
          <w:tcPr>
            <w:tcW w:w="0" w:type="dxa"/>
            <w:vAlign w:val="bottom"/>
          </w:tcPr>
          <w:p>
            <w:pPr>
              <w:spacing w:after="0"/>
              <w:rPr>
                <w:sz w:val="1"/>
                <w:szCs w:val="1"/>
                <w:color w:val="auto"/>
              </w:rPr>
            </w:pPr>
          </w:p>
        </w:tc>
      </w:tr>
      <w:tr>
        <w:trPr>
          <w:trHeight w:val="213"/>
        </w:trPr>
        <w:tc>
          <w:tcPr>
            <w:tcW w:w="5040" w:type="dxa"/>
            <w:vAlign w:val="bottom"/>
            <w:vMerge w:val="continue"/>
            <w:shd w:val="clear" w:color="auto" w:fill="1D2758"/>
          </w:tcPr>
          <w:p>
            <w:pPr>
              <w:spacing w:after="0"/>
              <w:rPr>
                <w:sz w:val="18"/>
                <w:szCs w:val="18"/>
                <w:color w:val="auto"/>
              </w:rPr>
            </w:pPr>
          </w:p>
        </w:tc>
        <w:tc>
          <w:tcPr>
            <w:tcW w:w="1280" w:type="dxa"/>
            <w:vAlign w:val="bottom"/>
            <w:vMerge w:val="restart"/>
            <w:shd w:val="clear" w:color="auto" w:fill="1D2758"/>
          </w:tcPr>
          <w:p>
            <w:pPr>
              <w:jc w:val="right"/>
              <w:ind w:right="43"/>
              <w:spacing w:after="0"/>
              <w:rPr>
                <w:sz w:val="20"/>
                <w:szCs w:val="20"/>
                <w:color w:val="auto"/>
              </w:rPr>
            </w:pPr>
            <w:r>
              <w:rPr>
                <w:rFonts w:ascii="Arial" w:cs="Arial" w:eastAsia="Arial" w:hAnsi="Arial"/>
                <w:sz w:val="15"/>
                <w:szCs w:val="15"/>
                <w:b w:val="1"/>
                <w:bCs w:val="1"/>
                <w:color w:val="FFFFFF"/>
              </w:rPr>
              <w:t>2022</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140" w:type="dxa"/>
            <w:vAlign w:val="bottom"/>
            <w:vMerge w:val="continue"/>
            <w:shd w:val="clear" w:color="auto" w:fill="1D2758"/>
          </w:tcPr>
          <w:p>
            <w:pPr>
              <w:spacing w:after="0"/>
              <w:rPr>
                <w:sz w:val="18"/>
                <w:szCs w:val="18"/>
                <w:color w:val="auto"/>
              </w:rPr>
            </w:pPr>
          </w:p>
        </w:tc>
        <w:tc>
          <w:tcPr>
            <w:tcW w:w="72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04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140" w:type="dxa"/>
            <w:vAlign w:val="bottom"/>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428,620</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343,179</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85,441</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125,403</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91,680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33,723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11,094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11,008</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16,525</w:t>
            </w:r>
          </w:p>
        </w:tc>
        <w:tc>
          <w:tcPr>
            <w:tcW w:w="100" w:type="dxa"/>
            <w:vAlign w:val="bottom"/>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15,235</w:t>
            </w:r>
          </w:p>
        </w:tc>
        <w:tc>
          <w:tcPr>
            <w:tcW w:w="100" w:type="dxa"/>
            <w:vAlign w:val="bottom"/>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1,290</w:t>
            </w:r>
          </w:p>
        </w:tc>
        <w:tc>
          <w:tcPr>
            <w:tcW w:w="0" w:type="dxa"/>
            <w:vAlign w:val="bottom"/>
          </w:tcPr>
          <w:p>
            <w:pPr>
              <w:spacing w:after="0"/>
              <w:rPr>
                <w:sz w:val="1"/>
                <w:szCs w:val="1"/>
                <w:color w:val="auto"/>
              </w:rPr>
            </w:pPr>
          </w:p>
        </w:tc>
      </w:tr>
      <w:tr>
        <w:trPr>
          <w:trHeight w:val="198"/>
        </w:trPr>
        <w:tc>
          <w:tcPr>
            <w:tcW w:w="50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581,642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461,102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120,540</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96,912</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83,032</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13,880</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93,587</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77,153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16,434</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6,139</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7,052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8,955</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8,162</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793</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67,176</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62,893</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4,283</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308,873</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222,810</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86,063</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162,164</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122,387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39,777</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19,054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21,622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(2,568)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474</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(483)</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6,960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(7,046)</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expense, net</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(3,784)</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719</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(4,503)</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131,661</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70,615</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61,046</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33,574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29,212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4,362</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280" w:type="dxa"/>
            <w:vAlign w:val="bottom"/>
            <w:shd w:val="clear" w:color="auto" w:fill="DBDBDB"/>
          </w:tcPr>
          <w:p>
            <w:pPr>
              <w:spacing w:after="0"/>
              <w:rPr>
                <w:sz w:val="18"/>
                <w:szCs w:val="18"/>
                <w:color w:val="auto"/>
              </w:rPr>
            </w:pPr>
          </w:p>
        </w:tc>
        <w:tc>
          <w:tcPr>
            <w:tcW w:w="82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610</w:t>
            </w:r>
          </w:p>
        </w:tc>
        <w:tc>
          <w:tcPr>
            <w:tcW w:w="0" w:type="dxa"/>
            <w:vAlign w:val="bottom"/>
          </w:tcPr>
          <w:p>
            <w:pPr>
              <w:spacing w:after="0"/>
              <w:rPr>
                <w:sz w:val="1"/>
                <w:szCs w:val="1"/>
                <w:color w:val="auto"/>
              </w:rPr>
            </w:pPr>
          </w:p>
        </w:tc>
      </w:tr>
      <w:tr>
        <w:trPr>
          <w:trHeight w:val="205"/>
        </w:trPr>
        <w:tc>
          <w:tcPr>
            <w:tcW w:w="504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12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2,814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(2,814)</w:t>
            </w:r>
          </w:p>
        </w:tc>
        <w:tc>
          <w:tcPr>
            <w:tcW w:w="0" w:type="dxa"/>
            <w:vAlign w:val="bottom"/>
          </w:tcPr>
          <w:p>
            <w:pPr>
              <w:spacing w:after="0"/>
              <w:rPr>
                <w:sz w:val="1"/>
                <w:szCs w:val="1"/>
                <w:color w:val="auto"/>
              </w:rPr>
            </w:pPr>
          </w:p>
        </w:tc>
      </w:tr>
      <w:tr>
        <w:trPr>
          <w:trHeight w:val="200"/>
        </w:trPr>
        <w:tc>
          <w:tcPr>
            <w:tcW w:w="5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28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98,087</w:t>
            </w:r>
          </w:p>
        </w:tc>
        <w:tc>
          <w:tcPr>
            <w:tcW w:w="100" w:type="dxa"/>
            <w:vAlign w:val="bottom"/>
            <w:tcBorders>
              <w:top w:val="single" w:sz="8" w:color="DBDBDB"/>
            </w:tcBorders>
            <w:shd w:val="clear" w:color="auto" w:fill="DBDBDB"/>
          </w:tcPr>
          <w:p>
            <w:pPr>
              <w:spacing w:after="0"/>
              <w:rPr>
                <w:sz w:val="17"/>
                <w:szCs w:val="17"/>
                <w:color w:val="auto"/>
              </w:rPr>
            </w:pPr>
          </w:p>
        </w:tc>
        <w:tc>
          <w:tcPr>
            <w:tcW w:w="128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39,199</w:t>
            </w:r>
          </w:p>
        </w:tc>
        <w:tc>
          <w:tcPr>
            <w:tcW w:w="100" w:type="dxa"/>
            <w:vAlign w:val="bottom"/>
            <w:tcBorders>
              <w:top w:val="single" w:sz="8" w:color="DBDBDB"/>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14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58,888</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24,711</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18,828</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5,883</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73,376</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20,371</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140" w:type="dxa"/>
            <w:vAlign w:val="bottom"/>
            <w:tcBorders>
              <w:bottom w:val="single" w:sz="8" w:color="auto"/>
            </w:tcBorders>
            <w:shd w:val="clear" w:color="auto" w:fill="DBDBDB"/>
          </w:tcPr>
          <w:p>
            <w:pPr>
              <w:spacing w:after="0"/>
              <w:rPr>
                <w:sz w:val="19"/>
                <w:szCs w:val="19"/>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53,005</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June 30, 2022 and 2021</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$120.5 million, or 26.1%, to $581.6 million for the three months ended June 30, 2022 from $461.1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Leasing revenue increased $85.4 million, or 24.9%, as compared to the same period in 2021 driven by improved pricing and value added products, and an increase of 32,056 average portable storage units on rent driven by significant increases in delivery activity during 2021 and into the first half of 2022 as economic activity rebounded versus 2020 and recent acquisition activity. Delivery and installation revenues increased $33.7 million, or 36.8%, due to increased overall activity. Rental unit sales increased $1.3 million, or 8.6%, and new unit sales increased $0.1 million, or 0.9%. We estimate that recent acquisitions completed over the past four quarters contributed approximately $19.0 million to total revenues for three months ended June 30, 2022.</w:t>
      </w:r>
    </w:p>
    <w:p>
      <w:pPr>
        <w:spacing w:after="0" w:line="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Total average units on rent for the three months ended June 30, 2022 and 2021 were 296,794 and 262,204, respectively, representing an increase of 34,590, or 13.2%. Portable storage average units on rent increased by 32,056 units, or 21.1%, for the three months ended June 30, 2022 driven by strong demand. The average portable storage unit utilization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31" w:name="page32"/>
    <w:bookmarkEnd w:id="31"/>
    <w:p>
      <w:pPr>
        <w:jc w:val="both"/>
        <w:spacing w:after="0" w:line="281" w:lineRule="auto"/>
        <w:rPr>
          <w:sz w:val="20"/>
          <w:szCs w:val="20"/>
          <w:color w:val="auto"/>
        </w:rPr>
      </w:pPr>
      <w:r>
        <w:rPr>
          <w:rFonts w:ascii="Arial" w:cs="Arial" w:eastAsia="Arial" w:hAnsi="Arial"/>
          <w:sz w:val="15"/>
          <w:szCs w:val="15"/>
          <w:color w:val="auto"/>
        </w:rPr>
        <w:t>rate during the three months ended June 30, 2022 was 86.0%, as compared to 77.7% during the same period in 2021. Modular space average units on rent increased 2,534 units, or 2.3%, for the three months ended June 30, 2022 as compared to the three months ended June 30, 2021 driven primarily by acquisitions. The average modular space unit utilization rate during the three months ended June 30, 2022 was 68.8%, as compared to 70.3% during the same period in 2021.</w:t>
      </w:r>
    </w:p>
    <w:p>
      <w:pPr>
        <w:jc w:val="both"/>
        <w:ind w:firstLine="619"/>
        <w:spacing w:after="0" w:line="271" w:lineRule="auto"/>
        <w:rPr>
          <w:sz w:val="20"/>
          <w:szCs w:val="20"/>
          <w:color w:val="auto"/>
        </w:rPr>
      </w:pPr>
      <w:r>
        <w:rPr>
          <w:rFonts w:ascii="Arial" w:cs="Arial" w:eastAsia="Arial" w:hAnsi="Arial"/>
          <w:sz w:val="15"/>
          <w:szCs w:val="15"/>
          <w:color w:val="auto"/>
        </w:rPr>
        <w:t>Modular space average monthly rental rates increased 15.9% to $853 for the three months ended June 30, 2022. Improved pricing was achieved across all relevant segments. Average modular space monthly rental rates increased by $130, or 16.2%, to $931 in the NA Modular segment and by $110, or 19.2%, in the NA Storage segment. Increases were driven by a continuation of our long-term price optimization initiative and VAPS penetration opportunities across our NA Modular segment as well as by some early application of these same price management tools and processes across the NA Storage segment. NA Storage also began to see early benefits from increased VAPS penetration opportunities.</w:t>
      </w:r>
    </w:p>
    <w:p>
      <w:pPr>
        <w:spacing w:after="0" w:line="6"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color w:val="auto"/>
        </w:rPr>
        <w:t>Average portable storage monthly rental rates increased 23.7% to $172 for the three months ended June 30, 2022 driven by our price management tools and processes, further supported by tight supply of portable storage containers in the markets in which we operate.</w:t>
      </w:r>
    </w:p>
    <w:p>
      <w:pPr>
        <w:spacing w:after="0" w:line="29"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53.1% and 48.3% for the three months ended June 30, 2022 and 2021, respectively. Our adjusted gross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profit percentage, which excludes the effects of depreciation, was 64.7% and 62.0% for the three months ended June 30, 2022 and 2021, respectively. Gross profit increased $86.1 million, or 38.6%, to $308.9 million for the three months ended June 30, 2022 from $222.8 million for the three months ended June 30, 2021. The increase in gross profit was a result of a $71.5 million increase in leasing gross profit, increased delivery and installation gross profit of $17.3 million and increased new and rental unit sale margins of $1.6 million. These increases were primarily a result of increased revenues due to favorable average monthly rental rates across both portable storage and modular space units, increased pricing on delivery and installation, as well as due to higher units on rent and increased activity levels driving higher delivery and installation revenues, partially offset by increased variable costs during the period as a result of higher activity levels in the current quarter and inflationary pressures across many of our cost categories. Depreciation increased $4.3 million as a result of capital investments made over the past twelve months in our existing rental equipment, including the impact of recent acquisitions.</w:t>
      </w:r>
    </w:p>
    <w:p>
      <w:pPr>
        <w:spacing w:after="0" w:line="14"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Selling, general and administrative expense ("SG&amp;A") increased $39.8 million, or 32.5%, to $162.2 million for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compared to $122.4 million for the three months ended June 30, 2021. Employee costs excluding stock compensation increased $15.3 million, or 28.2%, driven by a 16% increase in SG&amp;A headcount to support both organic and inorganic growth, and increased variable compensation as a result of the growth achieved. Stock compensation expense increased $4.6 million to $9.3 million for the three months ended June 30, 2022, compared to $4.7 million for the three months ended June 30, 2021. Integration costs decreased $2.4 million to $5.2 million for the three months ended June 30, 2022, compared to $7.6 million for the three months ended June 30, 2021. The remaining increases were primarily driven by increased economic activity, including increased occupancy and office costs, legal and professional fees, travel expenses, and marketing cost increases.</w:t>
      </w:r>
    </w:p>
    <w:p>
      <w:pPr>
        <w:spacing w:after="0" w:line="62"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decreased $2.5 million to $19.1 million for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compared to $21.6 million for the three months ended June 30, 2021. The decrease was driven by a reduction in depreciation of buildings and office equipment.</w:t>
      </w:r>
    </w:p>
    <w:p>
      <w:pPr>
        <w:spacing w:after="0" w:line="23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were $0 for the three months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2022 as compared to $0.5 million for the three months ended June 30, 2021. The decrease resulted from fewer closed locations during the three months ended June 30, 2022 as compared to the three months ended June 30, 2021.</w:t>
      </w:r>
    </w:p>
    <w:p>
      <w:pPr>
        <w:spacing w:after="0" w:line="62"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Restructuring costs were $7.0 million for the three months ended June 30, 2021 primarily driven by employee termination costs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resulting from the elimination of positions due to the Merger.</w:t>
      </w: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Currency (Gains) Losses, net: </w:t>
      </w:r>
      <w:r>
        <w:rPr>
          <w:rFonts w:ascii="Arial" w:cs="Arial" w:eastAsia="Arial" w:hAnsi="Arial"/>
          <w:sz w:val="15"/>
          <w:szCs w:val="15"/>
          <w:color w:val="auto"/>
        </w:rPr>
        <w:t>Currency (gains) losses, net changed by $0.1 million to a $0.1 million gain for the three months ended June 30, 2022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$0 for the three months ended June 30, 2021. This change was primarily attributable to the impact of foreign currency exchanges rate changes on intercompany receivables and payables denominated in a currency other than the subsidiary's functional currency.</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Other (Income) Expense, net: </w:t>
      </w:r>
      <w:r>
        <w:rPr>
          <w:rFonts w:ascii="Arial" w:cs="Arial" w:eastAsia="Arial" w:hAnsi="Arial"/>
          <w:sz w:val="15"/>
          <w:szCs w:val="15"/>
          <w:color w:val="auto"/>
        </w:rPr>
        <w:t>Other (income) expense, net was $3.8 million of income for the three months ended June 30, 2022 compared to $0.7</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of expense for the three months ended June 30, 2021. Other income, net of $3.8 million for the three months ended June 30, 2022 was primarily related to insurance proceeds received related to Hurricane Ida in the Gulf Coast area of the United States.</w:t>
      </w:r>
    </w:p>
    <w:p>
      <w:pPr>
        <w:spacing w:after="0" w:line="62"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$4.4 million, or 15.1%, to $33.6 million for the three months ended June 30, 2022 from $29.2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three months ended June 30, 2021 due to both an increase in outstanding borrowings and an increase in the weighted average interest rate for borrowings under the ABL Facility prior to the June 30, 2022 amendment to the credit facility. See Note 9 to the condensed consolidated financial statements for further discussion of our debt.</w:t>
      </w:r>
    </w:p>
    <w:p>
      <w:pPr>
        <w:spacing w:after="0" w:line="245"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Fair Value Loss on Common Stock Warrant Liabilities: </w:t>
      </w:r>
      <w:r>
        <w:rPr>
          <w:rFonts w:ascii="Arial" w:cs="Arial" w:eastAsia="Arial" w:hAnsi="Arial"/>
          <w:sz w:val="15"/>
          <w:szCs w:val="15"/>
          <w:color w:val="auto"/>
        </w:rPr>
        <w:t>The fair value loss on common stock warrant liabilities was $0.6 million for the three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primarily due to the change in estimated fair value of common stock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2" w:name="page33"/>
    <w:bookmarkEnd w:id="32"/>
    <w:p>
      <w:pPr>
        <w:jc w:val="both"/>
        <w:spacing w:after="0" w:line="294" w:lineRule="auto"/>
        <w:rPr>
          <w:sz w:val="20"/>
          <w:szCs w:val="20"/>
          <w:color w:val="auto"/>
        </w:rPr>
      </w:pPr>
      <w:r>
        <w:rPr>
          <w:rFonts w:ascii="Arial" w:cs="Arial" w:eastAsia="Arial" w:hAnsi="Arial"/>
          <w:sz w:val="15"/>
          <w:szCs w:val="15"/>
          <w:color w:val="auto"/>
        </w:rPr>
        <w:t>warrant liabilities. Subsequent to May 2021, no 2015 Private Warrants were outstanding, and as a result, there was no fair value loss on common stock warrant liabilities recorded for the three months ended June 30, 2022.</w:t>
      </w:r>
    </w:p>
    <w:p>
      <w:pPr>
        <w:spacing w:after="0" w:line="5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three months ended June 30, 2021, the Company redeemed 10% of the outstanding principal, $58.5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its 2025 Secured Notes and recorded a loss on extinguishment of debt of $2.8 million comprised of a redemption premium of $1.8 million and write off of unamortized deferred financing fees of $1.0 million. There was no similar transaction in the three months ended June 30, 2022.</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$5.9 million to $24.7 million for the three months ended June 30, 2022 compared to $18.8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2021. The increase in expense was driven by the pre-tax income increase for the three months ended June 30, 2022. The tax expense for the three months ended June 30, 2021 included the impact of the UK statutory rate increase enactment.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Six Months Ended June 30, 2022 Compared to the Six Months Ended June 30, 2021</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condensed consolidated statements of operations for the six months ended June 30, 2022 and 2021 are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380" w:type="dxa"/>
            <w:vAlign w:val="bottom"/>
            <w:gridSpan w:val="4"/>
            <w:shd w:val="clear" w:color="auto" w:fill="1D2758"/>
          </w:tcPr>
          <w:p>
            <w:pPr>
              <w:jc w:val="right"/>
              <w:ind w:right="203"/>
              <w:spacing w:after="0"/>
              <w:rPr>
                <w:sz w:val="20"/>
                <w:szCs w:val="20"/>
                <w:color w:val="auto"/>
              </w:rPr>
            </w:pPr>
            <w:r>
              <w:rPr>
                <w:rFonts w:ascii="Arial" w:cs="Arial" w:eastAsia="Arial" w:hAnsi="Arial"/>
                <w:sz w:val="15"/>
                <w:szCs w:val="15"/>
                <w:b w:val="1"/>
                <w:bCs w:val="1"/>
                <w:color w:val="FFFFFF"/>
              </w:rPr>
              <w:t>Six Months Ended June 30,</w:t>
            </w:r>
          </w:p>
        </w:tc>
        <w:tc>
          <w:tcPr>
            <w:tcW w:w="720" w:type="dxa"/>
            <w:vAlign w:val="bottom"/>
            <w:shd w:val="clear" w:color="auto" w:fill="1D2758"/>
          </w:tcPr>
          <w:p>
            <w:pPr>
              <w:spacing w:after="0"/>
              <w:rPr>
                <w:sz w:val="21"/>
                <w:szCs w:val="21"/>
                <w:color w:val="auto"/>
              </w:rPr>
            </w:pPr>
          </w:p>
        </w:tc>
        <w:tc>
          <w:tcPr>
            <w:tcW w:w="100" w:type="dxa"/>
            <w:vAlign w:val="bottom"/>
            <w:shd w:val="clear" w:color="auto" w:fill="1D2758"/>
          </w:tcPr>
          <w:p>
            <w:pPr>
              <w:spacing w:after="0"/>
              <w:rPr>
                <w:sz w:val="21"/>
                <w:szCs w:val="21"/>
                <w:color w:val="auto"/>
              </w:rPr>
            </w:pPr>
          </w:p>
        </w:tc>
        <w:tc>
          <w:tcPr>
            <w:tcW w:w="114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 vs. 2021</w:t>
            </w:r>
          </w:p>
        </w:tc>
        <w:tc>
          <w:tcPr>
            <w:tcW w:w="86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 Change</w:t>
            </w:r>
          </w:p>
        </w:tc>
        <w:tc>
          <w:tcPr>
            <w:tcW w:w="0" w:type="dxa"/>
            <w:vAlign w:val="bottom"/>
          </w:tcPr>
          <w:p>
            <w:pPr>
              <w:spacing w:after="0"/>
              <w:rPr>
                <w:sz w:val="1"/>
                <w:szCs w:val="1"/>
                <w:color w:val="auto"/>
              </w:rPr>
            </w:pPr>
          </w:p>
        </w:tc>
      </w:tr>
      <w:tr>
        <w:trPr>
          <w:trHeight w:val="213"/>
        </w:trPr>
        <w:tc>
          <w:tcPr>
            <w:tcW w:w="5040" w:type="dxa"/>
            <w:vAlign w:val="bottom"/>
            <w:vMerge w:val="continue"/>
            <w:shd w:val="clear" w:color="auto" w:fill="1D2758"/>
          </w:tcPr>
          <w:p>
            <w:pPr>
              <w:spacing w:after="0"/>
              <w:rPr>
                <w:sz w:val="18"/>
                <w:szCs w:val="18"/>
                <w:color w:val="auto"/>
              </w:rPr>
            </w:pPr>
          </w:p>
        </w:tc>
        <w:tc>
          <w:tcPr>
            <w:tcW w:w="1200" w:type="dxa"/>
            <w:vAlign w:val="bottom"/>
            <w:vMerge w:val="restart"/>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80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2021</w:t>
            </w:r>
          </w:p>
        </w:tc>
        <w:tc>
          <w:tcPr>
            <w:tcW w:w="720" w:type="dxa"/>
            <w:vAlign w:val="bottom"/>
            <w:shd w:val="clear" w:color="auto" w:fill="1D2758"/>
          </w:tcPr>
          <w:p>
            <w:pPr>
              <w:spacing w:after="0"/>
              <w:rPr>
                <w:sz w:val="18"/>
                <w:szCs w:val="18"/>
                <w:color w:val="auto"/>
              </w:rPr>
            </w:pPr>
          </w:p>
        </w:tc>
        <w:tc>
          <w:tcPr>
            <w:tcW w:w="100" w:type="dxa"/>
            <w:vAlign w:val="bottom"/>
            <w:shd w:val="clear" w:color="auto" w:fill="1D2758"/>
          </w:tcPr>
          <w:p>
            <w:pPr>
              <w:spacing w:after="0"/>
              <w:rPr>
                <w:sz w:val="18"/>
                <w:szCs w:val="18"/>
                <w:color w:val="auto"/>
              </w:rPr>
            </w:pPr>
          </w:p>
        </w:tc>
        <w:tc>
          <w:tcPr>
            <w:tcW w:w="1140" w:type="dxa"/>
            <w:vAlign w:val="bottom"/>
            <w:vMerge w:val="continue"/>
            <w:shd w:val="clear" w:color="auto" w:fill="1D2758"/>
          </w:tcPr>
          <w:p>
            <w:pPr>
              <w:spacing w:after="0"/>
              <w:rPr>
                <w:sz w:val="18"/>
                <w:szCs w:val="18"/>
                <w:color w:val="auto"/>
              </w:rPr>
            </w:pPr>
          </w:p>
        </w:tc>
        <w:tc>
          <w:tcPr>
            <w:tcW w:w="860" w:type="dxa"/>
            <w:vAlign w:val="bottom"/>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5040" w:type="dxa"/>
            <w:vAlign w:val="bottom"/>
            <w:shd w:val="clear" w:color="auto" w:fill="1D2758"/>
          </w:tcPr>
          <w:p>
            <w:pPr>
              <w:spacing w:after="0"/>
              <w:rPr>
                <w:sz w:val="7"/>
                <w:szCs w:val="7"/>
                <w:color w:val="auto"/>
              </w:rPr>
            </w:pPr>
          </w:p>
        </w:tc>
        <w:tc>
          <w:tcPr>
            <w:tcW w:w="1200" w:type="dxa"/>
            <w:vAlign w:val="bottom"/>
            <w:vMerge w:val="continue"/>
            <w:shd w:val="clear" w:color="auto" w:fill="1D2758"/>
          </w:tcPr>
          <w:p>
            <w:pPr>
              <w:spacing w:after="0"/>
              <w:rPr>
                <w:sz w:val="7"/>
                <w:szCs w:val="7"/>
                <w:color w:val="auto"/>
              </w:rPr>
            </w:pPr>
          </w:p>
        </w:tc>
        <w:tc>
          <w:tcPr>
            <w:tcW w:w="80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720" w:type="dxa"/>
            <w:vAlign w:val="bottom"/>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1140" w:type="dxa"/>
            <w:vAlign w:val="bottom"/>
            <w:shd w:val="clear" w:color="auto" w:fill="1D2758"/>
          </w:tcPr>
          <w:p>
            <w:pPr>
              <w:spacing w:after="0"/>
              <w:rPr>
                <w:sz w:val="7"/>
                <w:szCs w:val="7"/>
                <w:color w:val="auto"/>
              </w:rPr>
            </w:pPr>
          </w:p>
        </w:tc>
        <w:tc>
          <w:tcPr>
            <w:tcW w:w="860" w:type="dxa"/>
            <w:vAlign w:val="bottom"/>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Revenues:</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Leasing and services revenue:</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0" w:type="dxa"/>
            <w:vAlign w:val="bottom"/>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821,812</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658,841</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162,971</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225,734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175,184</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50,550</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Sales revenue:</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17,691</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21,963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(4,272)</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0" w:type="dxa"/>
            <w:vAlign w:val="bottom"/>
            <w:tcBorders>
              <w:bottom w:val="single" w:sz="8" w:color="auto"/>
            </w:tcBorders>
            <w:shd w:val="clear" w:color="auto" w:fill="DBDBDB"/>
          </w:tcPr>
          <w:p>
            <w:pPr>
              <w:spacing w:after="0"/>
              <w:rPr>
                <w:sz w:val="18"/>
                <w:szCs w:val="18"/>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25,299</w:t>
            </w:r>
          </w:p>
        </w:tc>
        <w:tc>
          <w:tcPr>
            <w:tcW w:w="100" w:type="dxa"/>
            <w:vAlign w:val="bottom"/>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30,437</w:t>
            </w:r>
          </w:p>
        </w:tc>
        <w:tc>
          <w:tcPr>
            <w:tcW w:w="100" w:type="dxa"/>
            <w:vAlign w:val="bottom"/>
            <w:shd w:val="clear" w:color="auto" w:fill="DBDBDB"/>
          </w:tcPr>
          <w:p>
            <w:pPr>
              <w:spacing w:after="0"/>
              <w:rPr>
                <w:sz w:val="18"/>
                <w:szCs w:val="18"/>
                <w:color w:val="auto"/>
              </w:rPr>
            </w:pPr>
          </w:p>
        </w:tc>
        <w:tc>
          <w:tcPr>
            <w:tcW w:w="1140" w:type="dxa"/>
            <w:vAlign w:val="bottom"/>
            <w:tcBorders>
              <w:bottom w:val="single" w:sz="8" w:color="auto"/>
            </w:tcBorders>
            <w:shd w:val="clear" w:color="auto" w:fill="DBDBDB"/>
          </w:tcPr>
          <w:p>
            <w:pPr>
              <w:spacing w:after="0"/>
              <w:rPr>
                <w:sz w:val="18"/>
                <w:szCs w:val="18"/>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(5,138)</w:t>
            </w:r>
          </w:p>
        </w:tc>
        <w:tc>
          <w:tcPr>
            <w:tcW w:w="0" w:type="dxa"/>
            <w:vAlign w:val="bottom"/>
          </w:tcPr>
          <w:p>
            <w:pPr>
              <w:spacing w:after="0"/>
              <w:rPr>
                <w:sz w:val="1"/>
                <w:szCs w:val="1"/>
                <w:color w:val="auto"/>
              </w:rPr>
            </w:pPr>
          </w:p>
        </w:tc>
      </w:tr>
      <w:tr>
        <w:trPr>
          <w:trHeight w:val="198"/>
        </w:trPr>
        <w:tc>
          <w:tcPr>
            <w:tcW w:w="5040" w:type="dxa"/>
            <w:vAlign w:val="bottom"/>
          </w:tcPr>
          <w:p>
            <w:pPr>
              <w:ind w:left="640"/>
              <w:spacing w:after="0"/>
              <w:rPr>
                <w:sz w:val="20"/>
                <w:szCs w:val="20"/>
                <w:color w:val="auto"/>
              </w:rPr>
            </w:pPr>
            <w:r>
              <w:rPr>
                <w:rFonts w:ascii="Arial" w:cs="Arial" w:eastAsia="Arial" w:hAnsi="Arial"/>
                <w:sz w:val="15"/>
                <w:szCs w:val="15"/>
                <w:color w:val="auto"/>
              </w:rPr>
              <w:t>Total revenues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1,090,536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886,425</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204,111</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0"/>
              <w:spacing w:after="0"/>
              <w:rPr>
                <w:sz w:val="20"/>
                <w:szCs w:val="20"/>
                <w:color w:val="auto"/>
              </w:rPr>
            </w:pPr>
            <w:r>
              <w:rPr>
                <w:rFonts w:ascii="Arial" w:cs="Arial" w:eastAsia="Arial" w:hAnsi="Arial"/>
                <w:sz w:val="15"/>
                <w:szCs w:val="15"/>
                <w:color w:val="auto"/>
              </w:rPr>
              <w:t>Costs: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Costs of leasing and services: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Leasing</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185,790</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152,927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32,863</w:t>
            </w: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Delivery and installation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175,102</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147,289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27,813</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Costs of sales: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440"/>
              <w:spacing w:after="0"/>
              <w:rPr>
                <w:sz w:val="20"/>
                <w:szCs w:val="20"/>
                <w:color w:val="auto"/>
              </w:rPr>
            </w:pPr>
            <w:r>
              <w:rPr>
                <w:rFonts w:ascii="Arial" w:cs="Arial" w:eastAsia="Arial" w:hAnsi="Arial"/>
                <w:sz w:val="15"/>
                <w:szCs w:val="15"/>
                <w:color w:val="auto"/>
              </w:rPr>
              <w:t>New units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10,465</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14,161</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(3,696)</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Rental units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14,099</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17,267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(3,168)</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Depreciation of rental equipment</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129,392</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118,591</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10,801</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Gross profit</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575,688</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436,190</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139,498</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rPr>
                <w:sz w:val="20"/>
                <w:szCs w:val="20"/>
                <w:color w:val="auto"/>
              </w:rPr>
            </w:pPr>
            <w:r>
              <w:rPr>
                <w:rFonts w:ascii="Arial" w:cs="Arial" w:eastAsia="Arial" w:hAnsi="Arial"/>
                <w:sz w:val="15"/>
                <w:szCs w:val="15"/>
                <w:color w:val="auto"/>
              </w:rPr>
              <w:t>Expenses:</w:t>
            </w:r>
          </w:p>
        </w:tc>
        <w:tc>
          <w:tcPr>
            <w:tcW w:w="1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Selling, general and administrative</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312,374</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239,716</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72,658</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Other depreciation and amortization</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38,658</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39,946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(1,288)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Lease impairment expense and other related charges</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254</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1,727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(1,473)</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10,102</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(10,188)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losses, net</w:t>
            </w:r>
          </w:p>
        </w:tc>
        <w:tc>
          <w:tcPr>
            <w:tcW w:w="1200" w:type="dxa"/>
            <w:vAlign w:val="bottom"/>
            <w:shd w:val="clear" w:color="auto" w:fill="DBDBDB"/>
          </w:tcPr>
          <w:p>
            <w:pPr>
              <w:spacing w:after="0"/>
              <w:rPr>
                <w:sz w:val="18"/>
                <w:szCs w:val="18"/>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w:t>
            </w:r>
          </w:p>
        </w:tc>
        <w:tc>
          <w:tcPr>
            <w:tcW w:w="100" w:type="dxa"/>
            <w:vAlign w:val="bottom"/>
            <w:shd w:val="clear" w:color="auto" w:fill="DBDBDB"/>
          </w:tcPr>
          <w:p>
            <w:pPr>
              <w:spacing w:after="0"/>
              <w:rPr>
                <w:sz w:val="18"/>
                <w:szCs w:val="18"/>
                <w:color w:val="auto"/>
              </w:rPr>
            </w:pP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 income, net</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(5,093)</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(1,269)</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(3,824)</w:t>
            </w:r>
          </w:p>
        </w:tc>
        <w:tc>
          <w:tcPr>
            <w:tcW w:w="0" w:type="dxa"/>
            <w:vAlign w:val="bottom"/>
          </w:tcPr>
          <w:p>
            <w:pPr>
              <w:spacing w:after="0"/>
              <w:rPr>
                <w:sz w:val="1"/>
                <w:szCs w:val="1"/>
                <w:color w:val="auto"/>
              </w:rPr>
            </w:pPr>
          </w:p>
        </w:tc>
      </w:tr>
      <w:tr>
        <w:trPr>
          <w:trHeight w:val="200"/>
        </w:trPr>
        <w:tc>
          <w:tcPr>
            <w:tcW w:w="5040" w:type="dxa"/>
            <w:vAlign w:val="bottom"/>
            <w:shd w:val="clear" w:color="auto" w:fill="DBDBDB"/>
          </w:tcPr>
          <w:p>
            <w:pPr>
              <w:ind w:left="440"/>
              <w:spacing w:after="0"/>
              <w:rPr>
                <w:sz w:val="20"/>
                <w:szCs w:val="20"/>
                <w:color w:val="auto"/>
              </w:rPr>
            </w:pPr>
            <w:r>
              <w:rPr>
                <w:rFonts w:ascii="Arial" w:cs="Arial" w:eastAsia="Arial" w:hAnsi="Arial"/>
                <w:sz w:val="15"/>
                <w:szCs w:val="15"/>
                <w:color w:val="auto"/>
              </w:rPr>
              <w:t>Operating income</w:t>
            </w:r>
          </w:p>
        </w:tc>
        <w:tc>
          <w:tcPr>
            <w:tcW w:w="1200" w:type="dxa"/>
            <w:vAlign w:val="bottom"/>
            <w:shd w:val="clear" w:color="auto" w:fill="DBDBDB"/>
          </w:tcPr>
          <w:p>
            <w:pPr>
              <w:spacing w:after="0"/>
              <w:rPr>
                <w:sz w:val="17"/>
                <w:szCs w:val="17"/>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229,570</w:t>
            </w:r>
          </w:p>
        </w:tc>
        <w:tc>
          <w:tcPr>
            <w:tcW w:w="100" w:type="dxa"/>
            <w:vAlign w:val="bottom"/>
            <w:shd w:val="clear" w:color="auto" w:fill="DBDBDB"/>
          </w:tcPr>
          <w:p>
            <w:pPr>
              <w:spacing w:after="0"/>
              <w:rPr>
                <w:sz w:val="17"/>
                <w:szCs w:val="17"/>
                <w:color w:val="auto"/>
              </w:rPr>
            </w:pPr>
          </w:p>
        </w:tc>
        <w:tc>
          <w:tcPr>
            <w:tcW w:w="12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145,899</w:t>
            </w:r>
          </w:p>
        </w:tc>
        <w:tc>
          <w:tcPr>
            <w:tcW w:w="100" w:type="dxa"/>
            <w:vAlign w:val="bottom"/>
            <w:shd w:val="clear" w:color="auto" w:fill="DBDBDB"/>
          </w:tcPr>
          <w:p>
            <w:pPr>
              <w:spacing w:after="0"/>
              <w:rPr>
                <w:sz w:val="17"/>
                <w:szCs w:val="17"/>
                <w:color w:val="auto"/>
              </w:rPr>
            </w:pPr>
          </w:p>
        </w:tc>
        <w:tc>
          <w:tcPr>
            <w:tcW w:w="1140" w:type="dxa"/>
            <w:vAlign w:val="bottom"/>
            <w:shd w:val="clear" w:color="auto" w:fill="DBDBDB"/>
          </w:tcPr>
          <w:p>
            <w:pPr>
              <w:spacing w:after="0"/>
              <w:rPr>
                <w:sz w:val="17"/>
                <w:szCs w:val="17"/>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83,671</w:t>
            </w:r>
          </w:p>
        </w:tc>
        <w:tc>
          <w:tcPr>
            <w:tcW w:w="0" w:type="dxa"/>
            <w:vAlign w:val="bottom"/>
          </w:tcPr>
          <w:p>
            <w:pPr>
              <w:spacing w:after="0"/>
              <w:rPr>
                <w:sz w:val="1"/>
                <w:szCs w:val="1"/>
                <w:color w:val="auto"/>
              </w:rPr>
            </w:pPr>
          </w:p>
        </w:tc>
      </w:tr>
      <w:tr>
        <w:trPr>
          <w:trHeight w:val="205"/>
        </w:trPr>
        <w:tc>
          <w:tcPr>
            <w:tcW w:w="5040" w:type="dxa"/>
            <w:vAlign w:val="bottom"/>
          </w:tcPr>
          <w:p>
            <w:pPr>
              <w:ind w:left="220"/>
              <w:spacing w:after="0"/>
              <w:rPr>
                <w:sz w:val="20"/>
                <w:szCs w:val="20"/>
                <w:color w:val="auto"/>
              </w:rPr>
            </w:pPr>
            <w:r>
              <w:rPr>
                <w:rFonts w:ascii="Arial" w:cs="Arial" w:eastAsia="Arial" w:hAnsi="Arial"/>
                <w:sz w:val="15"/>
                <w:szCs w:val="15"/>
                <w:color w:val="auto"/>
              </w:rPr>
              <w:t>Interest expense</w:t>
            </w:r>
          </w:p>
        </w:tc>
        <w:tc>
          <w:tcPr>
            <w:tcW w:w="1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64,564</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59,176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5,388</w:t>
            </w:r>
          </w:p>
        </w:tc>
        <w:tc>
          <w:tcPr>
            <w:tcW w:w="0" w:type="dxa"/>
            <w:vAlign w:val="bottom"/>
          </w:tcPr>
          <w:p>
            <w:pPr>
              <w:spacing w:after="0"/>
              <w:rPr>
                <w:sz w:val="1"/>
                <w:szCs w:val="1"/>
                <w:color w:val="auto"/>
              </w:rPr>
            </w:pPr>
          </w:p>
        </w:tc>
      </w:tr>
      <w:tr>
        <w:trPr>
          <w:trHeight w:val="207"/>
        </w:trPr>
        <w:tc>
          <w:tcPr>
            <w:tcW w:w="50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Fair value loss on common stock warrant liabilities</w:t>
            </w:r>
          </w:p>
        </w:tc>
        <w:tc>
          <w:tcPr>
            <w:tcW w:w="1200" w:type="dxa"/>
            <w:vAlign w:val="bottom"/>
            <w:shd w:val="clear" w:color="auto" w:fill="DBDBDB"/>
          </w:tcPr>
          <w:p>
            <w:pPr>
              <w:spacing w:after="0"/>
              <w:rPr>
                <w:sz w:val="18"/>
                <w:szCs w:val="18"/>
                <w:color w:val="auto"/>
              </w:rPr>
            </w:pPr>
          </w:p>
        </w:tc>
        <w:tc>
          <w:tcPr>
            <w:tcW w:w="90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spacing w:after="0"/>
              <w:rPr>
                <w:sz w:val="18"/>
                <w:szCs w:val="18"/>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5"/>
        </w:trPr>
        <w:tc>
          <w:tcPr>
            <w:tcW w:w="5040" w:type="dxa"/>
            <w:vAlign w:val="bottom"/>
          </w:tcPr>
          <w:p>
            <w:pPr>
              <w:ind w:left="240"/>
              <w:spacing w:after="0"/>
              <w:rPr>
                <w:sz w:val="20"/>
                <w:szCs w:val="20"/>
                <w:color w:val="auto"/>
              </w:rPr>
            </w:pPr>
            <w:r>
              <w:rPr>
                <w:rFonts w:ascii="Arial" w:cs="Arial" w:eastAsia="Arial" w:hAnsi="Arial"/>
                <w:sz w:val="15"/>
                <w:szCs w:val="15"/>
                <w:color w:val="auto"/>
              </w:rPr>
              <w:t>Loss on extinguishment of debt</w:t>
            </w:r>
          </w:p>
        </w:tc>
        <w:tc>
          <w:tcPr>
            <w:tcW w:w="12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5,999</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0"/>
        </w:trPr>
        <w:tc>
          <w:tcPr>
            <w:tcW w:w="5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Income before income tax</w:t>
            </w:r>
          </w:p>
        </w:tc>
        <w:tc>
          <w:tcPr>
            <w:tcW w:w="1200" w:type="dxa"/>
            <w:vAlign w:val="bottom"/>
            <w:tcBorders>
              <w:top w:val="single" w:sz="8" w:color="auto"/>
            </w:tcBorders>
            <w:shd w:val="clear" w:color="auto" w:fill="DBDBDB"/>
          </w:tcPr>
          <w:p>
            <w:pPr>
              <w:spacing w:after="0"/>
              <w:rPr>
                <w:sz w:val="17"/>
                <w:szCs w:val="17"/>
                <w:color w:val="auto"/>
              </w:rPr>
            </w:pPr>
          </w:p>
        </w:tc>
        <w:tc>
          <w:tcPr>
            <w:tcW w:w="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165,006</w:t>
            </w:r>
          </w:p>
        </w:tc>
        <w:tc>
          <w:tcPr>
            <w:tcW w:w="100" w:type="dxa"/>
            <w:vAlign w:val="bottom"/>
            <w:tcBorders>
              <w:top w:val="single" w:sz="8" w:color="DBDBDB"/>
            </w:tcBorders>
            <w:shd w:val="clear" w:color="auto" w:fill="DBDBDB"/>
          </w:tcPr>
          <w:p>
            <w:pPr>
              <w:spacing w:after="0"/>
              <w:rPr>
                <w:sz w:val="17"/>
                <w:szCs w:val="17"/>
                <w:color w:val="auto"/>
              </w:rPr>
            </w:pPr>
          </w:p>
        </w:tc>
        <w:tc>
          <w:tcPr>
            <w:tcW w:w="1280" w:type="dxa"/>
            <w:vAlign w:val="bottom"/>
            <w:tcBorders>
              <w:top w:val="single" w:sz="8" w:color="auto"/>
            </w:tcBorders>
            <w:shd w:val="clear" w:color="auto" w:fill="DBDBDB"/>
          </w:tcPr>
          <w:p>
            <w:pPr>
              <w:spacing w:after="0"/>
              <w:rPr>
                <w:sz w:val="17"/>
                <w:szCs w:val="17"/>
                <w:color w:val="auto"/>
              </w:rPr>
            </w:pPr>
          </w:p>
        </w:tc>
        <w:tc>
          <w:tcPr>
            <w:tcW w:w="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54,127</w:t>
            </w:r>
          </w:p>
        </w:tc>
        <w:tc>
          <w:tcPr>
            <w:tcW w:w="100" w:type="dxa"/>
            <w:vAlign w:val="bottom"/>
            <w:tcBorders>
              <w:top w:val="single" w:sz="8" w:color="DBDBDB"/>
            </w:tcBorders>
            <w:shd w:val="clear" w:color="auto" w:fill="DBDBDB"/>
          </w:tcPr>
          <w:p>
            <w:pPr>
              <w:spacing w:after="0"/>
              <w:rPr>
                <w:sz w:val="17"/>
                <w:szCs w:val="17"/>
                <w:color w:val="auto"/>
              </w:rPr>
            </w:pPr>
          </w:p>
        </w:tc>
        <w:tc>
          <w:tcPr>
            <w:tcW w:w="1140" w:type="dxa"/>
            <w:vAlign w:val="bottom"/>
            <w:tcBorders>
              <w:top w:val="single" w:sz="8" w:color="auto"/>
            </w:tcBorders>
            <w:shd w:val="clear" w:color="auto" w:fill="DBDBDB"/>
          </w:tcPr>
          <w:p>
            <w:pPr>
              <w:spacing w:after="0"/>
              <w:rPr>
                <w:sz w:val="17"/>
                <w:szCs w:val="17"/>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110,879</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Income tax expense</w:t>
            </w:r>
          </w:p>
        </w:tc>
        <w:tc>
          <w:tcPr>
            <w:tcW w:w="1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40,459</w:t>
            </w:r>
          </w:p>
        </w:tc>
        <w:tc>
          <w:tcPr>
            <w:tcW w:w="100" w:type="dxa"/>
            <w:vAlign w:val="bottom"/>
            <w:tcBorders>
              <w:bottom w:val="single" w:sz="8" w:color="DBDBDB"/>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29,309</w:t>
            </w:r>
          </w:p>
        </w:tc>
        <w:tc>
          <w:tcPr>
            <w:tcW w:w="100" w:type="dxa"/>
            <w:vAlign w:val="bottom"/>
            <w:tcBorders>
              <w:bottom w:val="single" w:sz="8" w:color="DBDBDB"/>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11,150</w:t>
            </w:r>
          </w:p>
        </w:tc>
        <w:tc>
          <w:tcPr>
            <w:tcW w:w="0" w:type="dxa"/>
            <w:vAlign w:val="bottom"/>
          </w:tcPr>
          <w:p>
            <w:pPr>
              <w:spacing w:after="0"/>
              <w:rPr>
                <w:sz w:val="1"/>
                <w:szCs w:val="1"/>
                <w:color w:val="auto"/>
              </w:rPr>
            </w:pPr>
          </w:p>
        </w:tc>
      </w:tr>
      <w:tr>
        <w:trPr>
          <w:trHeight w:val="224"/>
        </w:trPr>
        <w:tc>
          <w:tcPr>
            <w:tcW w:w="5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200" w:type="dxa"/>
            <w:vAlign w:val="bottom"/>
            <w:tcBorders>
              <w:bottom w:val="single" w:sz="8" w:color="auto"/>
            </w:tcBorders>
            <w:shd w:val="clear" w:color="auto" w:fill="DBDBDB"/>
          </w:tcPr>
          <w:p>
            <w:pPr>
              <w:jc w:val="right"/>
              <w:ind w:right="102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124,547</w:t>
            </w:r>
          </w:p>
        </w:tc>
        <w:tc>
          <w:tcPr>
            <w:tcW w:w="1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auto"/>
            </w:tcBorders>
            <w:shd w:val="clear" w:color="auto" w:fill="DBDBDB"/>
          </w:tcPr>
          <w:p>
            <w:pPr>
              <w:jc w:val="right"/>
              <w:ind w:right="1103"/>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24,818</w:t>
            </w:r>
          </w:p>
        </w:tc>
        <w:tc>
          <w:tcPr>
            <w:tcW w:w="100" w:type="dxa"/>
            <w:vAlign w:val="bottom"/>
            <w:tcBorders>
              <w:bottom w:val="single" w:sz="8" w:color="DBDBDB"/>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ind w:right="963"/>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99,729</w:t>
            </w:r>
          </w:p>
        </w:tc>
        <w:tc>
          <w:tcPr>
            <w:tcW w:w="0" w:type="dxa"/>
            <w:vAlign w:val="bottom"/>
          </w:tcPr>
          <w:p>
            <w:pPr>
              <w:spacing w:after="0"/>
              <w:rPr>
                <w:sz w:val="1"/>
                <w:szCs w:val="1"/>
                <w:color w:val="auto"/>
              </w:rPr>
            </w:pPr>
          </w:p>
        </w:tc>
      </w:tr>
      <w:tr>
        <w:trPr>
          <w:trHeight w:val="20"/>
        </w:trPr>
        <w:tc>
          <w:tcPr>
            <w:tcW w:w="504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80" w:type="dxa"/>
            <w:vAlign w:val="bottom"/>
            <w:tcBorders>
              <w:top w:val="single" w:sz="8" w:color="DBDBDB"/>
              <w:bottom w:val="single" w:sz="8" w:color="auto"/>
            </w:tcBorders>
          </w:tcPr>
          <w:p>
            <w:pPr>
              <w:spacing w:after="0" w:line="20" w:lineRule="exact"/>
              <w:rPr>
                <w:sz w:val="1"/>
                <w:szCs w:val="1"/>
                <w:color w:val="auto"/>
              </w:rPr>
            </w:pPr>
          </w:p>
        </w:tc>
        <w:tc>
          <w:tcPr>
            <w:tcW w:w="7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Comparison of Six Months Ended June 30, 2022 and 2021</w:t>
      </w:r>
    </w:p>
    <w:p>
      <w:pPr>
        <w:spacing w:after="0" w:line="6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$204.1 million, or 23.0%, to $1,090.5 million for the six months ended June 30, 2022 from $886.4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Leasing revenue increased $163.0 million, or 24.7%, as compared to the same period in 2021 driven by an increase of 35,501 average modular space and portable storage units on rent as a result of increased economic activity, acquisitions, and improved pricing and value added products. Delivery and installation revenues increased $50.5 million, or 28.8%, due to increased overall activity and increased pricing. Rental unit sales decreased $5.1 million, or 16.8%, and new unit sales decreased $4.3 million, or 19.5%.</w:t>
      </w:r>
    </w:p>
    <w:p>
      <w:pPr>
        <w:spacing w:after="0" w:line="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Total average units on rent for the six months ended June 30, 2022 and 2021 were 294,525 and 259,024, respectively. Modular space average units on rent increased 2,140 units, or 1.9%, for the six months ended June 30, 2022 as compared to the six months ended June 30, 2021. Modular space average monthly rental rates increased 18.9% to $836 for the six months ended June 30, 2022. Portable storage average units on rent increased by 33,361 units, or 22.4%, for the six months ended June 30, 2022. Average portable storage monthly rental rates increased 19.7% to $164 for the six months ended June 30, 2022. The average modular space unit utilization rate during the six months ended June 30, 2022 was 68.9%, as compared to 70.3% during the same period in 2021. The average portable storage unit utilization rate during the six months ended June 30, 2022 was 85.0%, as compared to 76.1% during the same period in 2021.</w:t>
      </w:r>
    </w:p>
    <w:p>
      <w:pPr>
        <w:spacing w:after="0" w:line="61"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Our gross profit percentage was 52.8% and 49.2% for the six months ended June 30, 2022 and 2021, respectively. Our adjusted gross profit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percentage, which excludes the effects of depreciation, was 64.7% and 62.6% for the six months ended June 30, 2022 and 2021, respectively. Gross profit increased $139.5 million, or 32.0%, to $575.7 million for the six months ended June 30, 2022 from $436.2 million for the six months ended June 30, 2021. The increase in gross profit was a result of a $130.1 million increase in leasing gross profit and increased delivery and installation gross profit of $22.7 million, partially offset by decreased new and rental unit sale margins of $2.5 million. The increases in leasing gross profit and delivery and installation gross profit were driven by favorable average monthly rental rates on modular space and portable storage units, increased pricing on delivery and installation, as well as due to higher units on rent and increased activity levels driving higher delivery and installation revenues. Depreciation increased to $129.4 million as a result of fleet acquired through acquisitions and capital investments made in our existing rental equipment.</w:t>
      </w:r>
    </w:p>
    <w:p>
      <w:pPr>
        <w:spacing w:after="0" w:line="6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SG&amp;A: </w:t>
      </w:r>
      <w:r>
        <w:rPr>
          <w:rFonts w:ascii="Arial" w:cs="Arial" w:eastAsia="Arial" w:hAnsi="Arial"/>
          <w:sz w:val="15"/>
          <w:szCs w:val="15"/>
          <w:color w:val="auto"/>
        </w:rPr>
        <w:t>SG&amp;A increased $72.7 million, or 30.3%, to $312.4 million for the six months ended June 30, 2022, compared to $239.7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Employee costs excluding stock compensation increased $32.0 million, or 29.5%, driven by recent investments in new roles to fund both organic and inorganic growth, and increased variable compensation as a result of the growth achieved. Stock compensation expense increased $7.5 million to $15.7 million for the six months ended June 30, 2022, compared to $8.2 million for the six months ended June 30, 2021. Integration costs decreased $5.7 million to $9.3 million for the six months ended June 30, 2022, compared to $15.0 million for the six months ended June 30, 2021. The remaining increases were primarily driven by increased economic activity, including increased occupancy and office costs, legal and professional fees, travel expenses and marketing cost increases.</w:t>
      </w:r>
    </w:p>
    <w:p>
      <w:pPr>
        <w:spacing w:after="0" w:line="7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Other Depreciation and Amortization: </w:t>
      </w:r>
      <w:r>
        <w:rPr>
          <w:rFonts w:ascii="Arial" w:cs="Arial" w:eastAsia="Arial" w:hAnsi="Arial"/>
          <w:sz w:val="15"/>
          <w:szCs w:val="15"/>
          <w:color w:val="auto"/>
        </w:rPr>
        <w:t>Other depreciation and amortization decreased $1.2 million to $38.7 million for the six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2022 compared to $39.9 million for the six months ended June 30, 2021.</w:t>
      </w:r>
    </w:p>
    <w:p>
      <w:pPr>
        <w:spacing w:after="0" w:line="5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Lease Impairment Expense and Other Related Charges: </w:t>
      </w:r>
      <w:r>
        <w:rPr>
          <w:rFonts w:ascii="Arial" w:cs="Arial" w:eastAsia="Arial" w:hAnsi="Arial"/>
          <w:sz w:val="15"/>
          <w:szCs w:val="15"/>
          <w:color w:val="auto"/>
        </w:rPr>
        <w:t>Lease impairment expense and other related charges was $0.3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2022 as compared to $1.7 million for the six months ended June 30, 2021.</w:t>
      </w:r>
    </w:p>
    <w:p>
      <w:pPr>
        <w:spacing w:after="0" w:line="42"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Restructuring Costs: </w:t>
      </w:r>
      <w:r>
        <w:rPr>
          <w:rFonts w:ascii="Arial" w:cs="Arial" w:eastAsia="Arial" w:hAnsi="Arial"/>
          <w:sz w:val="15"/>
          <w:szCs w:val="15"/>
          <w:color w:val="auto"/>
        </w:rPr>
        <w:t>In the six months ended June 30, 2021, the Company recorded $10.1 million of restructuring costs primarily as a result of employee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termination costs from the elimination of positions due to the Merger. Employee termination costs of $5.8 million were settled in stock, which is non-cash, non-recurring and not included in stock compensation expense.</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Currency Losses, Net: </w:t>
      </w:r>
      <w:r>
        <w:rPr>
          <w:rFonts w:ascii="Arial" w:cs="Arial" w:eastAsia="Arial" w:hAnsi="Arial"/>
          <w:sz w:val="15"/>
          <w:szCs w:val="15"/>
          <w:color w:val="auto"/>
        </w:rPr>
        <w:t>Currency losses, net decreased by $0.1 million to $0 for the six months ended June 30, 2022 from $0.1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This decrease was primarily attributable to the impact of foreign currency exchanges rate changes on intercompany receivables and payables denominated in a currency other than the subsidiary's functional currency.</w:t>
      </w:r>
    </w:p>
    <w:p>
      <w:pPr>
        <w:spacing w:after="0" w:line="17"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b w:val="1"/>
          <w:bCs w:val="1"/>
          <w:i w:val="1"/>
          <w:iCs w:val="1"/>
          <w:color w:val="auto"/>
        </w:rPr>
        <w:t xml:space="preserve">Other Income, Net: </w:t>
      </w:r>
      <w:r>
        <w:rPr>
          <w:rFonts w:ascii="Arial" w:cs="Arial" w:eastAsia="Arial" w:hAnsi="Arial"/>
          <w:sz w:val="15"/>
          <w:szCs w:val="15"/>
          <w:color w:val="auto"/>
        </w:rPr>
        <w:t>Other income, net was $5.1 million for the six months ended June 30, 2022 compared to $1.3 million for the six months ended June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30, 2021. The increase was primarily attributable to insurance proceeds received related to Hurricane Ida in the Gulf Coast area of the United States.</w:t>
      </w: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Interest Expense: </w:t>
      </w:r>
      <w:r>
        <w:rPr>
          <w:rFonts w:ascii="Arial" w:cs="Arial" w:eastAsia="Arial" w:hAnsi="Arial"/>
          <w:sz w:val="15"/>
          <w:szCs w:val="15"/>
          <w:color w:val="auto"/>
        </w:rPr>
        <w:t>Interest expense increased $5.4 million to $64.6 million for the six months ended June 30, 2022 from $59.2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due to both an increase in outstanding borrowings and an increase in the weighted average interest rate for borrowings under the ABL Facility prior to the June 30, 2022 amendment to the credit facility. See Note 9 to the condensed consolidated financial statements for further discussion of our debt.</w:t>
      </w:r>
    </w:p>
    <w:p>
      <w:pPr>
        <w:spacing w:after="0" w:line="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Fair Value Loss on Common Stock Warrant Liabilities: </w:t>
      </w:r>
      <w:r>
        <w:rPr>
          <w:rFonts w:ascii="Arial" w:cs="Arial" w:eastAsia="Arial" w:hAnsi="Arial"/>
          <w:sz w:val="15"/>
          <w:szCs w:val="15"/>
          <w:color w:val="auto"/>
        </w:rPr>
        <w:t>The fair value loss on common stock warrant liabilities was $26.6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primarily due to the change in estimated fair value of common stock warrant liabilities. Subsequent to May 2021, no 2015 Private Warrants were outstanding, and as a result, there was no fair value loss on common stock warrant liabilities recorded for the six months ended June 30, 2022.</w:t>
      </w:r>
    </w:p>
    <w:p>
      <w:pPr>
        <w:spacing w:after="0" w:line="17"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Loss on Extinguishment of Debt: </w:t>
      </w:r>
      <w:r>
        <w:rPr>
          <w:rFonts w:ascii="Arial" w:cs="Arial" w:eastAsia="Arial" w:hAnsi="Arial"/>
          <w:sz w:val="15"/>
          <w:szCs w:val="15"/>
          <w:color w:val="auto"/>
        </w:rPr>
        <w:t>During the six months ended June 30, 2021, the Company redeemed $123.5 million of the outstanding principal of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2025 Secured Notes and recorded a loss on extinguishment of debt of $6.0 million. There was no similar transaction in the six months ended June 30, 2022.</w:t>
      </w:r>
    </w:p>
    <w:p>
      <w:pPr>
        <w:spacing w:after="0" w:line="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Income tax expense increased $11.2 million to expense of $40.5 million for the six months ended June 30, 2022 compared to $29.3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for the six months ended June 30, 2021. The increase in expense was driven by the pre-tax income increase for the six months ended June 30, 2022. The tax expense for the six months ended June 30, 2021 included the impact of the UK statutory rate increase enactment.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1D2758"/>
        </w:rPr>
        <w:t>Business Segment Results</w:t>
      </w:r>
    </w:p>
    <w:p>
      <w:pPr>
        <w:spacing w:after="0" w:line="127"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operates in four reportable segments as follows: NA Modular, NA Storage, UK Storage and Tank and Pump. NA Modular represents the activities of the North American modular business. NA Storage represents the activities of the North American portable storage business. UK Storage represents the results of all modular and portable storage operations in the UK. Tank and Pump represents the results of all operations for Tank and Pump services. During the third quarter of 2021, the majority of the portable storage product business within the NA Modular segment was transitioned to the NA Storage segment, and associated revenues, expenses, and operating metrics beginning in the third quarter of 2021 were transferred to the NA Storage segment, representing a shift of approximately $5.0 million of revenue and gross margin per quarter from the NA Modular segment to the NA Storage segment. This adjustment was not made to the historical segment results of prior periods, given its relative immateriality.</w:t>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and discussion summarize our reportable segment financial information for the three and six months ended June 30, 2022 and 2021.</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Three Months Ended June 30,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60" w:type="dxa"/>
            <w:vAlign w:val="bottom"/>
            <w:gridSpan w:val="5"/>
            <w:shd w:val="clear" w:color="auto" w:fill="1D2758"/>
          </w:tcPr>
          <w:p>
            <w:pPr>
              <w:jc w:val="right"/>
              <w:ind w:right="883"/>
              <w:spacing w:after="0"/>
              <w:rPr>
                <w:sz w:val="20"/>
                <w:szCs w:val="20"/>
                <w:color w:val="auto"/>
              </w:rPr>
            </w:pPr>
            <w:r>
              <w:rPr>
                <w:rFonts w:ascii="Arial" w:cs="Arial" w:eastAsia="Arial" w:hAnsi="Arial"/>
                <w:sz w:val="15"/>
                <w:szCs w:val="15"/>
                <w:b w:val="1"/>
                <w:bCs w:val="1"/>
                <w:color w:val="FFFFFF"/>
              </w:rPr>
              <w:t>Three Months Ended June 30, 2022</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Tank and Pump</w:t>
            </w:r>
          </w:p>
        </w:tc>
        <w:tc>
          <w:tcPr>
            <w:tcW w:w="38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38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347,670</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175,220</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26,666</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32,086</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581,642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153,808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121,404</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17,089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16,572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308,873</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127,881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80,762</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12,230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12,462</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233,335</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82,482</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34,282</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7,604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5,785</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130,153</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86,558</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18,057</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8,387</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113,002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74.2 %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71.0 %</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68.8 %</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931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683</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409</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853</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80" w:type="dxa"/>
            <w:vAlign w:val="bottom"/>
          </w:tcPr>
          <w:p>
            <w:pPr>
              <w:spacing w:after="0"/>
              <w:rPr>
                <w:sz w:val="17"/>
                <w:szCs w:val="17"/>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476</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155,721</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27,595</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183,792</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53.7 %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85.5 %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89.8 %</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86.0 %</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211</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186</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93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172</w:t>
            </w:r>
          </w:p>
        </w:tc>
        <w:tc>
          <w:tcPr>
            <w:tcW w:w="0" w:type="dxa"/>
            <w:vAlign w:val="bottom"/>
          </w:tcPr>
          <w:p>
            <w:pPr>
              <w:spacing w:after="0"/>
              <w:rPr>
                <w:sz w:val="1"/>
                <w:szCs w:val="1"/>
                <w:color w:val="auto"/>
              </w:rPr>
            </w:pPr>
          </w:p>
        </w:tc>
      </w:tr>
      <w:tr>
        <w:trPr>
          <w:trHeight w:val="156"/>
        </w:trPr>
        <w:tc>
          <w:tcPr>
            <w:tcW w:w="38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Average tank and pump solutions rental fleet utilization</w:t>
            </w:r>
          </w:p>
        </w:tc>
        <w:tc>
          <w:tcPr>
            <w:tcW w:w="1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75.7 %</w:t>
            </w:r>
          </w:p>
        </w:tc>
        <w:tc>
          <w:tcPr>
            <w:tcW w:w="38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75.7 %</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1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40" w:type="dxa"/>
            <w:vAlign w:val="bottom"/>
            <w:vMerge w:val="continue"/>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800" w:type="dxa"/>
            <w:vAlign w:val="bottom"/>
            <w:shd w:val="clear" w:color="auto" w:fill="1D2758"/>
          </w:tcPr>
          <w:p>
            <w:pPr>
              <w:spacing w:after="0"/>
              <w:rPr>
                <w:sz w:val="17"/>
                <w:szCs w:val="17"/>
                <w:color w:val="auto"/>
              </w:rPr>
            </w:pP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60" w:type="dxa"/>
            <w:vAlign w:val="bottom"/>
            <w:gridSpan w:val="5"/>
            <w:shd w:val="clear" w:color="auto" w:fill="1D2758"/>
          </w:tcPr>
          <w:p>
            <w:pPr>
              <w:jc w:val="right"/>
              <w:ind w:right="863"/>
              <w:spacing w:after="0"/>
              <w:rPr>
                <w:sz w:val="20"/>
                <w:szCs w:val="20"/>
                <w:color w:val="auto"/>
              </w:rPr>
            </w:pPr>
            <w:r>
              <w:rPr>
                <w:rFonts w:ascii="Arial" w:cs="Arial" w:eastAsia="Arial" w:hAnsi="Arial"/>
                <w:sz w:val="15"/>
                <w:szCs w:val="15"/>
                <w:b w:val="1"/>
                <w:bCs w:val="1"/>
                <w:color w:val="FFFFFF"/>
              </w:rPr>
              <w:t>Three Months Ended June 30, 2021</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20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7"/>
                <w:szCs w:val="17"/>
                <w:color w:val="auto"/>
              </w:rPr>
            </w:pPr>
          </w:p>
        </w:tc>
        <w:tc>
          <w:tcPr>
            <w:tcW w:w="1260" w:type="dxa"/>
            <w:vAlign w:val="bottom"/>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Tank and Pump</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289,382</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115,794</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28,432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27,494</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461,102</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116,136</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75,721</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17,937</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13,016</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222,810</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103,545</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49,526</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12,328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10,096</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175,495</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49,364</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8,773</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4,226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2,919</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65,282</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84,754</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16,360</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9,354</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110,468</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67.7 %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78.4 %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84.3 %</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70.3 %</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20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801</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573</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438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736</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20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13,301</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112,862</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25,573</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151,736</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20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69.8 %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76.1 %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91.8 %</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77.7 %</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200" w:type="dxa"/>
            <w:vAlign w:val="bottom"/>
          </w:tcPr>
          <w:p>
            <w:pPr>
              <w:jc w:val="right"/>
              <w:ind w:right="23"/>
              <w:spacing w:after="0"/>
              <w:rPr>
                <w:sz w:val="20"/>
                <w:szCs w:val="20"/>
                <w:color w:val="auto"/>
              </w:rPr>
            </w:pPr>
            <w:r>
              <w:rPr>
                <w:rFonts w:ascii="Arial" w:cs="Arial" w:eastAsia="Arial" w:hAnsi="Arial"/>
                <w:sz w:val="15"/>
                <w:szCs w:val="15"/>
                <w:color w:val="auto"/>
                <w:w w:val="95"/>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133</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151</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88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56"/>
        </w:trPr>
        <w:tc>
          <w:tcPr>
            <w:tcW w:w="38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Average tank and pump solutions rental fleet utilization</w:t>
            </w:r>
          </w:p>
        </w:tc>
        <w:tc>
          <w:tcPr>
            <w:tcW w:w="20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38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71.2 %</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20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40" w:type="dxa"/>
            <w:vAlign w:val="bottom"/>
            <w:vMerge w:val="continue"/>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12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$58.3 million, or 20.1%, to $347.7 million for the three months ended June 30, 2022 from $289.4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The increase was primarily the result of a $34.4 million, or 15.8%, increase in leasing revenue, an $18.8 million, or 34.2%, increase in modular delivery and installation revenue, a $3.4 million, or 34.0%, increase in rental unit sales revenue and a $1.6 million, or 23.2%, increase in new unit sales. The increases to leasing revenue and delivery and installation revenues were partially offset by declines in revenues for portable storage units as a result of transitioning the majority of the portable storage product business within the NA Modular segment to the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5"/>
          <w:szCs w:val="15"/>
          <w:color w:val="auto"/>
        </w:rPr>
        <w:t>Storage segment during the third quarter of 2021. Approximately 12,000 units were transferred during the third quarter of 2021 to the NA Storage segment, reallocating approximately $5.0 million of revenue from the NA Modular segment to the NA Storage segment relative to the three months ended June 30, 2021. Average modular space monthly rental rates increased 16.2% for the three months ended June 30, 2022 to $931 driven by the continuation of our long-term price optimization initiative and VAPS penetration opportunities across our portfolio. Average modular space units on rent increased by 1,804 units, or 2.1%, year over year.</w:t>
      </w:r>
    </w:p>
    <w:p>
      <w:pPr>
        <w:spacing w:after="0" w:line="24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$37.7 million, or 32.5%, to $153.8 million for the three months ended June 30, 2022 from $116.1 million for the three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Gross profit percentage increased 410 bps to 44.2%. The increase in gross profit was driven by higher leasing gross profit, which increased $27.9 million, or 17.9%, driven by improved pricing including VAPS. The increase in gross profit from leasing for the three months ended June 30, 2022 was further complemented by an $11.0 million increase in delivery and installation gross profit, a $1.6 million increase in rental unit sales gross profit, and a $1.8 million increase in new unit sales gross profit. These increases were partially offset by a $4.6 million increase in depreciation of rental equipment related to capital investments made in our existing rental equipment and additional depreciation from recent acquisitions.</w:t>
      </w:r>
    </w:p>
    <w:p>
      <w:pPr>
        <w:spacing w:after="0" w:line="6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$24.4 million, or 23.6%, to $127.9 million for the three months ended June 30, 2022 from $103.5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2021. Adjusted EBITDA margin percentage increased 100 bps to 36.8%. The increase was driven by higher leasing gross profit discussed above. SG&amp;A, excluding discrete items, increased $22.0 million, or 34.7%, for the three months ended June 30, 2022, as compared to the three months ended June 30, 2021 driven primarily by increased costs for personnel, including commissions and other variable compensation, the return of more normal travel expenses, and increased subscription, legal and professional fees.</w:t>
      </w:r>
    </w:p>
    <w:p>
      <w:pPr>
        <w:spacing w:after="0" w:line="58"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$33.1 million, or 67.0%, to $82.5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three months ended June 30, 2022 from $49.4 million for the three months ended June 30, 2021. Net CAPEX increased $34.5 million, or 90.1%, to $72.8 million. These increases were driven by increased refurbishments, and increased new fleet and VAPS purchases.</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122"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$59.4 million, or 51.3%, to $175.2 million for the three months ended June 30, 2022 from $115.8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June 30, 2021. Leasing revenues increased $48.3 million in the current quarter compared to the prior-year quarter. Modular space average units on rent increased 10.4% and average modular space monthly rental rates increased 19.2% year-over-year driven primarily by increased pricing on new deliveries. Portable storage units on rent increased 42,859, or 38.0%, driven by increased organic economic activity (approximately 12,000 units on rent increase) and acquisitions (approximately 18,700 units on rent increase), and due to the transfer of approximately 12,000 portable storage units on rent from the NA Modular segment, which occurred in the third quarter of 2021. Combined, average portable storage units on rent for the NA Storage and NA Modular segments increased approximately 30,034 units, or 23.8%. Average portable storage monthly rental rates increased 23.2% year-over-year also as a result of increased pricing on new deliveries. Delivery and installation revenues increased $13.7 million year-over-year driven by the increase in overall volumes. Sales revenues decreased $2.6 million compared to the prior-year quarter.</w:t>
      </w:r>
    </w:p>
    <w:p>
      <w:pPr>
        <w:spacing w:after="0" w:line="248"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by $45.7 million, or 60.4%, to $121.4 million for the three months ended June 30, 2022 compared to $75.7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June 30, 2021. Gross profit percentage increased 390 bps to 69.3%. Gross profit on leasing activity increased by $40.7 million year-over-year driven both by increased volume and pricing as described above. For delivery and installation, gross profit increased $6.8 million. Sales gross profit decreased by $1.5 million to $1.1 million.</w:t>
      </w:r>
    </w:p>
    <w:p>
      <w:pPr>
        <w:spacing w:after="0" w:line="52"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$31.3 million, or 63.2%, to $80.8 million for the three months ended June 30, 2022 from $49.5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June 30, 2021. Adjusted EBITDA margin percentage increased 332 bps to 46.1%. The increase in Adjusted EBITDA was driven primarily by increased leasing gross profit as described above, partially offset by increased SG&amp;A. Excluding acquisition costs and stock-based compensation, SG&amp;A increased $14.8 million in this segment. The increase was comprised of increased costs for personnel, including commissions and other variable compensation to support increased commercial activity, the return of more normal travel expenses, and increased subscription and professional fees.</w:t>
      </w:r>
    </w:p>
    <w:p>
      <w:pPr>
        <w:spacing w:after="0" w:line="7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$25.5 million, or 289.8%, to $34.3 million for</w:t>
      </w:r>
      <w:r>
        <w:rPr>
          <w:rFonts w:ascii="Arial" w:cs="Arial" w:eastAsia="Arial" w:hAnsi="Arial"/>
          <w:sz w:val="15"/>
          <w:szCs w:val="15"/>
          <w:b w:val="1"/>
          <w:bCs w:val="1"/>
          <w:color w:val="auto"/>
        </w:rPr>
        <w:t xml:space="preserve"> </w:t>
      </w:r>
      <w:r>
        <w:rPr>
          <w:rFonts w:ascii="Arial" w:cs="Arial" w:eastAsia="Arial" w:hAnsi="Arial"/>
          <w:sz w:val="15"/>
          <w:szCs w:val="15"/>
          <w:color w:val="auto"/>
        </w:rPr>
        <w:t>the three months ended June 30, 2022 from $8.8 million for the three months ended June 30, 2021. Net CAPEX decreased $1.8 million, or 6.5%, to $25.7 million. The increase in purchases of rental equipment and refurbishments was driven primarily by increased purchases of portable storage containers during the period to support organic growth.</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122"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decreased $1.7 million, or 6.0%, to $26.7 million for the three months ended June 30, 2022 from $28.4 million for the three months</w:t>
      </w:r>
      <w:r>
        <w:rPr>
          <w:rFonts w:ascii="Arial" w:cs="Arial" w:eastAsia="Arial" w:hAnsi="Arial"/>
          <w:sz w:val="15"/>
          <w:szCs w:val="15"/>
          <w:b w:val="1"/>
          <w:bCs w:val="1"/>
          <w:color w:val="auto"/>
        </w:rPr>
        <w:t xml:space="preserve"> </w:t>
      </w:r>
      <w:r>
        <w:rPr>
          <w:rFonts w:ascii="Arial" w:cs="Arial" w:eastAsia="Arial" w:hAnsi="Arial"/>
          <w:sz w:val="15"/>
          <w:szCs w:val="15"/>
          <w:color w:val="auto"/>
        </w:rPr>
        <w:t>ended June 30, 2021. In local currency total revenues increased 4.4%. Leasing revenues decreased $0.8 million in the current quarter compared to the prior-year quarter. Modular space average units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5" w:right="3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5"/>
          <w:szCs w:val="15"/>
          <w:color w:val="auto"/>
        </w:rPr>
        <w:t>rent decreased 10.3%, while portable storage units on rent increased 7.9%. Average monthly rental rates for modular space units decreased 6.6% and average monthly rental rates for portable storage units increased 5.7% year-over-year, including the impacts of currency fluctuations. In local currency, average monthly rental rates for modular space units increased 3.8% and average monthly rental rates for portable storage increased 17.5% year-over-year. Delivery and installation revenues decreased $0.5 million year-over-year. Sales revenues decreased $0.4 million compared to the prior-year quarter.</w:t>
      </w:r>
    </w:p>
    <w:p>
      <w:pPr>
        <w:spacing w:after="0" w:line="70"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decreased $0.8 million, or 4.5%, for the three months ended June 30, 2022 to $17.1 million from $17.9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June 30, 2021. In local currency, gross profit increased $0.8 million, or 6.0%.</w:t>
      </w:r>
    </w:p>
    <w:p>
      <w:pPr>
        <w:spacing w:after="0" w:line="3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decreased $0.1 million, or 0.8%, to $12.2 million for three months ended June 30, 2022 from $12.3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June 30, 2021 and the Adjusted EBITDA margin percentage expanded to 45.7% from 41.0%. The decrease results primarily from the unfavorable gross profit discussed above, partially offset by decreased SG&amp;A of $0.9 million. In local currency, Adjusted EBITDA increased $0.9 million, or 10.4%.</w:t>
      </w:r>
    </w:p>
    <w:p>
      <w:pPr>
        <w:spacing w:after="0" w:line="60"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$3.4 million, or 81.0%, to $7.6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June 30, 2022 from $4.2 million for the three months ended June 30, 2021. Net CAPEX decreased $1.7 million, or 27.9%, to $4.4 million. The increase in purchases of rental equipment and refurbishments was driven primarily by increased purchases of portable storage containers during the period to support organic growth.</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Tank &amp; Pump</w:t>
      </w:r>
    </w:p>
    <w:p>
      <w:pPr>
        <w:spacing w:after="0" w:line="10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5"/>
          <w:szCs w:val="15"/>
          <w:b w:val="1"/>
          <w:bCs w:val="1"/>
          <w:color w:val="auto"/>
        </w:rPr>
        <w:t xml:space="preserve">Revenue: </w:t>
      </w:r>
      <w:r>
        <w:rPr>
          <w:rFonts w:ascii="Arial" w:cs="Arial" w:eastAsia="Arial" w:hAnsi="Arial"/>
          <w:sz w:val="15"/>
          <w:szCs w:val="15"/>
          <w:color w:val="auto"/>
        </w:rPr>
        <w:t>Total revenue increased $4.6 million, or 16.7%, to $32.1 million for the three months ended June 30, 2022 from $27.5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June 30, 2021. This increase was driven by increased average original equipment cost ("OEC") rental fleet utilization, which increased 450 bps to 75.7% for the three months ended June 30, 2022 from 71.2% for the three months ended June 30, 2021.</w:t>
      </w:r>
    </w:p>
    <w:p>
      <w:pPr>
        <w:spacing w:after="0" w:line="60"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b w:val="1"/>
          <w:bCs w:val="1"/>
          <w:color w:val="auto"/>
        </w:rPr>
        <w:t xml:space="preserve">Gross Profit: </w:t>
      </w:r>
      <w:r>
        <w:rPr>
          <w:rFonts w:ascii="Arial" w:cs="Arial" w:eastAsia="Arial" w:hAnsi="Arial"/>
          <w:sz w:val="15"/>
          <w:szCs w:val="15"/>
          <w:color w:val="auto"/>
        </w:rPr>
        <w:t>Gross profit increased $3.6 million, or 27.7%, for the three months ended June 30, 2022 to $16.6 million from $13.0 million for the three</w:t>
      </w:r>
      <w:r>
        <w:rPr>
          <w:rFonts w:ascii="Arial" w:cs="Arial" w:eastAsia="Arial" w:hAnsi="Arial"/>
          <w:sz w:val="15"/>
          <w:szCs w:val="15"/>
          <w:b w:val="1"/>
          <w:bCs w:val="1"/>
          <w:color w:val="auto"/>
        </w:rPr>
        <w:t xml:space="preserve"> </w:t>
      </w:r>
      <w:r>
        <w:rPr>
          <w:rFonts w:ascii="Arial" w:cs="Arial" w:eastAsia="Arial" w:hAnsi="Arial"/>
          <w:sz w:val="15"/>
          <w:szCs w:val="15"/>
          <w:color w:val="auto"/>
        </w:rPr>
        <w:t>months ended June 30, 2021. This increase was driven by increased gross profit for leasing activity, which increased $3.3 million driven by the increased revenue as discussed above.</w:t>
      </w:r>
    </w:p>
    <w:p>
      <w:pPr>
        <w:spacing w:after="0" w:line="67"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5"/>
          <w:szCs w:val="15"/>
          <w:b w:val="1"/>
          <w:bCs w:val="1"/>
          <w:color w:val="auto"/>
        </w:rPr>
        <w:t xml:space="preserve">Adjusted EBITDA: </w:t>
      </w:r>
      <w:r>
        <w:rPr>
          <w:rFonts w:ascii="Arial" w:cs="Arial" w:eastAsia="Arial" w:hAnsi="Arial"/>
          <w:sz w:val="15"/>
          <w:szCs w:val="15"/>
          <w:color w:val="auto"/>
        </w:rPr>
        <w:t>Adjusted EBITDA increased $2.4 million, or 23.8%, to $12.5 million for the three months ended June 30, 2022 from $10.1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June 30, 2021 and the Adjusted EBITDA margin percentage expanded to 38.8% from 36.7%. The increase in Adjusted EBITDA was driven by the increased gross profit discussed above, partially offset by a $0.7 million increase in SG&amp;A driven primarily by increased personnel costs, including commissions and other variable compensation.</w:t>
      </w:r>
    </w:p>
    <w:p>
      <w:pPr>
        <w:spacing w:after="0" w:line="56" w:lineRule="exact"/>
        <w:rPr>
          <w:sz w:val="20"/>
          <w:szCs w:val="20"/>
          <w:color w:val="auto"/>
        </w:rPr>
      </w:pPr>
    </w:p>
    <w:p>
      <w:pPr>
        <w:jc w:val="both"/>
        <w:ind w:firstLine="619"/>
        <w:spacing w:after="0" w:line="278" w:lineRule="auto"/>
        <w:rPr>
          <w:sz w:val="20"/>
          <w:szCs w:val="20"/>
          <w:color w:val="auto"/>
        </w:rPr>
      </w:pPr>
      <w:r>
        <w:rPr>
          <w:rFonts w:ascii="Arial" w:cs="Arial" w:eastAsia="Arial" w:hAnsi="Arial"/>
          <w:sz w:val="15"/>
          <w:szCs w:val="15"/>
          <w:b w:val="1"/>
          <w:bCs w:val="1"/>
          <w:color w:val="auto"/>
        </w:rPr>
        <w:t xml:space="preserve">Capital Expenditures for Rental Equipment: </w:t>
      </w:r>
      <w:r>
        <w:rPr>
          <w:rFonts w:ascii="Arial" w:cs="Arial" w:eastAsia="Arial" w:hAnsi="Arial"/>
          <w:sz w:val="15"/>
          <w:szCs w:val="15"/>
          <w:color w:val="auto"/>
        </w:rPr>
        <w:t>Purchases of rental equipment and refurbishments increased $2.9 million, or 100.0%, to $5.8 million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three months ended June 30, 2022 from $2.9 million for the three months ended June 30, 2021. Net CAPEX increased $2.6 million, or 86.7%, to $5.6 million. These increases were driven primarily by increased purchases of rental fleet during the period to support organic growth given high utilization, as well as by reduced proceeds from sales of units from the rental fleet units given high utilization.</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Six Months Ended June 30, 2022 and 2021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7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180" w:type="dxa"/>
            <w:vAlign w:val="bottom"/>
            <w:gridSpan w:val="5"/>
            <w:shd w:val="clear" w:color="auto" w:fill="1D2758"/>
          </w:tcPr>
          <w:p>
            <w:pPr>
              <w:jc w:val="right"/>
              <w:ind w:right="843"/>
              <w:spacing w:after="0"/>
              <w:rPr>
                <w:sz w:val="20"/>
                <w:szCs w:val="20"/>
                <w:color w:val="auto"/>
              </w:rPr>
            </w:pPr>
            <w:r>
              <w:rPr>
                <w:rFonts w:ascii="Arial" w:cs="Arial" w:eastAsia="Arial" w:hAnsi="Arial"/>
                <w:sz w:val="15"/>
                <w:szCs w:val="15"/>
                <w:b w:val="1"/>
                <w:bCs w:val="1"/>
                <w:color w:val="FFFFFF"/>
              </w:rPr>
              <w:t>Six Months Ended June 30, 2022</w:t>
            </w:r>
          </w:p>
        </w:tc>
        <w:tc>
          <w:tcPr>
            <w:tcW w:w="56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8"/>
                <w:szCs w:val="18"/>
                <w:color w:val="auto"/>
              </w:rPr>
            </w:pPr>
          </w:p>
        </w:tc>
        <w:tc>
          <w:tcPr>
            <w:tcW w:w="124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63"/>
              <w:spacing w:after="0"/>
              <w:rPr>
                <w:sz w:val="20"/>
                <w:szCs w:val="20"/>
                <w:color w:val="auto"/>
              </w:rPr>
            </w:pPr>
            <w:r>
              <w:rPr>
                <w:rFonts w:ascii="Arial" w:cs="Arial" w:eastAsia="Arial" w:hAnsi="Arial"/>
                <w:sz w:val="15"/>
                <w:szCs w:val="15"/>
                <w:b w:val="1"/>
                <w:bCs w:val="1"/>
                <w:color w:val="FFFFFF"/>
              </w:rPr>
              <w:t>Tank and Pump</w:t>
            </w:r>
          </w:p>
        </w:tc>
        <w:tc>
          <w:tcPr>
            <w:tcW w:w="56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37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4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56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647,356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326,704</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54,106</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62,370</w:t>
            </w:r>
          </w:p>
        </w:tc>
        <w:tc>
          <w:tcPr>
            <w:tcW w:w="56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1,090,536</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282,739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226,534</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83"/>
              <w:spacing w:after="0"/>
              <w:rPr>
                <w:sz w:val="20"/>
                <w:szCs w:val="20"/>
                <w:color w:val="auto"/>
              </w:rPr>
            </w:pPr>
            <w:r>
              <w:rPr>
                <w:rFonts w:ascii="Arial" w:cs="Arial" w:eastAsia="Arial" w:hAnsi="Arial"/>
                <w:sz w:val="15"/>
                <w:szCs w:val="15"/>
                <w:color w:val="auto"/>
              </w:rPr>
              <w:t>35,010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31,405</w:t>
            </w:r>
          </w:p>
        </w:tc>
        <w:tc>
          <w:tcPr>
            <w:tcW w:w="5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575,688</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231,829</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144,587</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24,774</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23,968</w:t>
            </w:r>
          </w:p>
        </w:tc>
        <w:tc>
          <w:tcPr>
            <w:tcW w:w="56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425,158</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140,059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54,453</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83"/>
              <w:spacing w:after="0"/>
              <w:rPr>
                <w:sz w:val="20"/>
                <w:szCs w:val="20"/>
                <w:color w:val="auto"/>
              </w:rPr>
            </w:pPr>
            <w:r>
              <w:rPr>
                <w:rFonts w:ascii="Arial" w:cs="Arial" w:eastAsia="Arial" w:hAnsi="Arial"/>
                <w:sz w:val="15"/>
                <w:szCs w:val="15"/>
                <w:color w:val="auto"/>
              </w:rPr>
              <w:t>17,219</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13,658</w:t>
            </w:r>
          </w:p>
        </w:tc>
        <w:tc>
          <w:tcPr>
            <w:tcW w:w="5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225,389</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85,783</w:t>
            </w: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18,308</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8,420</w:t>
            </w: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ind w:right="30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112,511</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67.3 %</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75.3 %</w:t>
            </w:r>
          </w:p>
        </w:tc>
        <w:tc>
          <w:tcPr>
            <w:tcW w:w="24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5"/>
                <w:szCs w:val="15"/>
                <w:color w:val="auto"/>
              </w:rPr>
              <w:t>72.3 %</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 %</w:t>
            </w:r>
          </w:p>
        </w:tc>
        <w:tc>
          <w:tcPr>
            <w:tcW w:w="5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68.9 %</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908</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638</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418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w:t>
            </w:r>
          </w:p>
        </w:tc>
        <w:tc>
          <w:tcPr>
            <w:tcW w:w="56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836</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80" w:type="dxa"/>
            <w:vAlign w:val="bottom"/>
          </w:tcPr>
          <w:p>
            <w:pPr>
              <w:spacing w:after="0"/>
              <w:rPr>
                <w:sz w:val="17"/>
                <w:szCs w:val="17"/>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469</w:t>
            </w:r>
          </w:p>
        </w:tc>
        <w:tc>
          <w:tcPr>
            <w:tcW w:w="240" w:type="dxa"/>
            <w:vAlign w:val="bottom"/>
          </w:tcPr>
          <w:p>
            <w:pPr>
              <w:spacing w:after="0"/>
              <w:rPr>
                <w:sz w:val="17"/>
                <w:szCs w:val="17"/>
                <w:color w:val="auto"/>
              </w:rPr>
            </w:pP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154,023</w:t>
            </w:r>
          </w:p>
        </w:tc>
        <w:tc>
          <w:tcPr>
            <w:tcW w:w="240" w:type="dxa"/>
            <w:vAlign w:val="bottom"/>
          </w:tcPr>
          <w:p>
            <w:pPr>
              <w:spacing w:after="0"/>
              <w:rPr>
                <w:sz w:val="17"/>
                <w:szCs w:val="17"/>
                <w:color w:val="auto"/>
              </w:rPr>
            </w:pPr>
          </w:p>
        </w:tc>
        <w:tc>
          <w:tcPr>
            <w:tcW w:w="1260" w:type="dxa"/>
            <w:vAlign w:val="bottom"/>
          </w:tcPr>
          <w:p>
            <w:pPr>
              <w:jc w:val="right"/>
              <w:ind w:right="183"/>
              <w:spacing w:after="0"/>
              <w:rPr>
                <w:sz w:val="20"/>
                <w:szCs w:val="20"/>
                <w:color w:val="auto"/>
              </w:rPr>
            </w:pPr>
            <w:r>
              <w:rPr>
                <w:rFonts w:ascii="Arial" w:cs="Arial" w:eastAsia="Arial" w:hAnsi="Arial"/>
                <w:sz w:val="15"/>
                <w:szCs w:val="15"/>
                <w:color w:val="auto"/>
              </w:rPr>
              <w:t>27,522</w:t>
            </w:r>
          </w:p>
        </w:tc>
        <w:tc>
          <w:tcPr>
            <w:tcW w:w="160" w:type="dxa"/>
            <w:vAlign w:val="bottom"/>
          </w:tcPr>
          <w:p>
            <w:pPr>
              <w:spacing w:after="0"/>
              <w:rPr>
                <w:sz w:val="17"/>
                <w:szCs w:val="17"/>
                <w:color w:val="auto"/>
              </w:rPr>
            </w:pP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56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182,014</w:t>
            </w:r>
          </w:p>
        </w:tc>
        <w:tc>
          <w:tcPr>
            <w:tcW w:w="0" w:type="dxa"/>
            <w:vAlign w:val="bottom"/>
          </w:tcPr>
          <w:p>
            <w:pPr>
              <w:spacing w:after="0"/>
              <w:rPr>
                <w:sz w:val="1"/>
                <w:szCs w:val="1"/>
                <w:color w:val="auto"/>
              </w:rPr>
            </w:pPr>
          </w:p>
        </w:tc>
      </w:tr>
      <w:tr>
        <w:trPr>
          <w:trHeight w:val="207"/>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53.1 %</w:t>
            </w:r>
          </w:p>
        </w:tc>
        <w:tc>
          <w:tcPr>
            <w:tcW w:w="24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89.8 %</w:t>
            </w:r>
          </w:p>
        </w:tc>
        <w:tc>
          <w:tcPr>
            <w:tcW w:w="16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5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85.0 %</w:t>
            </w:r>
          </w:p>
        </w:tc>
        <w:tc>
          <w:tcPr>
            <w:tcW w:w="0" w:type="dxa"/>
            <w:vAlign w:val="bottom"/>
          </w:tcPr>
          <w:p>
            <w:pPr>
              <w:spacing w:after="0"/>
              <w:rPr>
                <w:sz w:val="1"/>
                <w:szCs w:val="1"/>
                <w:color w:val="auto"/>
              </w:rPr>
            </w:pPr>
          </w:p>
        </w:tc>
      </w:tr>
      <w:tr>
        <w:trPr>
          <w:trHeight w:val="205"/>
        </w:trPr>
        <w:tc>
          <w:tcPr>
            <w:tcW w:w="37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186</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176</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83"/>
              <w:spacing w:after="0"/>
              <w:rPr>
                <w:sz w:val="20"/>
                <w:szCs w:val="20"/>
                <w:color w:val="auto"/>
              </w:rPr>
            </w:pPr>
            <w:r>
              <w:rPr>
                <w:rFonts w:ascii="Arial" w:cs="Arial" w:eastAsia="Arial" w:hAnsi="Arial"/>
                <w:sz w:val="15"/>
                <w:szCs w:val="15"/>
                <w:color w:val="auto"/>
              </w:rPr>
              <w:t>93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56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156"/>
        </w:trPr>
        <w:tc>
          <w:tcPr>
            <w:tcW w:w="37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Average tank and pump solutions rental fleet</w:t>
            </w:r>
          </w:p>
        </w:tc>
        <w:tc>
          <w:tcPr>
            <w:tcW w:w="1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ind w:right="3"/>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75.8 %</w:t>
            </w:r>
          </w:p>
        </w:tc>
        <w:tc>
          <w:tcPr>
            <w:tcW w:w="56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75.8 %</w:t>
            </w:r>
          </w:p>
        </w:tc>
        <w:tc>
          <w:tcPr>
            <w:tcW w:w="0" w:type="dxa"/>
            <w:vAlign w:val="bottom"/>
          </w:tcPr>
          <w:p>
            <w:pPr>
              <w:spacing w:after="0"/>
              <w:rPr>
                <w:sz w:val="1"/>
                <w:szCs w:val="1"/>
                <w:color w:val="auto"/>
              </w:rPr>
            </w:pPr>
          </w:p>
        </w:tc>
      </w:tr>
      <w:tr>
        <w:trPr>
          <w:trHeight w:val="206"/>
        </w:trPr>
        <w:tc>
          <w:tcPr>
            <w:tcW w:w="3700" w:type="dxa"/>
            <w:vAlign w:val="bottom"/>
            <w:shd w:val="clear" w:color="auto" w:fill="DBDBDB"/>
          </w:tcPr>
          <w:p>
            <w:pPr>
              <w:ind w:left="20"/>
              <w:spacing w:after="0"/>
              <w:rPr>
                <w:sz w:val="20"/>
                <w:szCs w:val="20"/>
                <w:color w:val="auto"/>
              </w:rPr>
            </w:pPr>
            <w:r>
              <w:rPr>
                <w:rFonts w:ascii="Arial" w:cs="Arial" w:eastAsia="Arial" w:hAnsi="Arial"/>
                <w:sz w:val="15"/>
                <w:szCs w:val="15"/>
                <w:color w:val="auto"/>
              </w:rPr>
              <w:t>utilization based on original equipment cost</w:t>
            </w:r>
          </w:p>
        </w:tc>
        <w:tc>
          <w:tcPr>
            <w:tcW w:w="1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4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6"/>
        </w:trPr>
        <w:tc>
          <w:tcPr>
            <w:tcW w:w="380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 except for units on rent and rates)</w:t>
            </w:r>
          </w:p>
        </w:tc>
        <w:tc>
          <w:tcPr>
            <w:tcW w:w="180" w:type="dxa"/>
            <w:vAlign w:val="bottom"/>
            <w:shd w:val="clear" w:color="auto" w:fill="1D2758"/>
          </w:tcPr>
          <w:p>
            <w:pPr>
              <w:spacing w:after="0"/>
              <w:rPr>
                <w:sz w:val="17"/>
                <w:szCs w:val="17"/>
                <w:color w:val="auto"/>
              </w:rPr>
            </w:pPr>
          </w:p>
        </w:tc>
        <w:tc>
          <w:tcPr>
            <w:tcW w:w="1280" w:type="dxa"/>
            <w:vAlign w:val="bottom"/>
            <w:shd w:val="clear" w:color="auto" w:fill="1D2758"/>
          </w:tcPr>
          <w:p>
            <w:pPr>
              <w:spacing w:after="0"/>
              <w:rPr>
                <w:sz w:val="17"/>
                <w:szCs w:val="17"/>
                <w:color w:val="auto"/>
              </w:rPr>
            </w:pPr>
          </w:p>
        </w:tc>
        <w:tc>
          <w:tcPr>
            <w:tcW w:w="240" w:type="dxa"/>
            <w:vAlign w:val="bottom"/>
            <w:shd w:val="clear" w:color="auto" w:fill="1D2758"/>
          </w:tcPr>
          <w:p>
            <w:pPr>
              <w:spacing w:after="0"/>
              <w:rPr>
                <w:sz w:val="17"/>
                <w:szCs w:val="17"/>
                <w:color w:val="auto"/>
              </w:rPr>
            </w:pPr>
          </w:p>
        </w:tc>
        <w:tc>
          <w:tcPr>
            <w:tcW w:w="4260" w:type="dxa"/>
            <w:vAlign w:val="bottom"/>
            <w:gridSpan w:val="5"/>
            <w:shd w:val="clear" w:color="auto" w:fill="1D2758"/>
          </w:tcPr>
          <w:p>
            <w:pPr>
              <w:jc w:val="right"/>
              <w:ind w:right="963"/>
              <w:spacing w:after="0"/>
              <w:rPr>
                <w:sz w:val="20"/>
                <w:szCs w:val="20"/>
                <w:color w:val="auto"/>
              </w:rPr>
            </w:pPr>
            <w:r>
              <w:rPr>
                <w:rFonts w:ascii="Arial" w:cs="Arial" w:eastAsia="Arial" w:hAnsi="Arial"/>
                <w:sz w:val="15"/>
                <w:szCs w:val="15"/>
                <w:b w:val="1"/>
                <w:bCs w:val="1"/>
                <w:color w:val="FFFFFF"/>
              </w:rPr>
              <w:t>Six Months Ended June 30, 2021</w:t>
            </w:r>
          </w:p>
        </w:tc>
        <w:tc>
          <w:tcPr>
            <w:tcW w:w="380" w:type="dxa"/>
            <w:vAlign w:val="bottom"/>
            <w:shd w:val="clear" w:color="auto" w:fill="1D2758"/>
          </w:tcPr>
          <w:p>
            <w:pPr>
              <w:spacing w:after="0"/>
              <w:rPr>
                <w:sz w:val="17"/>
                <w:szCs w:val="17"/>
                <w:color w:val="auto"/>
              </w:rPr>
            </w:pPr>
          </w:p>
        </w:tc>
        <w:tc>
          <w:tcPr>
            <w:tcW w:w="110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28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Modular</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NA Storage</w:t>
            </w:r>
          </w:p>
        </w:tc>
        <w:tc>
          <w:tcPr>
            <w:tcW w:w="240" w:type="dxa"/>
            <w:vAlign w:val="bottom"/>
            <w:shd w:val="clear" w:color="auto" w:fill="1D2758"/>
          </w:tcPr>
          <w:p>
            <w:pPr>
              <w:spacing w:after="0"/>
              <w:rPr>
                <w:sz w:val="18"/>
                <w:szCs w:val="18"/>
                <w:color w:val="auto"/>
              </w:rPr>
            </w:pPr>
          </w:p>
        </w:tc>
        <w:tc>
          <w:tcPr>
            <w:tcW w:w="1260" w:type="dxa"/>
            <w:vAlign w:val="bottom"/>
            <w:vMerge w:val="restart"/>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UK Storage</w:t>
            </w:r>
          </w:p>
        </w:tc>
        <w:tc>
          <w:tcPr>
            <w:tcW w:w="160" w:type="dxa"/>
            <w:vAlign w:val="bottom"/>
            <w:shd w:val="clear" w:color="auto" w:fill="1D2758"/>
          </w:tcPr>
          <w:p>
            <w:pPr>
              <w:spacing w:after="0"/>
              <w:rPr>
                <w:sz w:val="18"/>
                <w:szCs w:val="18"/>
                <w:color w:val="auto"/>
              </w:rPr>
            </w:pPr>
          </w:p>
        </w:tc>
        <w:tc>
          <w:tcPr>
            <w:tcW w:w="1340" w:type="dxa"/>
            <w:vAlign w:val="bottom"/>
            <w:vMerge w:val="restart"/>
            <w:shd w:val="clear" w:color="auto" w:fill="1D2758"/>
          </w:tcPr>
          <w:p>
            <w:pPr>
              <w:jc w:val="right"/>
              <w:ind w:right="103"/>
              <w:spacing w:after="0"/>
              <w:rPr>
                <w:sz w:val="20"/>
                <w:szCs w:val="20"/>
                <w:color w:val="auto"/>
              </w:rPr>
            </w:pPr>
            <w:r>
              <w:rPr>
                <w:rFonts w:ascii="Arial" w:cs="Arial" w:eastAsia="Arial" w:hAnsi="Arial"/>
                <w:sz w:val="15"/>
                <w:szCs w:val="15"/>
                <w:b w:val="1"/>
                <w:bCs w:val="1"/>
                <w:color w:val="FFFFFF"/>
              </w:rPr>
              <w:t>Tank and Pump</w:t>
            </w:r>
          </w:p>
        </w:tc>
        <w:tc>
          <w:tcPr>
            <w:tcW w:w="380" w:type="dxa"/>
            <w:vAlign w:val="bottom"/>
            <w:shd w:val="clear" w:color="auto" w:fill="1D2758"/>
          </w:tcPr>
          <w:p>
            <w:pPr>
              <w:spacing w:after="0"/>
              <w:rPr>
                <w:sz w:val="18"/>
                <w:szCs w:val="18"/>
                <w:color w:val="auto"/>
              </w:rPr>
            </w:pPr>
          </w:p>
        </w:tc>
        <w:tc>
          <w:tcPr>
            <w:tcW w:w="1100" w:type="dxa"/>
            <w:vAlign w:val="bottom"/>
            <w:vMerge w:val="restart"/>
            <w:shd w:val="clear" w:color="auto" w:fill="1D2758"/>
          </w:tcPr>
          <w:p>
            <w:pPr>
              <w:jc w:val="right"/>
              <w:ind w:right="463"/>
              <w:spacing w:after="0"/>
              <w:rPr>
                <w:sz w:val="20"/>
                <w:szCs w:val="20"/>
                <w:color w:val="auto"/>
              </w:rPr>
            </w:pPr>
            <w:r>
              <w:rPr>
                <w:rFonts w:ascii="Arial" w:cs="Arial" w:eastAsia="Arial" w:hAnsi="Arial"/>
                <w:sz w:val="15"/>
                <w:szCs w:val="15"/>
                <w:b w:val="1"/>
                <w:bCs w:val="1"/>
                <w:color w:val="FFFFFF"/>
              </w:rPr>
              <w:t>Total</w:t>
            </w:r>
          </w:p>
        </w:tc>
        <w:tc>
          <w:tcPr>
            <w:tcW w:w="0" w:type="dxa"/>
            <w:vAlign w:val="bottom"/>
          </w:tcPr>
          <w:p>
            <w:pPr>
              <w:spacing w:after="0"/>
              <w:rPr>
                <w:sz w:val="1"/>
                <w:szCs w:val="1"/>
                <w:color w:val="auto"/>
              </w:rPr>
            </w:pPr>
          </w:p>
        </w:tc>
      </w:tr>
      <w:tr>
        <w:trPr>
          <w:trHeight w:val="84"/>
        </w:trPr>
        <w:tc>
          <w:tcPr>
            <w:tcW w:w="3800" w:type="dxa"/>
            <w:vAlign w:val="bottom"/>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28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240" w:type="dxa"/>
            <w:vAlign w:val="bottom"/>
            <w:shd w:val="clear" w:color="auto" w:fill="1D2758"/>
          </w:tcPr>
          <w:p>
            <w:pPr>
              <w:spacing w:after="0"/>
              <w:rPr>
                <w:sz w:val="7"/>
                <w:szCs w:val="7"/>
                <w:color w:val="auto"/>
              </w:rPr>
            </w:pPr>
          </w:p>
        </w:tc>
        <w:tc>
          <w:tcPr>
            <w:tcW w:w="1260" w:type="dxa"/>
            <w:vAlign w:val="bottom"/>
            <w:vMerge w:val="continue"/>
            <w:shd w:val="clear" w:color="auto" w:fill="1D2758"/>
          </w:tcPr>
          <w:p>
            <w:pPr>
              <w:spacing w:after="0"/>
              <w:rPr>
                <w:sz w:val="7"/>
                <w:szCs w:val="7"/>
                <w:color w:val="auto"/>
              </w:rPr>
            </w:pPr>
          </w:p>
        </w:tc>
        <w:tc>
          <w:tcPr>
            <w:tcW w:w="160" w:type="dxa"/>
            <w:vAlign w:val="bottom"/>
            <w:shd w:val="clear" w:color="auto" w:fill="1D2758"/>
          </w:tcPr>
          <w:p>
            <w:pPr>
              <w:spacing w:after="0"/>
              <w:rPr>
                <w:sz w:val="7"/>
                <w:szCs w:val="7"/>
                <w:color w:val="auto"/>
              </w:rPr>
            </w:pPr>
          </w:p>
        </w:tc>
        <w:tc>
          <w:tcPr>
            <w:tcW w:w="1340" w:type="dxa"/>
            <w:vAlign w:val="bottom"/>
            <w:vMerge w:val="continue"/>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555,606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223,542</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55,439</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51,838</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886,425</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Gross profit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229,138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148,340</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34,430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24,282</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436,190</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200,916</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95,848</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23,392</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18,924</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339,080</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Capital expenditures for rental equipment</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88,499</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12,245</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10,996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6,077</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117,817</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units on rent</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84,737</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16,399</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9,235</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110,371</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modular space utilization rate</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67.6 %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78.9 %</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84.1 %</w:t>
            </w:r>
          </w:p>
        </w:tc>
        <w:tc>
          <w:tcPr>
            <w:tcW w:w="16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 %</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70.3 %</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modular space monthly rental rate</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769</w:t>
            </w:r>
          </w:p>
        </w:tc>
        <w:tc>
          <w:tcPr>
            <w:tcW w:w="24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554</w:t>
            </w:r>
          </w:p>
        </w:tc>
        <w:tc>
          <w:tcPr>
            <w:tcW w:w="2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420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703</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units on rent</w:t>
            </w:r>
          </w:p>
        </w:tc>
        <w:tc>
          <w:tcPr>
            <w:tcW w:w="180" w:type="dxa"/>
            <w:vAlign w:val="bottom"/>
          </w:tcPr>
          <w:p>
            <w:pPr>
              <w:spacing w:after="0"/>
              <w:rPr>
                <w:sz w:val="17"/>
                <w:szCs w:val="17"/>
                <w:color w:val="auto"/>
              </w:rPr>
            </w:pP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14,186</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109,355</w:t>
            </w:r>
          </w:p>
        </w:tc>
        <w:tc>
          <w:tcPr>
            <w:tcW w:w="240" w:type="dxa"/>
            <w:vAlign w:val="bottom"/>
          </w:tcPr>
          <w:p>
            <w:pPr>
              <w:spacing w:after="0"/>
              <w:rPr>
                <w:sz w:val="17"/>
                <w:szCs w:val="17"/>
                <w:color w:val="auto"/>
              </w:rPr>
            </w:pP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25,112</w:t>
            </w:r>
          </w:p>
        </w:tc>
        <w:tc>
          <w:tcPr>
            <w:tcW w:w="160" w:type="dxa"/>
            <w:vAlign w:val="bottom"/>
          </w:tcPr>
          <w:p>
            <w:pPr>
              <w:spacing w:after="0"/>
              <w:rPr>
                <w:sz w:val="17"/>
                <w:szCs w:val="17"/>
                <w:color w:val="auto"/>
              </w:rPr>
            </w:pP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148,653</w:t>
            </w:r>
          </w:p>
        </w:tc>
        <w:tc>
          <w:tcPr>
            <w:tcW w:w="0" w:type="dxa"/>
            <w:vAlign w:val="bottom"/>
          </w:tcPr>
          <w:p>
            <w:pPr>
              <w:spacing w:after="0"/>
              <w:rPr>
                <w:sz w:val="1"/>
                <w:szCs w:val="1"/>
                <w:color w:val="auto"/>
              </w:rPr>
            </w:pPr>
          </w:p>
        </w:tc>
      </w:tr>
      <w:tr>
        <w:trPr>
          <w:trHeight w:val="207"/>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Average portable storage utilization rate</w:t>
            </w:r>
          </w:p>
        </w:tc>
        <w:tc>
          <w:tcPr>
            <w:tcW w:w="1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64.8 %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75.0 %</w:t>
            </w:r>
          </w:p>
        </w:tc>
        <w:tc>
          <w:tcPr>
            <w:tcW w:w="240" w:type="dxa"/>
            <w:vAlign w:val="bottom"/>
            <w:shd w:val="clear" w:color="auto" w:fill="DBDBDB"/>
          </w:tcPr>
          <w:p>
            <w:pPr>
              <w:spacing w:after="0"/>
              <w:rPr>
                <w:sz w:val="18"/>
                <w:szCs w:val="18"/>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90.5 %</w:t>
            </w:r>
          </w:p>
        </w:tc>
        <w:tc>
          <w:tcPr>
            <w:tcW w:w="16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 %</w:t>
            </w:r>
          </w:p>
        </w:tc>
        <w:tc>
          <w:tcPr>
            <w:tcW w:w="38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76.1 %</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5"/>
                <w:szCs w:val="15"/>
                <w:color w:val="auto"/>
              </w:rPr>
              <w:t>Average portable storage monthly rental rate</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63"/>
              <w:spacing w:after="0"/>
              <w:rPr>
                <w:sz w:val="20"/>
                <w:szCs w:val="20"/>
                <w:color w:val="auto"/>
              </w:rPr>
            </w:pPr>
            <w:r>
              <w:rPr>
                <w:rFonts w:ascii="Arial" w:cs="Arial" w:eastAsia="Arial" w:hAnsi="Arial"/>
                <w:sz w:val="15"/>
                <w:szCs w:val="15"/>
                <w:color w:val="auto"/>
              </w:rPr>
              <w:t>128</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150</w:t>
            </w:r>
          </w:p>
        </w:tc>
        <w:tc>
          <w:tcPr>
            <w:tcW w:w="2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3"/>
              <w:spacing w:after="0"/>
              <w:rPr>
                <w:sz w:val="20"/>
                <w:szCs w:val="20"/>
                <w:color w:val="auto"/>
              </w:rPr>
            </w:pPr>
            <w:r>
              <w:rPr>
                <w:rFonts w:ascii="Arial" w:cs="Arial" w:eastAsia="Arial" w:hAnsi="Arial"/>
                <w:sz w:val="15"/>
                <w:szCs w:val="15"/>
                <w:color w:val="auto"/>
              </w:rPr>
              <w:t>85</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34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123"/>
              <w:spacing w:after="0"/>
              <w:rPr>
                <w:sz w:val="20"/>
                <w:szCs w:val="20"/>
                <w:color w:val="auto"/>
              </w:rPr>
            </w:pPr>
            <w:r>
              <w:rPr>
                <w:rFonts w:ascii="Arial" w:cs="Arial" w:eastAsia="Arial" w:hAnsi="Arial"/>
                <w:sz w:val="15"/>
                <w:szCs w:val="15"/>
                <w:color w:val="auto"/>
              </w:rPr>
              <w:t>137</w:t>
            </w:r>
          </w:p>
        </w:tc>
        <w:tc>
          <w:tcPr>
            <w:tcW w:w="0" w:type="dxa"/>
            <w:vAlign w:val="bottom"/>
          </w:tcPr>
          <w:p>
            <w:pPr>
              <w:spacing w:after="0"/>
              <w:rPr>
                <w:sz w:val="1"/>
                <w:szCs w:val="1"/>
                <w:color w:val="auto"/>
              </w:rPr>
            </w:pPr>
          </w:p>
        </w:tc>
      </w:tr>
      <w:tr>
        <w:trPr>
          <w:trHeight w:val="156"/>
        </w:trPr>
        <w:tc>
          <w:tcPr>
            <w:tcW w:w="3800" w:type="dxa"/>
            <w:vAlign w:val="bottom"/>
            <w:shd w:val="clear" w:color="auto" w:fill="DBDBDB"/>
          </w:tcPr>
          <w:p>
            <w:pPr>
              <w:ind w:left="20"/>
              <w:spacing w:after="0" w:line="156" w:lineRule="exact"/>
              <w:rPr>
                <w:sz w:val="20"/>
                <w:szCs w:val="20"/>
                <w:color w:val="auto"/>
              </w:rPr>
            </w:pPr>
            <w:r>
              <w:rPr>
                <w:rFonts w:ascii="Arial" w:cs="Arial" w:eastAsia="Arial" w:hAnsi="Arial"/>
                <w:sz w:val="15"/>
                <w:szCs w:val="15"/>
                <w:color w:val="auto"/>
              </w:rPr>
              <w:t>Average tank and pump solutions rental fleet utilization</w:t>
            </w:r>
          </w:p>
        </w:tc>
        <w:tc>
          <w:tcPr>
            <w:tcW w:w="180" w:type="dxa"/>
            <w:vAlign w:val="bottom"/>
            <w:shd w:val="clear" w:color="auto" w:fill="DBDBDB"/>
          </w:tcPr>
          <w:p>
            <w:pPr>
              <w:spacing w:after="0"/>
              <w:rPr>
                <w:sz w:val="13"/>
                <w:szCs w:val="13"/>
                <w:color w:val="auto"/>
              </w:rPr>
            </w:pPr>
          </w:p>
        </w:tc>
        <w:tc>
          <w:tcPr>
            <w:tcW w:w="128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40" w:type="dxa"/>
            <w:vAlign w:val="bottom"/>
            <w:shd w:val="clear" w:color="auto" w:fill="DBDBDB"/>
          </w:tcPr>
          <w:p>
            <w:pPr>
              <w:spacing w:after="0"/>
              <w:rPr>
                <w:sz w:val="13"/>
                <w:szCs w:val="13"/>
                <w:color w:val="auto"/>
              </w:rPr>
            </w:pPr>
          </w:p>
        </w:tc>
        <w:tc>
          <w:tcPr>
            <w:tcW w:w="12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60" w:type="dxa"/>
            <w:vAlign w:val="bottom"/>
            <w:shd w:val="clear" w:color="auto" w:fill="DBDBDB"/>
          </w:tcPr>
          <w:p>
            <w:pPr>
              <w:spacing w:after="0"/>
              <w:rPr>
                <w:sz w:val="13"/>
                <w:szCs w:val="13"/>
                <w:color w:val="auto"/>
              </w:rPr>
            </w:pPr>
          </w:p>
        </w:tc>
        <w:tc>
          <w:tcPr>
            <w:tcW w:w="134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69.3 %</w:t>
            </w:r>
          </w:p>
        </w:tc>
        <w:tc>
          <w:tcPr>
            <w:tcW w:w="380" w:type="dxa"/>
            <w:vAlign w:val="bottom"/>
            <w:shd w:val="clear" w:color="auto" w:fill="DBDBDB"/>
          </w:tcPr>
          <w:p>
            <w:pPr>
              <w:spacing w:after="0"/>
              <w:rPr>
                <w:sz w:val="13"/>
                <w:szCs w:val="13"/>
                <w:color w:val="auto"/>
              </w:rPr>
            </w:pP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69.3 %</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Arial" w:cs="Arial" w:eastAsia="Arial" w:hAnsi="Arial"/>
                <w:sz w:val="15"/>
                <w:szCs w:val="15"/>
                <w:color w:val="auto"/>
              </w:rPr>
              <w:t>based on original equipment cost</w:t>
            </w:r>
          </w:p>
        </w:tc>
        <w:tc>
          <w:tcPr>
            <w:tcW w:w="180" w:type="dxa"/>
            <w:vAlign w:val="bottom"/>
            <w:shd w:val="clear" w:color="auto" w:fill="DBDBDB"/>
          </w:tcPr>
          <w:p>
            <w:pPr>
              <w:spacing w:after="0"/>
              <w:rPr>
                <w:sz w:val="17"/>
                <w:szCs w:val="17"/>
                <w:color w:val="auto"/>
              </w:rPr>
            </w:pPr>
          </w:p>
        </w:tc>
        <w:tc>
          <w:tcPr>
            <w:tcW w:w="128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260" w:type="dxa"/>
            <w:vAlign w:val="bottom"/>
            <w:vMerge w:val="continue"/>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340" w:type="dxa"/>
            <w:vAlign w:val="bottom"/>
            <w:vMerge w:val="continue"/>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100" w:type="dxa"/>
            <w:vAlign w:val="bottom"/>
            <w:vMerge w:val="continue"/>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Modular</w:t>
      </w:r>
    </w:p>
    <w:p>
      <w:pPr>
        <w:spacing w:after="0" w:line="111" w:lineRule="exact"/>
        <w:rPr>
          <w:sz w:val="20"/>
          <w:szCs w:val="20"/>
          <w:color w:val="auto"/>
        </w:rPr>
      </w:pPr>
    </w:p>
    <w:p>
      <w:pPr>
        <w:jc w:val="both"/>
        <w:ind w:firstLine="619"/>
        <w:spacing w:after="0" w:line="263"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$91.8 million, or 16.5%, to $647.4 million for the six months ended June 30, 2022 from $555.6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The increase was primarily the result of a $67.8 million, or 16.3%, increase in leasing revenue, a $25.8 million, or 24.9% increase in delivery and installation revenues, offset by a $0.8 million, or 3.9%, decrease in rental unit sales revenue. The increases to leasing revenue and delivery and installation revenues were partially offset by declines in revenues for portable storage units as a result of transitioning the majority of the portable storage product business within the NA Modular segment to the NA Storage segment during the third quarter of 2021. Approximately 12,000 units were transferred during the third quarter to the NA Storage segment, reallocating approximately $5.0 million of revenue from NA Modular segment to the NA Storage segment relative to the first six months of 2021. Average modular space monthly rental rates increased 18.1% for the six months ended June 30, 2022 to $908 driven by the continuation of our long-term price optimization initiative and VAPS penetration opportunities across our portfolio. In addition to improved pricing, average modular space units on rent increased by 1,046 units, or 1.2%, year over year.</w:t>
      </w:r>
    </w:p>
    <w:p>
      <w:pPr>
        <w:spacing w:after="0" w:line="78"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$53.6 million, or 23.4%, to $282.7 million for the six months ended June 30, 2022 from $229.1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The increase in gross profit was driven by higher leasing gross profit, which increased $48.3 million, or 15.9%, driven by improved pricing including VAPS and increased modular unit on rent volumes, partially offset by the transfer of portable storage units to the NA Storage segment discussed above, and a $13.7 million increase in delivery and installation gross profit driven by volumes and improved pricing. These increases were further complemented by a $0.9 million increase in new sales gross profit. These increases were partially offset by a $0.3 million decrease in rental unit sales gross profit and an $8.8 million increase in depreciation of rental equipment related to capital investments made in our existing rental equipment.</w:t>
      </w:r>
    </w:p>
    <w:p>
      <w:pPr>
        <w:spacing w:after="0" w:line="6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$30.9 million, or 15.4%, to $231.8 million for the six months ended June 30, 2022 from $200.9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2021. The increase was driven by higher leasing gross profit discussed above. SG&amp;A, excluding discrete items, increased $37.1 million, or 29.5%, for the six months ended June 30, 2022, as compared to the six months ended June 30, 2021 primarily driven by employee and occupancy costs.</w:t>
      </w:r>
    </w:p>
    <w:p>
      <w:pPr>
        <w:spacing w:after="0" w:line="4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$51.6 million, or 58.3%, to $140.1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2022 from $88.5 million for the six months ended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NA Storage</w:t>
      </w:r>
    </w:p>
    <w:p>
      <w:pPr>
        <w:spacing w:after="0" w:line="1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$103.2 million, or 46.2%, to $326.7 million for the six months ended June 30, 2022 from $223.5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The increase was primarily the result of a $86.6 million, or 52.1%, increase in leasing revenue, a $22.2 million, or 49.4% increase in delivery and installation revenues, and a $3.9 million, or 47.0%, decrease in rental unit sales revenue. Average portable storage monthly rental rates increased 17.3% for the six months ended June 30, 2022 to $176. Average portable storage units on rent increased by 44,668 units, or 40.8%, year over year, driven by increased organic economic activity (approximately average 15,600 units on rent increase) and acquisitions (approximately average 17,100 units on rent increase), and due to the transfer of approximately 12,000 portable storage units on rent from the NA Modular segment, which occurred in the third quarter of 2021. Average modular space monthly rental rates increased 15.2% for the six months ended June 30, 2022 to $638 driven by the continuation of our long-term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67" w:lineRule="auto"/>
        <w:rPr>
          <w:sz w:val="20"/>
          <w:szCs w:val="20"/>
          <w:color w:val="auto"/>
        </w:rPr>
      </w:pPr>
      <w:r>
        <w:rPr>
          <w:rFonts w:ascii="Arial" w:cs="Arial" w:eastAsia="Arial" w:hAnsi="Arial"/>
          <w:sz w:val="15"/>
          <w:szCs w:val="15"/>
          <w:color w:val="auto"/>
        </w:rPr>
        <w:t>optimization initiative and VAPS penetration opportunities across our portfolio. Average modular space units on rent increased by 1,909 units, or 11.6%, year over year.</w:t>
      </w:r>
    </w:p>
    <w:p>
      <w:pPr>
        <w:spacing w:after="0" w:line="285"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$78.2 million, or 52.7%, to $226.5 million for the six months ended June 30, 2022 from $148.3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Gross profit on leasing activity increased by $73.4 million year-over-year driven both by increased volume and pricing as described above. For delivery and installation, gross profit increased $9.6 million. Sales gross profit decreased by $2.5 million to $2.3 million.</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$48.8 million, or 50.9%, to $144.6 million for the six months ended June 30, 2022 from $95.8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2021. The increase was driven by higher leasing gross profit discussed above. SG&amp;A, excluding discrete items, increased $31.6 million, or 48.8%, for the six months ended June 30, 2022, as compared to the June 30, 2021 primarily driven by employee and occupancy costs.</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$42.3 million, or 346.7%, to $54.5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2022 from $12.2 million for the six months ended June 30, 2021. The increase in purchases of rental equipment and refurbishments was driven primarily by increased purchases of portable storage containers during the period to support organic growth.</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UK Storage</w:t>
      </w:r>
    </w:p>
    <w:p>
      <w:pPr>
        <w:spacing w:after="0" w:line="124"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decreased $1.3 million, or 2.3%, to $54.1 million for the six months ended June 30, 2022 from $55.4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The decrease was primarily the result of a $0.8 million, or 6.3%, decrease in delivery and installation revenues and a $1.6 million, or 72.7%, decrease in new unit sales revenue, partially offset by a $1.0 million, or 2.5%, increase in leasing revenue. Average portable storage monthly rental rates increased 9.4% for the six months ended June 30, 2022 to $93. Average portable storage units on rent increased by 2,410 units, or 9.6%, year over year. Average modular space monthly rental rates decreased 0.5% for the six months ended June 30, 2022 to $418. Average modular space units on rent decreased by 815 units, or 8.8%, year over year. In local currency, average portable storage monthly rental rates increased 17.5% for the six months ended June 30, 2022 to £74, and average modular space monthly rental rates increased 3.8% for the six months ended June 30, 2022 to £325.</w:t>
      </w:r>
    </w:p>
    <w:p>
      <w:pPr>
        <w:spacing w:after="0" w:line="64"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$0.6 million, or 1.7%, to $35.0 million for the six months ended June 30, 2022 from $34.4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Gross profit on leasing activity increased by $1.6 million year-over-year driven both by increased volume and pricing as described above. For delivery and installation, gross profit decreased $0.7 million. Sales gross profit decreased by $0.3 million to $0.5 million.</w:t>
      </w:r>
    </w:p>
    <w:p>
      <w:pPr>
        <w:spacing w:after="0" w:line="6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$1.4 million, or 6.0%, to $24.8 million for the six months ended June 30, 2022 from $23.4 million for the six</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months ended June 30, 2021. The increase was driven by higher leasing gross profit discussed above. SG&amp;A, excluding discrete items, decreased $0.8 million, or 6.0%, for the six months ended June 30, 2022, as compared to the June 30, 2021 primarily driven by employee and occupancy costs.</w:t>
      </w:r>
    </w:p>
    <w:p>
      <w:pPr>
        <w:spacing w:after="0" w:line="6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$6.2 million, or 56.4%, to $17.2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months ended June 30, 2022 from $11.0 million for the six months ended June 30, 2021.</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Tank &amp; Pump</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Total revenue increased $10.6 million, or 20.5%, to $62.4 million for the six months ended June 30, 2022 from $51.8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This increase was driven by increased average original equipment cost ("OEC") rental fleet utilization, which increased 650 bps to 75.8% for the six months ended June 30, 2022 from 69.3% for the six months ended June 30, 2021.</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Gross Profit: </w:t>
      </w:r>
      <w:r>
        <w:rPr>
          <w:rFonts w:ascii="Arial" w:cs="Arial" w:eastAsia="Arial" w:hAnsi="Arial"/>
          <w:sz w:val="15"/>
          <w:szCs w:val="15"/>
          <w:color w:val="auto"/>
        </w:rPr>
        <w:t>Gross profit increased $7.1 million, or 29.2%, to $31.4 million for the six months ended June 30, 2022 from $24.3 million for the six months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ended June 30, 2021. Gross profit on leasing activity increased by $6.8 million year-over-year driven by both increased volume and pricing. For delivery and installation, gross profit increased $0.3 million. Sales gross profit decreased by $0.2 million to $0.6 million.</w:t>
      </w:r>
    </w:p>
    <w:p>
      <w:pPr>
        <w:spacing w:after="0" w:line="49"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b w:val="1"/>
          <w:bCs w:val="1"/>
          <w:i w:val="1"/>
          <w:iCs w:val="1"/>
          <w:color w:val="auto"/>
        </w:rPr>
        <w:t xml:space="preserve">Adjusted EBITDA: </w:t>
      </w:r>
      <w:r>
        <w:rPr>
          <w:rFonts w:ascii="Arial" w:cs="Arial" w:eastAsia="Arial" w:hAnsi="Arial"/>
          <w:sz w:val="15"/>
          <w:szCs w:val="15"/>
          <w:color w:val="auto"/>
        </w:rPr>
        <w:t>Adjusted EBITDA increased $5.0 million, or 26.2%, to $24.0 million for the six months ended June 30, 2022 from $19.0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six months ended June 30, 2021. The increase in Adjusted EBITDA was driven by the increased gross profit discussed above, partially offset by a $1.9 million increase in SG&amp;A expense driven primarily by increased personnel costs, including commissions and other variable compensation.</w:t>
      </w:r>
    </w:p>
    <w:p>
      <w:pPr>
        <w:spacing w:after="0" w:line="4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5"/>
          <w:szCs w:val="15"/>
          <w:b w:val="1"/>
          <w:bCs w:val="1"/>
          <w:i w:val="1"/>
          <w:iCs w:val="1"/>
          <w:color w:val="auto"/>
        </w:rPr>
        <w:t xml:space="preserve">Capital Expenditures for Rental Equipment: </w:t>
      </w:r>
      <w:r>
        <w:rPr>
          <w:rFonts w:ascii="Arial" w:cs="Arial" w:eastAsia="Arial" w:hAnsi="Arial"/>
          <w:sz w:val="15"/>
          <w:szCs w:val="15"/>
          <w:color w:val="auto"/>
        </w:rPr>
        <w:t>Purchases of rental equipment and refurbishments increased $7.6 million, or 124.6%, to $13.7 million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six months ended June 30, 2022 from $6.1 million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1D2758"/>
        </w:rPr>
        <w:t>Reconciliation of Non-GAAP Financial Measures</w:t>
      </w:r>
    </w:p>
    <w:p>
      <w:pPr>
        <w:spacing w:after="0" w:line="127"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In addition to using GAAP financial measurements, we use certain non-GAAP financial measures to evaluate our operating results. As such, we include in this Quarterly Report on Form 10-Q reconciliations of non-GAAP financial measures to their most directly comparable GAAP financial measures. Set forth below are definitions and reconciliations to the nearest comparable GAAP measure of certain non-GAAP financial measures used in this Quarterly Report on Form 10-Q along with descriptions of why we believe these measures provide useful information to investors as well as a description of the limitations of these measures.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We define EBITDA as net income (loss) plus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49" w:lineRule="exact"/>
        <w:rPr>
          <w:sz w:val="20"/>
          <w:szCs w:val="20"/>
          <w:color w:val="auto"/>
        </w:rPr>
      </w:pPr>
    </w:p>
    <w:p>
      <w:pPr>
        <w:ind w:left="940" w:hanging="318"/>
        <w:spacing w:after="0" w:line="312"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Currency (gains) losses, net: on monetary assets and liabilities denominated in foreign currencies other than the subsidiaries’ functional currency. Substantially all such currency gains (losses) are unrealized and attributable to financings due to and from affiliated companies.</w:t>
      </w:r>
    </w:p>
    <w:p>
      <w:pPr>
        <w:spacing w:after="0" w:line="28"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Goodwill and other impairment charges related to non-cash costs associated with impairment charges to goodwill, other intangibles, rental fleet and property, plant and equipment.</w:t>
      </w:r>
    </w:p>
    <w:p>
      <w:pPr>
        <w:spacing w:after="0" w:line="54"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Restructuring costs, lease impairment expense, and other related charges associated with restructuring plans designed to streamline operations and reduce costs including employee and lease termination costs.</w:t>
      </w:r>
    </w:p>
    <w:p>
      <w:pPr>
        <w:spacing w:after="0" w:line="54"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Transaction costs including legal and professional fees and other transaction specific related costs.</w:t>
      </w:r>
    </w:p>
    <w:p>
      <w:pPr>
        <w:spacing w:after="0" w:line="111"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Costs to integrate acquired companies, including outside professional fees, non-capitalized costs associated with system integrations, non-lease branch and fleet relocation expenses, employee training costs and other costs required to realize cost or revenue synergies.</w:t>
      </w:r>
    </w:p>
    <w:p>
      <w:pPr>
        <w:spacing w:after="0" w:line="54"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Non-cash charges for stock compensation plans.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Gains and losses resulting from changes in fair value and extinguishment of common stock warrant liabilities.</w:t>
      </w:r>
    </w:p>
    <w:p>
      <w:pPr>
        <w:spacing w:after="0" w:line="124" w:lineRule="exact"/>
        <w:rPr>
          <w:rFonts w:ascii="Arial" w:cs="Arial" w:eastAsia="Arial" w:hAnsi="Arial"/>
          <w:sz w:val="15"/>
          <w:szCs w:val="15"/>
          <w:color w:val="auto"/>
        </w:rPr>
      </w:pPr>
    </w:p>
    <w:p>
      <w:pPr>
        <w:ind w:left="940" w:hanging="318"/>
        <w:spacing w:after="0" w:line="294" w:lineRule="auto"/>
        <w:tabs>
          <w:tab w:leader="none" w:pos="929" w:val="left"/>
        </w:tabs>
        <w:numPr>
          <w:ilvl w:val="0"/>
          <w:numId w:val="11"/>
        </w:numPr>
        <w:rPr>
          <w:rFonts w:ascii="Arial" w:cs="Arial" w:eastAsia="Arial" w:hAnsi="Arial"/>
          <w:sz w:val="15"/>
          <w:szCs w:val="15"/>
          <w:color w:val="auto"/>
        </w:rPr>
      </w:pPr>
      <w:r>
        <w:rPr>
          <w:rFonts w:ascii="Arial" w:cs="Arial" w:eastAsia="Arial" w:hAnsi="Arial"/>
          <w:sz w:val="15"/>
          <w:szCs w:val="15"/>
          <w:color w:val="auto"/>
        </w:rPr>
        <w:t>Other expense, including consulting expenses related to certain one-time projects, financing costs not classified as interest expense and gains and losses on disposals of property, plant and equipment.</w:t>
      </w:r>
    </w:p>
    <w:p>
      <w:pPr>
        <w:spacing w:after="0" w:line="4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Our Chief Operating Decision Maker ("CODM") evaluates business segment performance utilizing Adjusted EBITDA as shown in the reconciliation of the Company’s consolidated net income to Adjusted EBITDA below. Management believes that evaluating segment performance excluding such items is meaningful because it provides insight with respect to the intrinsic and ongoing operating results of the Company and captures the business performance of the segments, inclusive of indirect costs.</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Adjusted EBITDA has limitations as an analytical tool, and you should not consider the measure in isolation or as a substitute for net income (loss), cash flow from operations or other methods of analyzing WillScot Mobile Mini’s results as reported under GAAP. Some of these limitations are:</w:t>
      </w:r>
    </w:p>
    <w:p>
      <w:pPr>
        <w:spacing w:after="0" w:line="54" w:lineRule="exact"/>
        <w:rPr>
          <w:sz w:val="20"/>
          <w:szCs w:val="20"/>
          <w:color w:val="auto"/>
        </w:rPr>
      </w:pPr>
    </w:p>
    <w:p>
      <w:pPr>
        <w:ind w:left="920" w:hanging="29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changes in, or cash requirements for our working capital needs;</w:t>
      </w:r>
    </w:p>
    <w:p>
      <w:pPr>
        <w:spacing w:after="0" w:line="111" w:lineRule="exact"/>
        <w:rPr>
          <w:rFonts w:ascii="Arial" w:cs="Arial" w:eastAsia="Arial" w:hAnsi="Arial"/>
          <w:sz w:val="15"/>
          <w:szCs w:val="15"/>
          <w:color w:val="auto"/>
        </w:rPr>
      </w:pPr>
    </w:p>
    <w:p>
      <w:pPr>
        <w:ind w:left="940" w:hanging="318"/>
        <w:spacing w:after="0" w:line="276" w:lineRule="auto"/>
        <w:tabs>
          <w:tab w:leader="none" w:pos="929"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our interest expense, or the cash requirements necessary to service interest or principal payments, on our indebtedness;</w:t>
      </w:r>
    </w:p>
    <w:p>
      <w:pPr>
        <w:spacing w:after="0" w:line="278" w:lineRule="exact"/>
        <w:rPr>
          <w:rFonts w:ascii="Arial" w:cs="Arial" w:eastAsia="Arial" w:hAnsi="Arial"/>
          <w:sz w:val="15"/>
          <w:szCs w:val="15"/>
          <w:color w:val="auto"/>
        </w:rPr>
      </w:pPr>
    </w:p>
    <w:p>
      <w:pPr>
        <w:ind w:left="920" w:hanging="29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our tax expense or the cash requirements to pay our taxes;</w:t>
      </w:r>
    </w:p>
    <w:p>
      <w:pPr>
        <w:spacing w:after="0" w:line="111" w:lineRule="exact"/>
        <w:rPr>
          <w:rFonts w:ascii="Arial" w:cs="Arial" w:eastAsia="Arial" w:hAnsi="Arial"/>
          <w:sz w:val="15"/>
          <w:szCs w:val="15"/>
          <w:color w:val="auto"/>
        </w:rPr>
      </w:pPr>
    </w:p>
    <w:p>
      <w:pPr>
        <w:ind w:left="920" w:hanging="29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historical cash expenditures or future requirements for capital expenditures or contractual commitments;</w:t>
      </w:r>
    </w:p>
    <w:p>
      <w:pPr>
        <w:spacing w:after="0" w:line="124" w:lineRule="exact"/>
        <w:rPr>
          <w:rFonts w:ascii="Arial" w:cs="Arial" w:eastAsia="Arial" w:hAnsi="Arial"/>
          <w:sz w:val="15"/>
          <w:szCs w:val="15"/>
          <w:color w:val="auto"/>
        </w:rPr>
      </w:pPr>
    </w:p>
    <w:p>
      <w:pPr>
        <w:ind w:left="940" w:hanging="318"/>
        <w:spacing w:after="0" w:line="267" w:lineRule="auto"/>
        <w:tabs>
          <w:tab w:leader="none" w:pos="929" w:val="left"/>
        </w:tabs>
        <w:numPr>
          <w:ilvl w:val="0"/>
          <w:numId w:val="12"/>
        </w:numPr>
        <w:rPr>
          <w:rFonts w:ascii="Arial" w:cs="Arial" w:eastAsia="Arial" w:hAnsi="Arial"/>
          <w:sz w:val="15"/>
          <w:szCs w:val="15"/>
          <w:color w:val="auto"/>
        </w:rPr>
      </w:pPr>
      <w:r>
        <w:rPr>
          <w:rFonts w:ascii="Arial" w:cs="Arial" w:eastAsia="Arial" w:hAnsi="Arial"/>
          <w:sz w:val="15"/>
          <w:szCs w:val="15"/>
          <w:color w:val="auto"/>
        </w:rPr>
        <w:t>Adjusted EBITDA does not reflect the impact on earnings or changes resulting from matters that we consider not to be indicative of our future operations;</w:t>
      </w:r>
    </w:p>
    <w:p>
      <w:pPr>
        <w:spacing w:after="0" w:line="272" w:lineRule="exact"/>
        <w:rPr>
          <w:rFonts w:ascii="Arial" w:cs="Arial" w:eastAsia="Arial" w:hAnsi="Arial"/>
          <w:sz w:val="15"/>
          <w:szCs w:val="15"/>
          <w:color w:val="auto"/>
        </w:rPr>
      </w:pPr>
    </w:p>
    <w:p>
      <w:pPr>
        <w:ind w:left="940" w:hanging="318"/>
        <w:spacing w:after="0" w:line="312" w:lineRule="auto"/>
        <w:tabs>
          <w:tab w:leader="none" w:pos="929" w:val="left"/>
        </w:tabs>
        <w:numPr>
          <w:ilvl w:val="0"/>
          <w:numId w:val="12"/>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28" w:lineRule="exact"/>
        <w:rPr>
          <w:rFonts w:ascii="Arial" w:cs="Arial" w:eastAsia="Arial" w:hAnsi="Arial"/>
          <w:sz w:val="15"/>
          <w:szCs w:val="15"/>
          <w:color w:val="auto"/>
        </w:rPr>
      </w:pPr>
    </w:p>
    <w:p>
      <w:pPr>
        <w:ind w:left="920" w:hanging="298"/>
        <w:spacing w:after="0"/>
        <w:tabs>
          <w:tab w:leader="none" w:pos="9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other companies in our industry may calculate Adjusted EBITDA differently, limiting its usefulness as a comparative measure.</w:t>
      </w:r>
    </w:p>
    <w:p>
      <w:pPr>
        <w:spacing w:after="0" w:line="124"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Because of these limitations, Adjusted EBITDA should not be considered as discretionary cash available to reinvest in the growth of our business or as measures of cash that will be available to meet our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0" w:name="page41"/>
    <w:bookmarkEnd w:id="40"/>
    <w:p>
      <w:pPr>
        <w:ind w:left="620"/>
        <w:spacing w:after="0"/>
        <w:rPr>
          <w:sz w:val="20"/>
          <w:szCs w:val="20"/>
          <w:color w:val="auto"/>
        </w:rPr>
      </w:pPr>
      <w:r>
        <w:rPr>
          <w:rFonts w:ascii="Arial" w:cs="Arial" w:eastAsia="Arial" w:hAnsi="Arial"/>
          <w:sz w:val="15"/>
          <w:szCs w:val="15"/>
          <w:color w:val="auto"/>
        </w:rPr>
        <w:t>The following table provides unaudited reconciliations of Net income to Adjusted EBITDA: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100" w:type="dxa"/>
            <w:vAlign w:val="bottom"/>
            <w:gridSpan w:val="5"/>
            <w:shd w:val="clear" w:color="auto" w:fill="1D2758"/>
          </w:tcPr>
          <w:p>
            <w:pPr>
              <w:ind w:left="560"/>
              <w:spacing w:after="0"/>
              <w:rPr>
                <w:sz w:val="20"/>
                <w:szCs w:val="20"/>
                <w:color w:val="auto"/>
              </w:rPr>
            </w:pPr>
            <w:r>
              <w:rPr>
                <w:rFonts w:ascii="Arial" w:cs="Arial" w:eastAsia="Arial" w:hAnsi="Arial"/>
                <w:sz w:val="15"/>
                <w:szCs w:val="15"/>
                <w:b w:val="1"/>
                <w:bCs w:val="1"/>
                <w:color w:val="FFFFFF"/>
              </w:rPr>
              <w:t>Three Months Ended</w:t>
            </w:r>
          </w:p>
        </w:tc>
        <w:tc>
          <w:tcPr>
            <w:tcW w:w="380" w:type="dxa"/>
            <w:vAlign w:val="bottom"/>
            <w:shd w:val="clear" w:color="auto" w:fill="1D2758"/>
          </w:tcPr>
          <w:p>
            <w:pPr>
              <w:spacing w:after="0"/>
              <w:rPr>
                <w:sz w:val="17"/>
                <w:szCs w:val="17"/>
                <w:color w:val="auto"/>
              </w:rPr>
            </w:pPr>
          </w:p>
        </w:tc>
        <w:tc>
          <w:tcPr>
            <w:tcW w:w="20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w:t>
            </w:r>
          </w:p>
        </w:tc>
        <w:tc>
          <w:tcPr>
            <w:tcW w:w="10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6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820" w:type="dxa"/>
            <w:vAlign w:val="bottom"/>
            <w:gridSpan w:val="3"/>
            <w:shd w:val="clear" w:color="auto" w:fill="1D2758"/>
          </w:tcPr>
          <w:p>
            <w:pPr>
              <w:jc w:val="right"/>
              <w:ind w:right="123"/>
              <w:spacing w:after="0"/>
              <w:rPr>
                <w:sz w:val="20"/>
                <w:szCs w:val="20"/>
                <w:color w:val="auto"/>
              </w:rPr>
            </w:pPr>
            <w:r>
              <w:rPr>
                <w:rFonts w:ascii="Arial" w:cs="Arial" w:eastAsia="Arial" w:hAnsi="Arial"/>
                <w:sz w:val="15"/>
                <w:szCs w:val="15"/>
                <w:b w:val="1"/>
                <w:bCs w:val="1"/>
                <w:color w:val="FFFFFF"/>
              </w:rPr>
              <w:t>June 30,</w:t>
            </w:r>
          </w:p>
        </w:tc>
        <w:tc>
          <w:tcPr>
            <w:tcW w:w="120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00" w:type="dxa"/>
            <w:vAlign w:val="bottom"/>
            <w:gridSpan w:val="3"/>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June 30,</w:t>
            </w:r>
          </w:p>
        </w:tc>
        <w:tc>
          <w:tcPr>
            <w:tcW w:w="10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640" w:type="dxa"/>
            <w:vAlign w:val="bottom"/>
            <w:shd w:val="clear" w:color="auto" w:fill="1D2758"/>
          </w:tcPr>
          <w:p>
            <w:pPr>
              <w:spacing w:after="0"/>
              <w:rPr>
                <w:sz w:val="18"/>
                <w:szCs w:val="18"/>
                <w:color w:val="auto"/>
              </w:rPr>
            </w:pPr>
          </w:p>
        </w:tc>
        <w:tc>
          <w:tcPr>
            <w:tcW w:w="102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73,376</w:t>
            </w:r>
          </w:p>
        </w:tc>
        <w:tc>
          <w:tcPr>
            <w:tcW w:w="80" w:type="dxa"/>
            <w:vAlign w:val="bottom"/>
            <w:shd w:val="clear" w:color="auto" w:fill="DBDBDB"/>
          </w:tcPr>
          <w:p>
            <w:pPr>
              <w:spacing w:after="0"/>
              <w:rPr>
                <w:sz w:val="17"/>
                <w:szCs w:val="17"/>
                <w:color w:val="auto"/>
              </w:rPr>
            </w:pPr>
          </w:p>
        </w:tc>
        <w:tc>
          <w:tcPr>
            <w:tcW w:w="46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20,371</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124,547</w:t>
            </w: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24,818</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Income tax expense</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24,711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18,828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40,459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29,309</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Loss on extinguishment of debt</w:t>
            </w:r>
          </w:p>
        </w:tc>
        <w:tc>
          <w:tcPr>
            <w:tcW w:w="3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2,814</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36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5,999</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Fair value (gain) loss on common stock warrant liabilities</w:t>
            </w: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(610)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26,597</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33,574</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29,212</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64,564</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59,176</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Depreciation and amortization</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86,230</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84,515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168,050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158,537</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Currency (gains) losses, net</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11</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69</w:t>
            </w:r>
          </w:p>
        </w:tc>
        <w:tc>
          <w:tcPr>
            <w:tcW w:w="0" w:type="dxa"/>
            <w:vAlign w:val="bottom"/>
          </w:tcPr>
          <w:p>
            <w:pPr>
              <w:spacing w:after="0"/>
              <w:rPr>
                <w:sz w:val="1"/>
                <w:szCs w:val="1"/>
                <w:color w:val="auto"/>
              </w:rPr>
            </w:pPr>
          </w:p>
        </w:tc>
      </w:tr>
      <w:tr>
        <w:trPr>
          <w:trHeight w:val="155"/>
        </w:trPr>
        <w:tc>
          <w:tcPr>
            <w:tcW w:w="4360" w:type="dxa"/>
            <w:vAlign w:val="bottom"/>
          </w:tcPr>
          <w:p>
            <w:pPr>
              <w:ind w:left="220"/>
              <w:spacing w:after="0" w:line="156" w:lineRule="exact"/>
              <w:rPr>
                <w:sz w:val="20"/>
                <w:szCs w:val="20"/>
                <w:color w:val="auto"/>
              </w:rPr>
            </w:pPr>
            <w:r>
              <w:rPr>
                <w:rFonts w:ascii="Arial" w:cs="Arial" w:eastAsia="Arial" w:hAnsi="Arial"/>
                <w:sz w:val="15"/>
                <w:szCs w:val="15"/>
                <w:color w:val="auto"/>
              </w:rPr>
              <w:t>Restructuring costs, lease impairment expense and other</w:t>
            </w:r>
          </w:p>
        </w:tc>
        <w:tc>
          <w:tcPr>
            <w:tcW w:w="38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vMerge w:val="restart"/>
          </w:tcPr>
          <w:p>
            <w:pPr>
              <w:jc w:val="right"/>
              <w:ind w:right="3"/>
              <w:spacing w:after="0"/>
              <w:rPr>
                <w:sz w:val="20"/>
                <w:szCs w:val="20"/>
                <w:color w:val="auto"/>
              </w:rPr>
            </w:pPr>
            <w:r>
              <w:rPr>
                <w:rFonts w:ascii="Arial" w:cs="Arial" w:eastAsia="Arial" w:hAnsi="Arial"/>
                <w:sz w:val="15"/>
                <w:szCs w:val="15"/>
                <w:color w:val="auto"/>
              </w:rPr>
              <w:t>7,434</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restart"/>
          </w:tcPr>
          <w:p>
            <w:pPr>
              <w:jc w:val="right"/>
              <w:ind w:right="3"/>
              <w:spacing w:after="0"/>
              <w:rPr>
                <w:sz w:val="20"/>
                <w:szCs w:val="20"/>
                <w:color w:val="auto"/>
              </w:rPr>
            </w:pPr>
            <w:r>
              <w:rPr>
                <w:rFonts w:ascii="Arial" w:cs="Arial" w:eastAsia="Arial" w:hAnsi="Arial"/>
                <w:sz w:val="15"/>
                <w:szCs w:val="15"/>
                <w:color w:val="auto"/>
              </w:rPr>
              <w:t>168</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11,829</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related charges</w:t>
            </w:r>
          </w:p>
        </w:tc>
        <w:tc>
          <w:tcPr>
            <w:tcW w:w="3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Transaction costs</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80" w:type="dxa"/>
            <w:vAlign w:val="bottom"/>
            <w:gridSpan w:val="2"/>
            <w:shd w:val="clear" w:color="auto" w:fill="DBDBDB"/>
          </w:tcPr>
          <w:p>
            <w:pPr>
              <w:jc w:val="right"/>
              <w:ind w:right="160"/>
              <w:spacing w:after="0"/>
              <w:rPr>
                <w:sz w:val="20"/>
                <w:szCs w:val="20"/>
                <w:color w:val="auto"/>
              </w:rPr>
            </w:pPr>
            <w:r>
              <w:rPr>
                <w:rFonts w:ascii="Arial" w:cs="Arial" w:eastAsia="Arial" w:hAnsi="Arial"/>
                <w:sz w:val="15"/>
                <w:szCs w:val="15"/>
                <w:color w:val="auto"/>
              </w:rPr>
              <w:t>—</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41</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205"/>
        </w:trPr>
        <w:tc>
          <w:tcPr>
            <w:tcW w:w="4360" w:type="dxa"/>
            <w:vAlign w:val="bottom"/>
          </w:tcPr>
          <w:p>
            <w:pPr>
              <w:ind w:left="220"/>
              <w:spacing w:after="0"/>
              <w:rPr>
                <w:sz w:val="20"/>
                <w:szCs w:val="20"/>
                <w:color w:val="auto"/>
              </w:rPr>
            </w:pPr>
            <w:r>
              <w:rPr>
                <w:rFonts w:ascii="Arial" w:cs="Arial" w:eastAsia="Arial" w:hAnsi="Arial"/>
                <w:sz w:val="15"/>
                <w:szCs w:val="15"/>
                <w:color w:val="auto"/>
              </w:rPr>
              <w:t>Integration costs</w:t>
            </w: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5,203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3"/>
              <w:spacing w:after="0"/>
              <w:rPr>
                <w:sz w:val="20"/>
                <w:szCs w:val="20"/>
                <w:color w:val="auto"/>
              </w:rPr>
            </w:pPr>
            <w:r>
              <w:rPr>
                <w:rFonts w:ascii="Arial" w:cs="Arial" w:eastAsia="Arial" w:hAnsi="Arial"/>
                <w:sz w:val="15"/>
                <w:szCs w:val="15"/>
                <w:color w:val="auto"/>
              </w:rPr>
              <w:t>7,622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Arial" w:cs="Arial" w:eastAsia="Arial" w:hAnsi="Arial"/>
                <w:sz w:val="15"/>
                <w:szCs w:val="15"/>
                <w:color w:val="auto"/>
              </w:rPr>
              <w:t>9,291</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14,964</w:t>
            </w:r>
          </w:p>
        </w:tc>
        <w:tc>
          <w:tcPr>
            <w:tcW w:w="0" w:type="dxa"/>
            <w:vAlign w:val="bottom"/>
          </w:tcPr>
          <w:p>
            <w:pPr>
              <w:spacing w:after="0"/>
              <w:rPr>
                <w:sz w:val="1"/>
                <w:szCs w:val="1"/>
                <w:color w:val="auto"/>
              </w:rPr>
            </w:pPr>
          </w:p>
        </w:tc>
      </w:tr>
      <w:tr>
        <w:trPr>
          <w:trHeight w:val="207"/>
        </w:trPr>
        <w:tc>
          <w:tcPr>
            <w:tcW w:w="4360" w:type="dxa"/>
            <w:vAlign w:val="bottom"/>
            <w:shd w:val="clear" w:color="auto" w:fill="DBDBDB"/>
          </w:tcPr>
          <w:p>
            <w:pPr>
              <w:ind w:left="220"/>
              <w:spacing w:after="0"/>
              <w:rPr>
                <w:sz w:val="20"/>
                <w:szCs w:val="20"/>
                <w:color w:val="auto"/>
              </w:rPr>
            </w:pPr>
            <w:r>
              <w:rPr>
                <w:rFonts w:ascii="Arial" w:cs="Arial" w:eastAsia="Arial" w:hAnsi="Arial"/>
                <w:sz w:val="15"/>
                <w:szCs w:val="15"/>
                <w:color w:val="auto"/>
              </w:rPr>
              <w:t>Stock compensation expense</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9,292</w:t>
            </w:r>
          </w:p>
        </w:tc>
        <w:tc>
          <w:tcPr>
            <w:tcW w:w="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4,707</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15,687</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8,221</w:t>
            </w:r>
          </w:p>
        </w:tc>
        <w:tc>
          <w:tcPr>
            <w:tcW w:w="0" w:type="dxa"/>
            <w:vAlign w:val="bottom"/>
          </w:tcPr>
          <w:p>
            <w:pPr>
              <w:spacing w:after="0"/>
              <w:rPr>
                <w:sz w:val="1"/>
                <w:szCs w:val="1"/>
                <w:color w:val="auto"/>
              </w:rPr>
            </w:pPr>
          </w:p>
        </w:tc>
      </w:tr>
      <w:tr>
        <w:trPr>
          <w:trHeight w:val="205"/>
        </w:trPr>
        <w:tc>
          <w:tcPr>
            <w:tcW w:w="436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1,149</w:t>
            </w:r>
          </w:p>
        </w:tc>
        <w:tc>
          <w:tcPr>
            <w:tcW w:w="80" w:type="dxa"/>
            <w:vAlign w:val="bottom"/>
            <w:tcBorders>
              <w:bottom w:val="single" w:sz="8" w:color="DBDBDB"/>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569</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2,340</w:t>
            </w: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Adjusted EBITDA</w:t>
            </w: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233,335</w:t>
            </w:r>
          </w:p>
        </w:tc>
        <w:tc>
          <w:tcPr>
            <w:tcW w:w="8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175,495</w:t>
            </w:r>
          </w:p>
        </w:tc>
        <w:tc>
          <w:tcPr>
            <w:tcW w:w="80" w:type="dxa"/>
            <w:vAlign w:val="bottom"/>
            <w:tcBorders>
              <w:bottom w:val="single" w:sz="8" w:color="DBDBDB"/>
            </w:tcBorders>
            <w:shd w:val="clear" w:color="auto" w:fill="DBDBDB"/>
          </w:tcPr>
          <w:p>
            <w:pPr>
              <w:spacing w:after="0"/>
              <w:rPr>
                <w:sz w:val="20"/>
                <w:szCs w:val="20"/>
                <w:color w:val="auto"/>
              </w:rPr>
            </w:pPr>
          </w:p>
        </w:tc>
        <w:tc>
          <w:tcPr>
            <w:tcW w:w="3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425,158</w:t>
            </w:r>
          </w:p>
        </w:tc>
        <w:tc>
          <w:tcPr>
            <w:tcW w:w="80" w:type="dxa"/>
            <w:vAlign w:val="bottom"/>
            <w:tcBorders>
              <w:bottom w:val="single" w:sz="8" w:color="DBDBDB"/>
            </w:tcBorders>
            <w:shd w:val="clear" w:color="auto" w:fill="DBDBDB"/>
          </w:tcPr>
          <w:p>
            <w:pPr>
              <w:spacing w:after="0"/>
              <w:rPr>
                <w:sz w:val="20"/>
                <w:szCs w:val="20"/>
                <w:color w:val="auto"/>
              </w:rPr>
            </w:pPr>
          </w:p>
        </w:tc>
        <w:tc>
          <w:tcPr>
            <w:tcW w:w="640" w:type="dxa"/>
            <w:vAlign w:val="bottom"/>
            <w:tcBorders>
              <w:bottom w:val="single" w:sz="8" w:color="auto"/>
            </w:tcBorders>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339,080</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shd w:val="clear" w:color="auto" w:fill="000000"/>
          </w:tcPr>
          <w:p>
            <w:pPr>
              <w:spacing w:after="0" w:line="20" w:lineRule="exact"/>
              <w:rPr>
                <w:sz w:val="1"/>
                <w:szCs w:val="1"/>
                <w:color w:val="auto"/>
              </w:rPr>
            </w:pPr>
          </w:p>
        </w:tc>
        <w:tc>
          <w:tcPr>
            <w:tcW w:w="120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tcBorders>
            <w:shd w:val="clear" w:color="auto" w:fill="000000"/>
          </w:tcPr>
          <w:p>
            <w:pPr>
              <w:spacing w:after="0" w:line="20" w:lineRule="exact"/>
              <w:rPr>
                <w:sz w:val="1"/>
                <w:szCs w:val="1"/>
                <w:color w:val="auto"/>
              </w:rPr>
            </w:pPr>
          </w:p>
        </w:tc>
        <w:tc>
          <w:tcPr>
            <w:tcW w:w="1280" w:type="dxa"/>
            <w:vAlign w:val="bottom"/>
            <w:tcBorders>
              <w:top w:val="single" w:sz="8" w:color="DBDBDB"/>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DBDBDB"/>
            </w:tcBorders>
            <w:shd w:val="clear" w:color="auto" w:fill="000000"/>
          </w:tcPr>
          <w:p>
            <w:pPr>
              <w:spacing w:after="0" w:line="20" w:lineRule="exact"/>
              <w:rPr>
                <w:sz w:val="1"/>
                <w:szCs w:val="1"/>
                <w:color w:val="auto"/>
              </w:rPr>
            </w:pPr>
          </w:p>
        </w:tc>
        <w:tc>
          <w:tcPr>
            <w:tcW w:w="1020" w:type="dxa"/>
            <w:vAlign w:val="bottom"/>
            <w:tcBorders>
              <w:top w:val="single" w:sz="8" w:color="DBDBDB"/>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Excluding Gain/Loss from Warrants</w:t>
      </w:r>
    </w:p>
    <w:p>
      <w:pPr>
        <w:spacing w:after="0" w:line="10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5"/>
          <w:szCs w:val="15"/>
          <w:color w:val="auto"/>
        </w:rPr>
        <w:t>We define Net Income Excluding Gain/Loss from Warrants as net income plus or minus the impact of the change in the fair value of the common stock warrant liability. Management believes that the presentation of our financial statements excluding the impact of the mark-to-market adjustment provides useful information regarding our results of operations and assists in the review of our actual operating performance. The following table provides unaudited reconciliations of Net income to Net Income Excluding Gain/Loss from Warrants: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shd w:val="clear" w:color="auto" w:fill="1D2758"/>
          </w:tcPr>
          <w:p>
            <w:pPr>
              <w:spacing w:after="0"/>
              <w:rPr>
                <w:sz w:val="17"/>
                <w:szCs w:val="17"/>
                <w:color w:val="auto"/>
              </w:rPr>
            </w:pPr>
          </w:p>
        </w:tc>
        <w:tc>
          <w:tcPr>
            <w:tcW w:w="282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Three Months Ended June 30,</w:t>
            </w:r>
          </w:p>
        </w:tc>
        <w:tc>
          <w:tcPr>
            <w:tcW w:w="620" w:type="dxa"/>
            <w:vAlign w:val="bottom"/>
            <w:shd w:val="clear" w:color="auto" w:fill="1D2758"/>
          </w:tcPr>
          <w:p>
            <w:pPr>
              <w:spacing w:after="0"/>
              <w:rPr>
                <w:sz w:val="17"/>
                <w:szCs w:val="17"/>
                <w:color w:val="auto"/>
              </w:rPr>
            </w:pPr>
          </w:p>
        </w:tc>
        <w:tc>
          <w:tcPr>
            <w:tcW w:w="2860" w:type="dxa"/>
            <w:vAlign w:val="bottom"/>
            <w:gridSpan w:val="3"/>
            <w:shd w:val="clear" w:color="auto" w:fill="1D2758"/>
          </w:tcPr>
          <w:p>
            <w:pPr>
              <w:jc w:val="right"/>
              <w:ind w:right="23"/>
              <w:spacing w:after="0"/>
              <w:rPr>
                <w:sz w:val="20"/>
                <w:szCs w:val="20"/>
                <w:color w:val="auto"/>
              </w:rPr>
            </w:pPr>
            <w:r>
              <w:rPr>
                <w:rFonts w:ascii="Arial" w:cs="Arial" w:eastAsia="Arial" w:hAnsi="Arial"/>
                <w:sz w:val="15"/>
                <w:szCs w:val="15"/>
                <w:b w:val="1"/>
                <w:bCs w:val="1"/>
                <w:color w:val="FFFFFF"/>
              </w:rPr>
              <w:t>Six Months Ended June 30,</w:t>
            </w:r>
          </w:p>
        </w:tc>
        <w:tc>
          <w:tcPr>
            <w:tcW w:w="600" w:type="dxa"/>
            <w:vAlign w:val="bottom"/>
            <w:shd w:val="clear" w:color="auto" w:fill="1D2758"/>
          </w:tcPr>
          <w:p>
            <w:pPr>
              <w:spacing w:after="0"/>
              <w:rPr>
                <w:sz w:val="17"/>
                <w:szCs w:val="17"/>
                <w:color w:val="auto"/>
              </w:rPr>
            </w:pPr>
          </w:p>
        </w:tc>
      </w:tr>
      <w:tr>
        <w:trPr>
          <w:trHeight w:val="206"/>
        </w:trPr>
        <w:tc>
          <w:tcPr>
            <w:tcW w:w="4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620" w:type="dxa"/>
            <w:vAlign w:val="bottom"/>
            <w:shd w:val="clear" w:color="auto" w:fill="1D2758"/>
          </w:tcPr>
          <w:p>
            <w:pPr>
              <w:spacing w:after="0"/>
              <w:rPr>
                <w:sz w:val="17"/>
                <w:szCs w:val="17"/>
                <w:color w:val="auto"/>
              </w:rPr>
            </w:pPr>
          </w:p>
        </w:tc>
        <w:tc>
          <w:tcPr>
            <w:tcW w:w="1140" w:type="dxa"/>
            <w:vAlign w:val="bottom"/>
            <w:shd w:val="clear" w:color="auto" w:fill="1D2758"/>
          </w:tcPr>
          <w:p>
            <w:pPr>
              <w:jc w:val="right"/>
              <w:ind w:right="3"/>
              <w:spacing w:after="0"/>
              <w:rPr>
                <w:sz w:val="20"/>
                <w:szCs w:val="20"/>
                <w:color w:val="auto"/>
              </w:rPr>
            </w:pPr>
            <w:r>
              <w:rPr>
                <w:rFonts w:ascii="Arial" w:cs="Arial" w:eastAsia="Arial" w:hAnsi="Arial"/>
                <w:sz w:val="15"/>
                <w:szCs w:val="15"/>
                <w:b w:val="1"/>
                <w:bCs w:val="1"/>
                <w:color w:val="FFFFFF"/>
              </w:rPr>
              <w:t>2021</w:t>
            </w:r>
          </w:p>
        </w:tc>
        <w:tc>
          <w:tcPr>
            <w:tcW w:w="620" w:type="dxa"/>
            <w:vAlign w:val="bottom"/>
            <w:shd w:val="clear" w:color="auto" w:fill="1D2758"/>
          </w:tcPr>
          <w:p>
            <w:pPr>
              <w:spacing w:after="0"/>
              <w:rPr>
                <w:sz w:val="17"/>
                <w:szCs w:val="17"/>
                <w:color w:val="auto"/>
              </w:rPr>
            </w:pPr>
          </w:p>
        </w:tc>
        <w:tc>
          <w:tcPr>
            <w:tcW w:w="106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680" w:type="dxa"/>
            <w:vAlign w:val="bottom"/>
            <w:shd w:val="clear" w:color="auto" w:fill="1D2758"/>
          </w:tcPr>
          <w:p>
            <w:pPr>
              <w:spacing w:after="0"/>
              <w:rPr>
                <w:sz w:val="17"/>
                <w:szCs w:val="17"/>
                <w:color w:val="auto"/>
              </w:rPr>
            </w:pPr>
          </w:p>
        </w:tc>
        <w:tc>
          <w:tcPr>
            <w:tcW w:w="11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00" w:type="dxa"/>
            <w:vAlign w:val="bottom"/>
            <w:shd w:val="clear" w:color="auto" w:fill="1D2758"/>
          </w:tcPr>
          <w:p>
            <w:pPr>
              <w:spacing w:after="0"/>
              <w:rPr>
                <w:sz w:val="17"/>
                <w:szCs w:val="17"/>
                <w:color w:val="auto"/>
              </w:rPr>
            </w:pPr>
          </w:p>
        </w:tc>
      </w:tr>
      <w:tr>
        <w:trPr>
          <w:trHeight w:val="206"/>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income</w:t>
            </w:r>
          </w:p>
        </w:tc>
        <w:tc>
          <w:tcPr>
            <w:tcW w:w="1060" w:type="dxa"/>
            <w:vAlign w:val="bottom"/>
            <w:shd w:val="clear" w:color="auto" w:fill="DBDBDB"/>
          </w:tcPr>
          <w:p>
            <w:pPr>
              <w:jc w:val="right"/>
              <w:ind w:right="863"/>
              <w:spacing w:after="0"/>
              <w:rPr>
                <w:sz w:val="20"/>
                <w:szCs w:val="20"/>
                <w:color w:val="auto"/>
              </w:rPr>
            </w:pPr>
            <w:r>
              <w:rPr>
                <w:rFonts w:ascii="Arial" w:cs="Arial" w:eastAsia="Arial" w:hAnsi="Arial"/>
                <w:sz w:val="15"/>
                <w:szCs w:val="15"/>
                <w:color w:val="auto"/>
              </w:rPr>
              <w:t>$</w:t>
            </w:r>
          </w:p>
        </w:tc>
        <w:tc>
          <w:tcPr>
            <w:tcW w:w="62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73,376</w:t>
            </w:r>
          </w:p>
        </w:tc>
        <w:tc>
          <w:tcPr>
            <w:tcW w:w="114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rPr>
              <w:t>$</w:t>
            </w:r>
          </w:p>
        </w:tc>
        <w:tc>
          <w:tcPr>
            <w:tcW w:w="620" w:type="dxa"/>
            <w:vAlign w:val="bottom"/>
            <w:shd w:val="clear" w:color="auto" w:fill="DBDBDB"/>
          </w:tcPr>
          <w:p>
            <w:pPr>
              <w:jc w:val="right"/>
              <w:ind w:right="43"/>
              <w:spacing w:after="0"/>
              <w:rPr>
                <w:sz w:val="20"/>
                <w:szCs w:val="20"/>
                <w:color w:val="auto"/>
              </w:rPr>
            </w:pPr>
            <w:r>
              <w:rPr>
                <w:rFonts w:ascii="Arial" w:cs="Arial" w:eastAsia="Arial" w:hAnsi="Arial"/>
                <w:sz w:val="15"/>
                <w:szCs w:val="15"/>
                <w:color w:val="auto"/>
              </w:rPr>
              <w:t>20,371</w:t>
            </w:r>
          </w:p>
        </w:tc>
        <w:tc>
          <w:tcPr>
            <w:tcW w:w="1060" w:type="dxa"/>
            <w:vAlign w:val="bottom"/>
            <w:shd w:val="clear" w:color="auto" w:fill="DBDBDB"/>
          </w:tcPr>
          <w:p>
            <w:pPr>
              <w:jc w:val="right"/>
              <w:ind w:right="823"/>
              <w:spacing w:after="0"/>
              <w:rPr>
                <w:sz w:val="20"/>
                <w:szCs w:val="20"/>
                <w:color w:val="auto"/>
              </w:rPr>
            </w:pPr>
            <w:r>
              <w:rPr>
                <w:rFonts w:ascii="Arial" w:cs="Arial" w:eastAsia="Arial" w:hAnsi="Arial"/>
                <w:sz w:val="15"/>
                <w:szCs w:val="15"/>
                <w:color w:val="auto"/>
              </w:rPr>
              <w:t>$</w:t>
            </w:r>
          </w:p>
        </w:tc>
        <w:tc>
          <w:tcPr>
            <w:tcW w:w="680" w:type="dxa"/>
            <w:vAlign w:val="bottom"/>
            <w:shd w:val="clear" w:color="auto" w:fill="DBDBDB"/>
          </w:tcPr>
          <w:p>
            <w:pPr>
              <w:jc w:val="right"/>
              <w:ind w:right="23"/>
              <w:spacing w:after="0"/>
              <w:rPr>
                <w:sz w:val="20"/>
                <w:szCs w:val="20"/>
                <w:color w:val="auto"/>
              </w:rPr>
            </w:pPr>
            <w:r>
              <w:rPr>
                <w:rFonts w:ascii="Arial" w:cs="Arial" w:eastAsia="Arial" w:hAnsi="Arial"/>
                <w:sz w:val="15"/>
                <w:szCs w:val="15"/>
                <w:color w:val="auto"/>
              </w:rPr>
              <w:t>124,547</w:t>
            </w:r>
          </w:p>
        </w:tc>
        <w:tc>
          <w:tcPr>
            <w:tcW w:w="1120" w:type="dxa"/>
            <w:vAlign w:val="bottom"/>
            <w:shd w:val="clear" w:color="auto" w:fill="DBDBDB"/>
          </w:tcPr>
          <w:p>
            <w:pPr>
              <w:jc w:val="right"/>
              <w:ind w:right="883"/>
              <w:spacing w:after="0"/>
              <w:rPr>
                <w:sz w:val="20"/>
                <w:szCs w:val="20"/>
                <w:color w:val="auto"/>
              </w:rPr>
            </w:pPr>
            <w:r>
              <w:rPr>
                <w:rFonts w:ascii="Arial" w:cs="Arial" w:eastAsia="Arial" w:hAnsi="Arial"/>
                <w:sz w:val="15"/>
                <w:szCs w:val="15"/>
                <w:color w:val="auto"/>
              </w:rPr>
              <w:t>$</w:t>
            </w:r>
          </w:p>
        </w:tc>
        <w:tc>
          <w:tcPr>
            <w:tcW w:w="6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24,818</w:t>
            </w:r>
          </w:p>
        </w:tc>
      </w:tr>
      <w:tr>
        <w:trPr>
          <w:trHeight w:val="205"/>
        </w:trPr>
        <w:tc>
          <w:tcPr>
            <w:tcW w:w="4340" w:type="dxa"/>
            <w:vAlign w:val="bottom"/>
            <w:tcBorders>
              <w:bottom w:val="single" w:sz="8" w:color="DBDBDB"/>
            </w:tcBorders>
          </w:tcPr>
          <w:p>
            <w:pPr>
              <w:ind w:left="220"/>
              <w:spacing w:after="0"/>
              <w:rPr>
                <w:sz w:val="20"/>
                <w:szCs w:val="20"/>
                <w:color w:val="auto"/>
              </w:rPr>
            </w:pPr>
            <w:r>
              <w:rPr>
                <w:rFonts w:ascii="Arial" w:cs="Arial" w:eastAsia="Arial" w:hAnsi="Arial"/>
                <w:sz w:val="15"/>
                <w:szCs w:val="15"/>
                <w:color w:val="auto"/>
              </w:rPr>
              <w:t>Fair value (gain) loss on common stock warrant liabilities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w:t>
            </w:r>
          </w:p>
        </w:tc>
        <w:tc>
          <w:tcPr>
            <w:tcW w:w="10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26,597</w:t>
            </w:r>
          </w:p>
        </w:tc>
      </w:tr>
      <w:tr>
        <w:trPr>
          <w:trHeight w:val="225"/>
        </w:trPr>
        <w:tc>
          <w:tcPr>
            <w:tcW w:w="4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5"/>
                <w:szCs w:val="15"/>
                <w:color w:val="auto"/>
              </w:rPr>
              <w:t>Net Income Excluding Gain/Loss from Warrants</w:t>
            </w:r>
          </w:p>
        </w:tc>
        <w:tc>
          <w:tcPr>
            <w:tcW w:w="1060" w:type="dxa"/>
            <w:vAlign w:val="bottom"/>
            <w:tcBorders>
              <w:bottom w:val="single" w:sz="8" w:color="auto"/>
            </w:tcBorders>
            <w:shd w:val="clear" w:color="auto" w:fill="DBDBDB"/>
          </w:tcPr>
          <w:p>
            <w:pPr>
              <w:jc w:val="right"/>
              <w:ind w:right="86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73,376</w:t>
            </w:r>
          </w:p>
        </w:tc>
        <w:tc>
          <w:tcPr>
            <w:tcW w:w="114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19,761</w:t>
            </w:r>
          </w:p>
        </w:tc>
        <w:tc>
          <w:tcPr>
            <w:tcW w:w="1060" w:type="dxa"/>
            <w:vAlign w:val="bottom"/>
            <w:tcBorders>
              <w:bottom w:val="single" w:sz="8" w:color="auto"/>
            </w:tcBorders>
            <w:shd w:val="clear" w:color="auto" w:fill="DBDBDB"/>
          </w:tcPr>
          <w:p>
            <w:pPr>
              <w:jc w:val="right"/>
              <w:ind w:right="823"/>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5"/>
                <w:szCs w:val="15"/>
                <w:color w:val="auto"/>
              </w:rPr>
              <w:t>124,547</w:t>
            </w:r>
          </w:p>
        </w:tc>
        <w:tc>
          <w:tcPr>
            <w:tcW w:w="112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51,415</w:t>
            </w:r>
          </w:p>
        </w:tc>
      </w:tr>
      <w:tr>
        <w:trPr>
          <w:trHeight w:val="20"/>
        </w:trPr>
        <w:tc>
          <w:tcPr>
            <w:tcW w:w="434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Adjusted EBITDA Margin</w:t>
      </w:r>
    </w:p>
    <w:p>
      <w:pPr>
        <w:spacing w:after="0" w:line="108" w:lineRule="exact"/>
        <w:rPr>
          <w:sz w:val="20"/>
          <w:szCs w:val="20"/>
          <w:color w:val="auto"/>
        </w:rPr>
      </w:pPr>
    </w:p>
    <w:p>
      <w:pPr>
        <w:jc w:val="both"/>
        <w:ind w:firstLine="619"/>
        <w:spacing w:after="0" w:line="296" w:lineRule="auto"/>
        <w:rPr>
          <w:sz w:val="20"/>
          <w:szCs w:val="20"/>
          <w:color w:val="auto"/>
        </w:rPr>
      </w:pPr>
      <w:r>
        <w:rPr>
          <w:rFonts w:ascii="Arial" w:cs="Arial" w:eastAsia="Arial" w:hAnsi="Arial"/>
          <w:sz w:val="15"/>
          <w:szCs w:val="15"/>
          <w:color w:val="auto"/>
        </w:rPr>
        <w:t>We define Adjusted EBITDA Margin as Adjusted EBITDA divided by revenue. Management believes that the presentation of Adjusted EBITDA Margin provides useful information to investors regarding the performance of our business. The following table provides an unaudited reconciliation of Adjusted EBITDA Margin: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3200" w:type="dxa"/>
            <w:vAlign w:val="bottom"/>
            <w:gridSpan w:val="5"/>
            <w:shd w:val="clear" w:color="auto" w:fill="1D2758"/>
          </w:tcPr>
          <w:p>
            <w:pPr>
              <w:ind w:left="260"/>
              <w:spacing w:after="0"/>
              <w:rPr>
                <w:sz w:val="20"/>
                <w:szCs w:val="20"/>
                <w:color w:val="auto"/>
              </w:rPr>
            </w:pPr>
            <w:r>
              <w:rPr>
                <w:rFonts w:ascii="Arial" w:cs="Arial" w:eastAsia="Arial" w:hAnsi="Arial"/>
                <w:sz w:val="15"/>
                <w:szCs w:val="15"/>
                <w:b w:val="1"/>
                <w:bCs w:val="1"/>
                <w:color w:val="FFFFFF"/>
              </w:rPr>
              <w:t>Three Months Ended June 30,</w:t>
            </w:r>
          </w:p>
        </w:tc>
        <w:tc>
          <w:tcPr>
            <w:tcW w:w="400" w:type="dxa"/>
            <w:vAlign w:val="bottom"/>
            <w:shd w:val="clear" w:color="auto" w:fill="1D2758"/>
          </w:tcPr>
          <w:p>
            <w:pPr>
              <w:spacing w:after="0"/>
              <w:rPr>
                <w:sz w:val="17"/>
                <w:szCs w:val="17"/>
                <w:color w:val="auto"/>
              </w:rPr>
            </w:pPr>
          </w:p>
        </w:tc>
        <w:tc>
          <w:tcPr>
            <w:tcW w:w="3180" w:type="dxa"/>
            <w:vAlign w:val="bottom"/>
            <w:gridSpan w:val="4"/>
            <w:shd w:val="clear" w:color="auto" w:fill="1D2758"/>
          </w:tcPr>
          <w:p>
            <w:pPr>
              <w:jc w:val="right"/>
              <w:ind w:right="703"/>
              <w:spacing w:after="0"/>
              <w:rPr>
                <w:sz w:val="20"/>
                <w:szCs w:val="20"/>
                <w:color w:val="auto"/>
              </w:rPr>
            </w:pPr>
            <w:r>
              <w:rPr>
                <w:rFonts w:ascii="Arial" w:cs="Arial" w:eastAsia="Arial" w:hAnsi="Arial"/>
                <w:sz w:val="15"/>
                <w:szCs w:val="15"/>
                <w:b w:val="1"/>
                <w:bCs w:val="1"/>
                <w:color w:val="FFFFFF"/>
              </w:rPr>
              <w:t>Six Months Ended June 30,</w:t>
            </w:r>
          </w:p>
        </w:tc>
      </w:tr>
      <w:tr>
        <w:trPr>
          <w:trHeight w:val="206"/>
        </w:trPr>
        <w:tc>
          <w:tcPr>
            <w:tcW w:w="408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60" w:type="dxa"/>
            <w:vAlign w:val="bottom"/>
            <w:shd w:val="clear" w:color="auto" w:fill="1D2758"/>
          </w:tcPr>
          <w:p>
            <w:pPr>
              <w:jc w:val="right"/>
              <w:ind w:right="64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0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Adjusted EBITDA (A)</w:t>
            </w: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233,335</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175,495</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425,158</w:t>
            </w: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339,080</w:t>
            </w:r>
          </w:p>
        </w:tc>
      </w:tr>
      <w:tr>
        <w:trPr>
          <w:trHeight w:val="205"/>
        </w:trPr>
        <w:tc>
          <w:tcPr>
            <w:tcW w:w="408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Revenue (B)</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581,642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461,102</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1,090,536</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886,425</w:t>
            </w:r>
          </w:p>
        </w:tc>
      </w:tr>
      <w:tr>
        <w:trPr>
          <w:trHeight w:val="200"/>
        </w:trPr>
        <w:tc>
          <w:tcPr>
            <w:tcW w:w="4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Adjusted EBITDA Margin (A/B)</w:t>
            </w:r>
          </w:p>
        </w:tc>
        <w:tc>
          <w:tcPr>
            <w:tcW w:w="3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40.1 %</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38.1 %</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39.0 %</w:t>
            </w:r>
          </w:p>
        </w:tc>
        <w:tc>
          <w:tcPr>
            <w:tcW w:w="8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38.3 %</w:t>
            </w:r>
          </w:p>
        </w:tc>
      </w:tr>
      <w:tr>
        <w:trPr>
          <w:trHeight w:val="198"/>
        </w:trPr>
        <w:tc>
          <w:tcPr>
            <w:tcW w:w="4080" w:type="dxa"/>
            <w:vAlign w:val="bottom"/>
          </w:tcPr>
          <w:p>
            <w:pPr>
              <w:ind w:left="20"/>
              <w:spacing w:after="0"/>
              <w:rPr>
                <w:sz w:val="20"/>
                <w:szCs w:val="20"/>
                <w:color w:val="auto"/>
              </w:rPr>
            </w:pPr>
            <w:r>
              <w:rPr>
                <w:rFonts w:ascii="Arial" w:cs="Arial" w:eastAsia="Arial" w:hAnsi="Arial"/>
                <w:sz w:val="15"/>
                <w:szCs w:val="15"/>
                <w:color w:val="auto"/>
              </w:rPr>
              <w:t>Net Income (C)</w:t>
            </w:r>
          </w:p>
        </w:tc>
        <w:tc>
          <w:tcPr>
            <w:tcW w:w="380" w:type="dxa"/>
            <w:vAlign w:val="bottom"/>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123"/>
              <w:spacing w:after="0"/>
              <w:rPr>
                <w:sz w:val="20"/>
                <w:szCs w:val="20"/>
                <w:color w:val="auto"/>
              </w:rPr>
            </w:pPr>
            <w:r>
              <w:rPr>
                <w:rFonts w:ascii="Arial" w:cs="Arial" w:eastAsia="Arial" w:hAnsi="Arial"/>
                <w:sz w:val="15"/>
                <w:szCs w:val="15"/>
                <w:color w:val="auto"/>
              </w:rPr>
              <w:t>73,376</w:t>
            </w:r>
          </w:p>
        </w:tc>
        <w:tc>
          <w:tcPr>
            <w:tcW w:w="10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20,371</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23"/>
              <w:spacing w:after="0"/>
              <w:rPr>
                <w:sz w:val="20"/>
                <w:szCs w:val="20"/>
                <w:color w:val="auto"/>
              </w:rPr>
            </w:pPr>
            <w:r>
              <w:rPr>
                <w:rFonts w:ascii="Arial" w:cs="Arial" w:eastAsia="Arial" w:hAnsi="Arial"/>
                <w:sz w:val="15"/>
                <w:szCs w:val="15"/>
                <w:color w:val="auto"/>
              </w:rPr>
              <w:t>124,547</w:t>
            </w:r>
          </w:p>
        </w:tc>
        <w:tc>
          <w:tcPr>
            <w:tcW w:w="80" w:type="dxa"/>
            <w:vAlign w:val="bottom"/>
          </w:tcPr>
          <w:p>
            <w:pPr>
              <w:spacing w:after="0"/>
              <w:rPr>
                <w:sz w:val="17"/>
                <w:szCs w:val="17"/>
                <w:color w:val="auto"/>
              </w:rPr>
            </w:pPr>
          </w:p>
        </w:tc>
        <w:tc>
          <w:tcPr>
            <w:tcW w:w="400" w:type="dxa"/>
            <w:vAlign w:val="bottom"/>
          </w:tcPr>
          <w:p>
            <w:pPr>
              <w:jc w:val="right"/>
              <w:ind w:right="223"/>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ind w:right="123"/>
              <w:spacing w:after="0"/>
              <w:rPr>
                <w:sz w:val="20"/>
                <w:szCs w:val="20"/>
                <w:color w:val="auto"/>
              </w:rPr>
            </w:pPr>
            <w:r>
              <w:rPr>
                <w:rFonts w:ascii="Arial" w:cs="Arial" w:eastAsia="Arial" w:hAnsi="Arial"/>
                <w:sz w:val="15"/>
                <w:szCs w:val="15"/>
                <w:color w:val="auto"/>
              </w:rPr>
              <w:t>24,818</w:t>
            </w:r>
          </w:p>
        </w:tc>
      </w:tr>
      <w:tr>
        <w:trPr>
          <w:trHeight w:val="207"/>
        </w:trPr>
        <w:tc>
          <w:tcPr>
            <w:tcW w:w="408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Income Margin % (C/B)</w:t>
            </w: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12.6 %</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4.4 %</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11.4 %</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Adjusted Gross Profit and Adjusted Gross Profit Percentage</w:t>
      </w:r>
    </w:p>
    <w:p>
      <w:pPr>
        <w:spacing w:after="0" w:line="56"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define Adjusted Gross Profit as gross profit plus depreciation on rental equipment. Adjusted Gross Profit Percentage is defined as Adjusted Gross Profit divided by revenue. Adjusted Gross Profit and Adjusted Gross Profit Percentage are not measurements of our financial performance under GAAP and should not be considered as an alternative to gross profit, gross profit percentage, or other performance measures derived in accordance with GAAP. In addition, our measurement of Adjusted Gross Profit and Adjusted Gross Profit Percentage may not be comparable to similarly titled measures of other companies. Management believes that the presentation of Adjusted Gross Profit and Adjusted Gross Profit Percentage provides useful information to investors regarding our results of operations and assists in analyzing the performance of our business.</w:t>
      </w:r>
    </w:p>
    <w:p>
      <w:pPr>
        <w:spacing w:after="0" w:line="7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provides unaudited reconciliations of gross profit to Adjusted Gross Profit and Adjusted Gross Profit Percentage: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3080" w:type="dxa"/>
            <w:vAlign w:val="bottom"/>
            <w:gridSpan w:val="3"/>
            <w:shd w:val="clear" w:color="auto" w:fill="1D2758"/>
          </w:tcPr>
          <w:p>
            <w:pPr>
              <w:jc w:val="center"/>
              <w:ind w:right="283"/>
              <w:spacing w:after="0"/>
              <w:rPr>
                <w:sz w:val="20"/>
                <w:szCs w:val="20"/>
                <w:color w:val="auto"/>
              </w:rPr>
            </w:pPr>
            <w:r>
              <w:rPr>
                <w:rFonts w:ascii="Arial" w:cs="Arial" w:eastAsia="Arial" w:hAnsi="Arial"/>
                <w:sz w:val="15"/>
                <w:szCs w:val="15"/>
                <w:b w:val="1"/>
                <w:bCs w:val="1"/>
                <w:color w:val="FFFFFF"/>
              </w:rPr>
              <w:t>Three Months Ended</w:t>
            </w:r>
          </w:p>
        </w:tc>
        <w:tc>
          <w:tcPr>
            <w:tcW w:w="52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rPr>
              <w:t>Six Months Ended</w:t>
            </w:r>
          </w:p>
        </w:tc>
        <w:tc>
          <w:tcPr>
            <w:tcW w:w="1060" w:type="dxa"/>
            <w:vAlign w:val="bottom"/>
            <w:shd w:val="clear" w:color="auto" w:fill="1D2758"/>
          </w:tcPr>
          <w:p>
            <w:pPr>
              <w:spacing w:after="0"/>
              <w:rPr>
                <w:sz w:val="17"/>
                <w:szCs w:val="17"/>
                <w:color w:val="auto"/>
              </w:rPr>
            </w:pPr>
          </w:p>
        </w:tc>
      </w:tr>
      <w:tr>
        <w:trPr>
          <w:trHeight w:val="205"/>
        </w:trPr>
        <w:tc>
          <w:tcPr>
            <w:tcW w:w="4100" w:type="dxa"/>
            <w:vAlign w:val="bottom"/>
            <w:shd w:val="clear" w:color="auto" w:fill="1D2758"/>
          </w:tcPr>
          <w:p>
            <w:pPr>
              <w:spacing w:after="0"/>
              <w:rPr>
                <w:sz w:val="17"/>
                <w:szCs w:val="17"/>
                <w:color w:val="auto"/>
              </w:rPr>
            </w:pPr>
          </w:p>
        </w:tc>
        <w:tc>
          <w:tcPr>
            <w:tcW w:w="400" w:type="dxa"/>
            <w:vAlign w:val="bottom"/>
            <w:shd w:val="clear" w:color="auto" w:fill="1D2758"/>
          </w:tcPr>
          <w:p>
            <w:pPr>
              <w:spacing w:after="0"/>
              <w:rPr>
                <w:sz w:val="17"/>
                <w:szCs w:val="17"/>
                <w:color w:val="auto"/>
              </w:rPr>
            </w:pPr>
          </w:p>
        </w:tc>
        <w:tc>
          <w:tcPr>
            <w:tcW w:w="1880" w:type="dxa"/>
            <w:vAlign w:val="bottom"/>
            <w:gridSpan w:val="2"/>
            <w:shd w:val="clear" w:color="auto" w:fill="1D2758"/>
          </w:tcPr>
          <w:p>
            <w:pPr>
              <w:jc w:val="center"/>
              <w:ind w:left="783"/>
              <w:spacing w:after="0"/>
              <w:rPr>
                <w:sz w:val="20"/>
                <w:szCs w:val="20"/>
                <w:color w:val="auto"/>
              </w:rPr>
            </w:pPr>
            <w:r>
              <w:rPr>
                <w:rFonts w:ascii="Arial" w:cs="Arial" w:eastAsia="Arial" w:hAnsi="Arial"/>
                <w:sz w:val="15"/>
                <w:szCs w:val="15"/>
                <w:b w:val="1"/>
                <w:bCs w:val="1"/>
                <w:color w:val="FFFFFF"/>
              </w:rPr>
              <w:t>June 30,</w:t>
            </w:r>
          </w:p>
        </w:tc>
        <w:tc>
          <w:tcPr>
            <w:tcW w:w="1200" w:type="dxa"/>
            <w:vAlign w:val="bottom"/>
            <w:shd w:val="clear" w:color="auto" w:fill="1D2758"/>
          </w:tcPr>
          <w:p>
            <w:pPr>
              <w:spacing w:after="0"/>
              <w:rPr>
                <w:sz w:val="17"/>
                <w:szCs w:val="17"/>
                <w:color w:val="auto"/>
              </w:rPr>
            </w:pPr>
          </w:p>
        </w:tc>
        <w:tc>
          <w:tcPr>
            <w:tcW w:w="520" w:type="dxa"/>
            <w:vAlign w:val="bottom"/>
            <w:shd w:val="clear" w:color="auto" w:fill="1D2758"/>
          </w:tcPr>
          <w:p>
            <w:pPr>
              <w:spacing w:after="0"/>
              <w:rPr>
                <w:sz w:val="17"/>
                <w:szCs w:val="17"/>
                <w:color w:val="auto"/>
              </w:rPr>
            </w:pPr>
          </w:p>
        </w:tc>
        <w:tc>
          <w:tcPr>
            <w:tcW w:w="2080" w:type="dxa"/>
            <w:vAlign w:val="bottom"/>
            <w:gridSpan w:val="2"/>
            <w:shd w:val="clear" w:color="auto" w:fill="1D2758"/>
          </w:tcPr>
          <w:p>
            <w:pPr>
              <w:jc w:val="center"/>
              <w:ind w:left="583"/>
              <w:spacing w:after="0"/>
              <w:rPr>
                <w:sz w:val="20"/>
                <w:szCs w:val="20"/>
                <w:color w:val="auto"/>
              </w:rPr>
            </w:pPr>
            <w:r>
              <w:rPr>
                <w:rFonts w:ascii="Arial" w:cs="Arial" w:eastAsia="Arial" w:hAnsi="Arial"/>
                <w:sz w:val="15"/>
                <w:szCs w:val="15"/>
                <w:b w:val="1"/>
                <w:bCs w:val="1"/>
                <w:color w:val="FFFFFF"/>
              </w:rPr>
              <w:t>June 30,</w:t>
            </w:r>
          </w:p>
        </w:tc>
        <w:tc>
          <w:tcPr>
            <w:tcW w:w="1060" w:type="dxa"/>
            <w:vAlign w:val="bottom"/>
            <w:shd w:val="clear" w:color="auto" w:fill="1D2758"/>
          </w:tcPr>
          <w:p>
            <w:pPr>
              <w:spacing w:after="0"/>
              <w:rPr>
                <w:sz w:val="17"/>
                <w:szCs w:val="17"/>
                <w:color w:val="auto"/>
              </w:rPr>
            </w:pPr>
          </w:p>
        </w:tc>
      </w:tr>
      <w:tr>
        <w:trPr>
          <w:trHeight w:val="208"/>
        </w:trPr>
        <w:tc>
          <w:tcPr>
            <w:tcW w:w="410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2022</w:t>
            </w:r>
          </w:p>
        </w:tc>
        <w:tc>
          <w:tcPr>
            <w:tcW w:w="60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563"/>
              <w:spacing w:after="0"/>
              <w:rPr>
                <w:sz w:val="20"/>
                <w:szCs w:val="20"/>
                <w:color w:val="auto"/>
              </w:rPr>
            </w:pPr>
            <w:r>
              <w:rPr>
                <w:rFonts w:ascii="Arial" w:cs="Arial" w:eastAsia="Arial" w:hAnsi="Arial"/>
                <w:sz w:val="15"/>
                <w:szCs w:val="15"/>
                <w:b w:val="1"/>
                <w:bCs w:val="1"/>
                <w:color w:val="FFFFFF"/>
              </w:rPr>
              <w:t>2021</w:t>
            </w:r>
          </w:p>
        </w:tc>
        <w:tc>
          <w:tcPr>
            <w:tcW w:w="52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780" w:type="dxa"/>
            <w:vAlign w:val="bottom"/>
            <w:shd w:val="clear" w:color="auto" w:fill="1D2758"/>
          </w:tcPr>
          <w:p>
            <w:pPr>
              <w:spacing w:after="0"/>
              <w:rPr>
                <w:sz w:val="18"/>
                <w:szCs w:val="18"/>
                <w:color w:val="auto"/>
              </w:rPr>
            </w:pPr>
          </w:p>
        </w:tc>
        <w:tc>
          <w:tcPr>
            <w:tcW w:w="1060" w:type="dxa"/>
            <w:vAlign w:val="bottom"/>
            <w:shd w:val="clear" w:color="auto" w:fill="1D2758"/>
          </w:tcPr>
          <w:p>
            <w:pPr>
              <w:jc w:val="right"/>
              <w:ind w:right="60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100" w:type="dxa"/>
            <w:vAlign w:val="bottom"/>
            <w:shd w:val="clear" w:color="auto" w:fill="DBDBDB"/>
          </w:tcPr>
          <w:p>
            <w:pPr>
              <w:ind w:left="20"/>
              <w:spacing w:after="0"/>
              <w:rPr>
                <w:sz w:val="20"/>
                <w:szCs w:val="20"/>
                <w:color w:val="auto"/>
              </w:rPr>
            </w:pPr>
            <w:r>
              <w:rPr>
                <w:rFonts w:ascii="Arial" w:cs="Arial" w:eastAsia="Arial" w:hAnsi="Arial"/>
                <w:sz w:val="15"/>
                <w:szCs w:val="15"/>
                <w:color w:val="auto"/>
              </w:rPr>
              <w:t>Revenue (A)</w:t>
            </w:r>
          </w:p>
        </w:tc>
        <w:tc>
          <w:tcPr>
            <w:tcW w:w="400" w:type="dxa"/>
            <w:vAlign w:val="bottom"/>
            <w:shd w:val="clear" w:color="auto" w:fill="DBDBDB"/>
          </w:tcPr>
          <w:p>
            <w:pPr>
              <w:jc w:val="right"/>
              <w:ind w:right="22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581,642</w:t>
            </w:r>
          </w:p>
        </w:tc>
        <w:tc>
          <w:tcPr>
            <w:tcW w:w="600" w:type="dxa"/>
            <w:vAlign w:val="bottom"/>
            <w:shd w:val="clear" w:color="auto" w:fill="DBDBDB"/>
          </w:tcPr>
          <w:p>
            <w:pPr>
              <w:jc w:val="right"/>
              <w:ind w:right="283"/>
              <w:spacing w:after="0"/>
              <w:rPr>
                <w:sz w:val="20"/>
                <w:szCs w:val="20"/>
                <w:color w:val="auto"/>
              </w:rPr>
            </w:pPr>
            <w:r>
              <w:rPr>
                <w:rFonts w:ascii="Arial" w:cs="Arial" w:eastAsia="Arial" w:hAnsi="Arial"/>
                <w:sz w:val="15"/>
                <w:szCs w:val="15"/>
                <w:color w:val="auto"/>
              </w:rPr>
              <w:t>$</w:t>
            </w:r>
          </w:p>
        </w:tc>
        <w:tc>
          <w:tcPr>
            <w:tcW w:w="12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461,102</w:t>
            </w:r>
          </w:p>
        </w:tc>
        <w:tc>
          <w:tcPr>
            <w:tcW w:w="52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rPr>
              <w:t>$</w:t>
            </w: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5"/>
                <w:szCs w:val="15"/>
                <w:color w:val="auto"/>
              </w:rPr>
              <w:t>1,090,536</w:t>
            </w:r>
          </w:p>
        </w:tc>
        <w:tc>
          <w:tcPr>
            <w:tcW w:w="78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rPr>
              <w:t>$</w:t>
            </w:r>
          </w:p>
        </w:tc>
        <w:tc>
          <w:tcPr>
            <w:tcW w:w="1060" w:type="dxa"/>
            <w:vAlign w:val="bottom"/>
            <w:shd w:val="clear" w:color="auto" w:fill="DBDBDB"/>
          </w:tcPr>
          <w:p>
            <w:pPr>
              <w:jc w:val="right"/>
              <w:ind w:right="123"/>
              <w:spacing w:after="0"/>
              <w:rPr>
                <w:sz w:val="20"/>
                <w:szCs w:val="20"/>
                <w:color w:val="auto"/>
              </w:rPr>
            </w:pPr>
            <w:r>
              <w:rPr>
                <w:rFonts w:ascii="Arial" w:cs="Arial" w:eastAsia="Arial" w:hAnsi="Arial"/>
                <w:sz w:val="15"/>
                <w:szCs w:val="15"/>
                <w:color w:val="auto"/>
              </w:rPr>
              <w:t>886,425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163830</wp:posOffset>
            </wp:positionV>
            <wp:extent cx="7138670" cy="1308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4080" w:type="dxa"/>
            <w:vAlign w:val="bottom"/>
          </w:tcPr>
          <w:p>
            <w:pPr>
              <w:spacing w:after="0"/>
              <w:rPr>
                <w:sz w:val="20"/>
                <w:szCs w:val="20"/>
                <w:color w:val="auto"/>
              </w:rPr>
            </w:pPr>
            <w:r>
              <w:rPr>
                <w:rFonts w:ascii="Arial" w:cs="Arial" w:eastAsia="Arial" w:hAnsi="Arial"/>
                <w:sz w:val="15"/>
                <w:szCs w:val="15"/>
                <w:color w:val="auto"/>
              </w:rPr>
              <w:t>Gross profit (B)</w:t>
            </w:r>
          </w:p>
        </w:tc>
        <w:tc>
          <w:tcPr>
            <w:tcW w:w="540" w:type="dxa"/>
            <w:vAlign w:val="bottom"/>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308,873</w:t>
            </w:r>
          </w:p>
        </w:tc>
      </w:tr>
      <w:tr>
        <w:trPr>
          <w:trHeight w:val="206"/>
        </w:trPr>
        <w:tc>
          <w:tcPr>
            <w:tcW w:w="4080" w:type="dxa"/>
            <w:vAlign w:val="bottom"/>
          </w:tcPr>
          <w:p>
            <w:pPr>
              <w:spacing w:after="0"/>
              <w:rPr>
                <w:sz w:val="20"/>
                <w:szCs w:val="20"/>
                <w:color w:val="auto"/>
              </w:rPr>
            </w:pPr>
            <w:r>
              <w:rPr>
                <w:rFonts w:ascii="Arial" w:cs="Arial" w:eastAsia="Arial" w:hAnsi="Arial"/>
                <w:sz w:val="15"/>
                <w:szCs w:val="15"/>
                <w:color w:val="auto"/>
              </w:rPr>
              <w:t>Depreciation of rental equipment</w:t>
            </w:r>
          </w:p>
        </w:tc>
        <w:tc>
          <w:tcPr>
            <w:tcW w:w="5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67,176</w:t>
            </w:r>
          </w:p>
        </w:tc>
      </w:tr>
      <w:tr>
        <w:trPr>
          <w:trHeight w:val="200"/>
        </w:trPr>
        <w:tc>
          <w:tcPr>
            <w:tcW w:w="4080" w:type="dxa"/>
            <w:vAlign w:val="bottom"/>
          </w:tcPr>
          <w:p>
            <w:pPr>
              <w:ind w:left="200"/>
              <w:spacing w:after="0"/>
              <w:rPr>
                <w:sz w:val="20"/>
                <w:szCs w:val="20"/>
                <w:color w:val="auto"/>
              </w:rPr>
            </w:pPr>
            <w:r>
              <w:rPr>
                <w:rFonts w:ascii="Arial" w:cs="Arial" w:eastAsia="Arial" w:hAnsi="Arial"/>
                <w:sz w:val="15"/>
                <w:szCs w:val="15"/>
                <w:color w:val="auto"/>
              </w:rPr>
              <w:t>Adjusted Gross Profit (C)</w:t>
            </w:r>
          </w:p>
        </w:tc>
        <w:tc>
          <w:tcPr>
            <w:tcW w:w="5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376,049</w:t>
            </w:r>
          </w:p>
        </w:tc>
      </w:tr>
      <w:tr>
        <w:trPr>
          <w:trHeight w:val="20"/>
        </w:trPr>
        <w:tc>
          <w:tcPr>
            <w:tcW w:w="4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7138670" cy="1555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222,810</w:t>
            </w:r>
          </w:p>
        </w:tc>
        <w:tc>
          <w:tcPr>
            <w:tcW w:w="6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83"/>
              <w:spacing w:after="0"/>
              <w:rPr>
                <w:sz w:val="20"/>
                <w:szCs w:val="20"/>
                <w:color w:val="auto"/>
              </w:rPr>
            </w:pPr>
            <w:r>
              <w:rPr>
                <w:rFonts w:ascii="Arial" w:cs="Arial" w:eastAsia="Arial" w:hAnsi="Arial"/>
                <w:sz w:val="15"/>
                <w:szCs w:val="15"/>
                <w:color w:val="auto"/>
              </w:rPr>
              <w:t>575,688</w:t>
            </w:r>
          </w:p>
        </w:tc>
        <w:tc>
          <w:tcPr>
            <w:tcW w:w="660" w:type="dxa"/>
            <w:vAlign w:val="bottom"/>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123"/>
              <w:spacing w:after="0"/>
              <w:rPr>
                <w:sz w:val="20"/>
                <w:szCs w:val="20"/>
                <w:color w:val="auto"/>
              </w:rPr>
            </w:pPr>
            <w:r>
              <w:rPr>
                <w:rFonts w:ascii="Arial" w:cs="Arial" w:eastAsia="Arial" w:hAnsi="Arial"/>
                <w:sz w:val="15"/>
                <w:szCs w:val="15"/>
                <w:color w:val="auto"/>
              </w:rPr>
              <w:t>436,190</w:t>
            </w:r>
          </w:p>
        </w:tc>
      </w:tr>
      <w:tr>
        <w:trPr>
          <w:trHeight w:val="207"/>
        </w:trPr>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62,893</w:t>
            </w:r>
          </w:p>
        </w:tc>
        <w:tc>
          <w:tcPr>
            <w:tcW w:w="6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129,392</w:t>
            </w:r>
          </w:p>
        </w:tc>
        <w:tc>
          <w:tcPr>
            <w:tcW w:w="6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118,591</w:t>
            </w:r>
          </w:p>
        </w:tc>
      </w:tr>
      <w:tr>
        <w:trPr>
          <w:trHeight w:val="199"/>
        </w:trPr>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285,703</w:t>
            </w:r>
          </w:p>
        </w:tc>
        <w:tc>
          <w:tcPr>
            <w:tcW w:w="6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705,080</w:t>
            </w:r>
          </w:p>
        </w:tc>
        <w:tc>
          <w:tcPr>
            <w:tcW w:w="6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554,781</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20" w:space="80"/>
            <w:col w:w="5340"/>
          </w:cols>
          <w:pgMar w:left="320" w:top="1049" w:right="339" w:bottom="1440" w:gutter="0" w:footer="0" w:header="0"/>
          <w:type w:val="continuous"/>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20" w:type="dxa"/>
            <w:vAlign w:val="bottom"/>
            <w:shd w:val="clear" w:color="auto" w:fill="DBDBDB"/>
          </w:tcPr>
          <w:p>
            <w:pPr>
              <w:ind w:left="20"/>
              <w:spacing w:after="0"/>
              <w:rPr>
                <w:sz w:val="20"/>
                <w:szCs w:val="20"/>
                <w:color w:val="auto"/>
              </w:rPr>
            </w:pPr>
            <w:r>
              <w:rPr>
                <w:rFonts w:ascii="Arial" w:cs="Arial" w:eastAsia="Arial" w:hAnsi="Arial"/>
                <w:sz w:val="15"/>
                <w:szCs w:val="15"/>
                <w:color w:val="auto"/>
              </w:rPr>
              <w:t>Gross Profit Percentage (B/A)</w:t>
            </w:r>
          </w:p>
        </w:tc>
        <w:tc>
          <w:tcPr>
            <w:tcW w:w="244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53.1 %</w:t>
            </w:r>
          </w:p>
        </w:tc>
        <w:tc>
          <w:tcPr>
            <w:tcW w:w="1820" w:type="dxa"/>
            <w:vAlign w:val="bottom"/>
            <w:shd w:val="clear" w:color="auto" w:fill="DBDBDB"/>
          </w:tcPr>
          <w:p>
            <w:pPr>
              <w:jc w:val="right"/>
              <w:ind w:right="603"/>
              <w:spacing w:after="0"/>
              <w:rPr>
                <w:sz w:val="20"/>
                <w:szCs w:val="20"/>
                <w:color w:val="auto"/>
              </w:rPr>
            </w:pPr>
            <w:r>
              <w:rPr>
                <w:rFonts w:ascii="Arial" w:cs="Arial" w:eastAsia="Arial" w:hAnsi="Arial"/>
                <w:sz w:val="15"/>
                <w:szCs w:val="15"/>
                <w:color w:val="auto"/>
              </w:rPr>
              <w:t>48.3 %</w:t>
            </w:r>
          </w:p>
        </w:tc>
        <w:tc>
          <w:tcPr>
            <w:tcW w:w="1800" w:type="dxa"/>
            <w:vAlign w:val="bottom"/>
            <w:shd w:val="clear" w:color="auto" w:fill="DBDBDB"/>
          </w:tcPr>
          <w:p>
            <w:pPr>
              <w:jc w:val="right"/>
              <w:ind w:right="583"/>
              <w:spacing w:after="0"/>
              <w:rPr>
                <w:sz w:val="20"/>
                <w:szCs w:val="20"/>
                <w:color w:val="auto"/>
              </w:rPr>
            </w:pPr>
            <w:r>
              <w:rPr>
                <w:rFonts w:ascii="Arial" w:cs="Arial" w:eastAsia="Arial" w:hAnsi="Arial"/>
                <w:sz w:val="15"/>
                <w:szCs w:val="15"/>
                <w:color w:val="auto"/>
              </w:rPr>
              <w:t>52.8 %</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49.2 %</w:t>
            </w:r>
          </w:p>
        </w:tc>
      </w:tr>
      <w:tr>
        <w:trPr>
          <w:trHeight w:val="205"/>
        </w:trPr>
        <w:tc>
          <w:tcPr>
            <w:tcW w:w="4020" w:type="dxa"/>
            <w:vAlign w:val="bottom"/>
          </w:tcPr>
          <w:p>
            <w:pPr>
              <w:ind w:left="20"/>
              <w:spacing w:after="0"/>
              <w:rPr>
                <w:sz w:val="20"/>
                <w:szCs w:val="20"/>
                <w:color w:val="auto"/>
              </w:rPr>
            </w:pPr>
            <w:r>
              <w:rPr>
                <w:rFonts w:ascii="Arial" w:cs="Arial" w:eastAsia="Arial" w:hAnsi="Arial"/>
                <w:sz w:val="15"/>
                <w:szCs w:val="15"/>
                <w:color w:val="auto"/>
              </w:rPr>
              <w:t>Adjusted Gross Profit Percentage (C/A)</w:t>
            </w:r>
          </w:p>
        </w:tc>
        <w:tc>
          <w:tcPr>
            <w:tcW w:w="2440" w:type="dxa"/>
            <w:vAlign w:val="bottom"/>
          </w:tcPr>
          <w:p>
            <w:pPr>
              <w:jc w:val="right"/>
              <w:ind w:right="583"/>
              <w:spacing w:after="0"/>
              <w:rPr>
                <w:sz w:val="20"/>
                <w:szCs w:val="20"/>
                <w:color w:val="auto"/>
              </w:rPr>
            </w:pPr>
            <w:r>
              <w:rPr>
                <w:rFonts w:ascii="Arial" w:cs="Arial" w:eastAsia="Arial" w:hAnsi="Arial"/>
                <w:sz w:val="15"/>
                <w:szCs w:val="15"/>
                <w:color w:val="auto"/>
              </w:rPr>
              <w:t>64.7 %</w:t>
            </w:r>
          </w:p>
        </w:tc>
        <w:tc>
          <w:tcPr>
            <w:tcW w:w="1820" w:type="dxa"/>
            <w:vAlign w:val="bottom"/>
          </w:tcPr>
          <w:p>
            <w:pPr>
              <w:jc w:val="right"/>
              <w:ind w:right="603"/>
              <w:spacing w:after="0"/>
              <w:rPr>
                <w:sz w:val="20"/>
                <w:szCs w:val="20"/>
                <w:color w:val="auto"/>
              </w:rPr>
            </w:pPr>
            <w:r>
              <w:rPr>
                <w:rFonts w:ascii="Arial" w:cs="Arial" w:eastAsia="Arial" w:hAnsi="Arial"/>
                <w:sz w:val="15"/>
                <w:szCs w:val="15"/>
                <w:color w:val="auto"/>
              </w:rPr>
              <w:t>62.0 %</w:t>
            </w:r>
          </w:p>
        </w:tc>
        <w:tc>
          <w:tcPr>
            <w:tcW w:w="1800" w:type="dxa"/>
            <w:vAlign w:val="bottom"/>
          </w:tcPr>
          <w:p>
            <w:pPr>
              <w:jc w:val="right"/>
              <w:ind w:right="583"/>
              <w:spacing w:after="0"/>
              <w:rPr>
                <w:sz w:val="20"/>
                <w:szCs w:val="20"/>
                <w:color w:val="auto"/>
              </w:rPr>
            </w:pPr>
            <w:r>
              <w:rPr>
                <w:rFonts w:ascii="Arial" w:cs="Arial" w:eastAsia="Arial" w:hAnsi="Arial"/>
                <w:sz w:val="15"/>
                <w:szCs w:val="15"/>
                <w:color w:val="auto"/>
              </w:rPr>
              <w:t>64.7 %</w:t>
            </w:r>
          </w:p>
        </w:tc>
        <w:tc>
          <w:tcPr>
            <w:tcW w:w="1160" w:type="dxa"/>
            <w:vAlign w:val="bottom"/>
          </w:tcPr>
          <w:p>
            <w:pPr>
              <w:jc w:val="right"/>
              <w:spacing w:after="0"/>
              <w:rPr>
                <w:sz w:val="20"/>
                <w:szCs w:val="20"/>
                <w:color w:val="auto"/>
              </w:rPr>
            </w:pPr>
            <w:r>
              <w:rPr>
                <w:rFonts w:ascii="Arial" w:cs="Arial" w:eastAsia="Arial" w:hAnsi="Arial"/>
                <w:sz w:val="15"/>
                <w:szCs w:val="15"/>
                <w:color w:val="auto"/>
              </w:rPr>
              <w:t>62.6 %</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CAPEX</w:t>
      </w:r>
    </w:p>
    <w:p>
      <w:pPr>
        <w:spacing w:after="0" w:line="12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5"/>
          <w:szCs w:val="15"/>
          <w:color w:val="auto"/>
        </w:rPr>
        <w:t>We define Net CAPEX as purchases of rental equipment and refurbishments and purchases of property, plant and equipment (collectively, "Total Capital Expenditures"), less proceeds from the sale of rental equipment and proceeds from the sale of property, plant and equipment (collectively, "Total Proceeds"), which are all included in cash flows from investing activities. Management believes that the presentation of Net CAPEX provides useful information to investors regarding the net capital invested into our rental fleet and plant, property and equipment each year to assist in analyzing the performance of our business. The following table provides unaudited reconciliations of Net CAPEX:</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Three Months Ended</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20" w:type="dxa"/>
            <w:vAlign w:val="bottom"/>
            <w:gridSpan w:val="2"/>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w:t>
            </w:r>
          </w:p>
        </w:tc>
        <w:tc>
          <w:tcPr>
            <w:tcW w:w="1020" w:type="dxa"/>
            <w:vAlign w:val="bottom"/>
            <w:shd w:val="clear" w:color="auto" w:fill="1D2758"/>
          </w:tcPr>
          <w:p>
            <w:pPr>
              <w:spacing w:after="0"/>
              <w:rPr>
                <w:sz w:val="17"/>
                <w:szCs w:val="17"/>
                <w:color w:val="auto"/>
              </w:rPr>
            </w:pPr>
          </w:p>
        </w:tc>
      </w:tr>
      <w:tr>
        <w:trPr>
          <w:trHeight w:val="205"/>
        </w:trPr>
        <w:tc>
          <w:tcPr>
            <w:tcW w:w="434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400" w:type="dxa"/>
            <w:vAlign w:val="bottom"/>
            <w:gridSpan w:val="3"/>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June 30,</w:t>
            </w:r>
          </w:p>
        </w:tc>
        <w:tc>
          <w:tcPr>
            <w:tcW w:w="62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20" w:type="dxa"/>
            <w:vAlign w:val="bottom"/>
            <w:gridSpan w:val="2"/>
            <w:shd w:val="clear" w:color="auto" w:fill="1D2758"/>
          </w:tcPr>
          <w:p>
            <w:pPr>
              <w:jc w:val="right"/>
              <w:ind w:right="303"/>
              <w:spacing w:after="0"/>
              <w:rPr>
                <w:sz w:val="20"/>
                <w:szCs w:val="20"/>
                <w:color w:val="auto"/>
              </w:rPr>
            </w:pPr>
            <w:r>
              <w:rPr>
                <w:rFonts w:ascii="Arial" w:cs="Arial" w:eastAsia="Arial" w:hAnsi="Arial"/>
                <w:sz w:val="15"/>
                <w:szCs w:val="15"/>
                <w:b w:val="1"/>
                <w:bCs w:val="1"/>
                <w:color w:val="FFFFFF"/>
              </w:rPr>
              <w:t>June 30,</w:t>
            </w:r>
          </w:p>
        </w:tc>
        <w:tc>
          <w:tcPr>
            <w:tcW w:w="1020" w:type="dxa"/>
            <w:vAlign w:val="bottom"/>
            <w:shd w:val="clear" w:color="auto" w:fill="1D2758"/>
          </w:tcPr>
          <w:p>
            <w:pPr>
              <w:spacing w:after="0"/>
              <w:rPr>
                <w:sz w:val="17"/>
                <w:szCs w:val="17"/>
                <w:color w:val="auto"/>
              </w:rPr>
            </w:pPr>
          </w:p>
        </w:tc>
      </w:tr>
      <w:tr>
        <w:trPr>
          <w:trHeight w:val="208"/>
        </w:trPr>
        <w:tc>
          <w:tcPr>
            <w:tcW w:w="434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104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20" w:type="dxa"/>
            <w:vAlign w:val="bottom"/>
            <w:shd w:val="clear" w:color="auto" w:fill="1D2758"/>
          </w:tcPr>
          <w:p>
            <w:pPr>
              <w:spacing w:after="0"/>
              <w:rPr>
                <w:sz w:val="18"/>
                <w:szCs w:val="18"/>
                <w:color w:val="auto"/>
              </w:rPr>
            </w:pPr>
          </w:p>
        </w:tc>
        <w:tc>
          <w:tcPr>
            <w:tcW w:w="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40" w:type="dxa"/>
            <w:vAlign w:val="bottom"/>
            <w:shd w:val="clear" w:color="auto" w:fill="1D2758"/>
          </w:tcPr>
          <w:p>
            <w:pPr>
              <w:jc w:val="right"/>
              <w:ind w:right="623"/>
              <w:spacing w:after="0"/>
              <w:rPr>
                <w:sz w:val="20"/>
                <w:szCs w:val="20"/>
                <w:color w:val="auto"/>
              </w:rPr>
            </w:pPr>
            <w:r>
              <w:rPr>
                <w:rFonts w:ascii="Arial" w:cs="Arial" w:eastAsia="Arial" w:hAnsi="Arial"/>
                <w:sz w:val="15"/>
                <w:szCs w:val="15"/>
                <w:b w:val="1"/>
                <w:bCs w:val="1"/>
                <w:color w:val="FFFFFF"/>
              </w:rPr>
              <w:t>2022</w:t>
            </w:r>
          </w:p>
        </w:tc>
        <w:tc>
          <w:tcPr>
            <w:tcW w:w="680" w:type="dxa"/>
            <w:vAlign w:val="bottom"/>
            <w:shd w:val="clear" w:color="auto" w:fill="1D2758"/>
          </w:tcPr>
          <w:p>
            <w:pPr>
              <w:spacing w:after="0"/>
              <w:rPr>
                <w:sz w:val="18"/>
                <w:szCs w:val="18"/>
                <w:color w:val="auto"/>
              </w:rPr>
            </w:pPr>
          </w:p>
        </w:tc>
        <w:tc>
          <w:tcPr>
            <w:tcW w:w="102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Total purchases of rental equipment and refurbishments</w:t>
            </w: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(130,153)</w:t>
            </w: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(65,282)</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(225,389)</w:t>
            </w:r>
          </w:p>
        </w:tc>
        <w:tc>
          <w:tcPr>
            <w:tcW w:w="68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(117,817)</w:t>
            </w:r>
          </w:p>
        </w:tc>
      </w:tr>
      <w:tr>
        <w:trPr>
          <w:trHeight w:val="205"/>
        </w:trPr>
        <w:tc>
          <w:tcPr>
            <w:tcW w:w="4340" w:type="dxa"/>
            <w:vAlign w:val="bottom"/>
            <w:tcBorders>
              <w:bottom w:val="single" w:sz="8" w:color="DBDBDB"/>
            </w:tcBorders>
          </w:tcPr>
          <w:p>
            <w:pPr>
              <w:ind w:left="20"/>
              <w:spacing w:after="0"/>
              <w:rPr>
                <w:sz w:val="20"/>
                <w:szCs w:val="20"/>
                <w:color w:val="auto"/>
              </w:rPr>
            </w:pPr>
            <w:r>
              <w:rPr>
                <w:rFonts w:ascii="Arial" w:cs="Arial" w:eastAsia="Arial" w:hAnsi="Arial"/>
                <w:sz w:val="15"/>
                <w:szCs w:val="15"/>
                <w:color w:val="auto"/>
              </w:rPr>
              <w:t>Total proceeds from sale of rental equipment</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20,526</w:t>
            </w:r>
          </w:p>
        </w:tc>
        <w:tc>
          <w:tcPr>
            <w:tcW w:w="80" w:type="dxa"/>
            <w:vAlign w:val="bottom"/>
            <w:tcBorders>
              <w:bottom w:val="single" w:sz="8" w:color="DBDBDB"/>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15,235</w:t>
            </w:r>
          </w:p>
        </w:tc>
        <w:tc>
          <w:tcPr>
            <w:tcW w:w="80" w:type="dxa"/>
            <w:vAlign w:val="bottom"/>
            <w:tcBorders>
              <w:bottom w:val="single" w:sz="8" w:color="DBDBDB"/>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35,080</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30,437</w:t>
            </w:r>
          </w:p>
        </w:tc>
      </w:tr>
      <w:tr>
        <w:trPr>
          <w:trHeight w:val="200"/>
        </w:trPr>
        <w:tc>
          <w:tcPr>
            <w:tcW w:w="434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CAPEX for Rental Equipment</w:t>
            </w:r>
          </w:p>
        </w:tc>
        <w:tc>
          <w:tcPr>
            <w:tcW w:w="380" w:type="dxa"/>
            <w:vAlign w:val="bottom"/>
            <w:shd w:val="clear" w:color="auto" w:fill="DBDBDB"/>
          </w:tcPr>
          <w:p>
            <w:pPr>
              <w:spacing w:after="0"/>
              <w:rPr>
                <w:sz w:val="17"/>
                <w:szCs w:val="17"/>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(109,627)</w:t>
            </w:r>
          </w:p>
        </w:tc>
        <w:tc>
          <w:tcPr>
            <w:tcW w:w="80" w:type="dxa"/>
            <w:vAlign w:val="bottom"/>
            <w:shd w:val="clear" w:color="auto" w:fill="DBDBDB"/>
          </w:tcPr>
          <w:p>
            <w:pPr>
              <w:spacing w:after="0"/>
              <w:rPr>
                <w:sz w:val="17"/>
                <w:szCs w:val="17"/>
                <w:color w:val="auto"/>
              </w:rPr>
            </w:pPr>
          </w:p>
        </w:tc>
        <w:tc>
          <w:tcPr>
            <w:tcW w:w="1040" w:type="dxa"/>
            <w:vAlign w:val="bottom"/>
            <w:shd w:val="clear" w:color="auto" w:fill="DBDBDB"/>
          </w:tcPr>
          <w:p>
            <w:pPr>
              <w:spacing w:after="0"/>
              <w:rPr>
                <w:sz w:val="17"/>
                <w:szCs w:val="17"/>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(50,047)</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(190,309)</w:t>
            </w:r>
          </w:p>
        </w:tc>
        <w:tc>
          <w:tcPr>
            <w:tcW w:w="6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(87,380)</w:t>
            </w:r>
          </w:p>
        </w:tc>
      </w:tr>
      <w:tr>
        <w:trPr>
          <w:trHeight w:val="205"/>
        </w:trPr>
        <w:tc>
          <w:tcPr>
            <w:tcW w:w="434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(9,772)</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(10,143)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3"/>
              <w:spacing w:after="0"/>
              <w:rPr>
                <w:sz w:val="20"/>
                <w:szCs w:val="20"/>
                <w:color w:val="auto"/>
              </w:rPr>
            </w:pPr>
            <w:r>
              <w:rPr>
                <w:rFonts w:ascii="Arial" w:cs="Arial" w:eastAsia="Arial" w:hAnsi="Arial"/>
                <w:sz w:val="15"/>
                <w:szCs w:val="15"/>
                <w:color w:val="auto"/>
              </w:rPr>
              <w:t>(20,253)</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(17,450)</w:t>
            </w:r>
          </w:p>
        </w:tc>
      </w:tr>
      <w:tr>
        <w:trPr>
          <w:trHeight w:val="207"/>
        </w:trPr>
        <w:tc>
          <w:tcPr>
            <w:tcW w:w="434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property, plant and equipment</w:t>
            </w:r>
          </w:p>
        </w:tc>
        <w:tc>
          <w:tcPr>
            <w:tcW w:w="38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491</w:t>
            </w:r>
          </w:p>
        </w:tc>
        <w:tc>
          <w:tcPr>
            <w:tcW w:w="80" w:type="dxa"/>
            <w:vAlign w:val="bottom"/>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spacing w:after="0"/>
              <w:rPr>
                <w:sz w:val="18"/>
                <w:szCs w:val="18"/>
                <w:color w:val="auto"/>
              </w:rPr>
            </w:pPr>
          </w:p>
        </w:tc>
        <w:tc>
          <w:tcPr>
            <w:tcW w:w="6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2,709</w:t>
            </w:r>
          </w:p>
        </w:tc>
        <w:tc>
          <w:tcPr>
            <w:tcW w:w="80" w:type="dxa"/>
            <w:vAlign w:val="bottom"/>
            <w:shd w:val="clear" w:color="auto" w:fill="DBDBDB"/>
          </w:tcPr>
          <w:p>
            <w:pPr>
              <w:spacing w:after="0"/>
              <w:rPr>
                <w:sz w:val="18"/>
                <w:szCs w:val="18"/>
                <w:color w:val="auto"/>
              </w:rPr>
            </w:pPr>
          </w:p>
        </w:tc>
        <w:tc>
          <w:tcPr>
            <w:tcW w:w="380" w:type="dxa"/>
            <w:vAlign w:val="bottom"/>
            <w:tcBorders>
              <w:bottom w:val="single" w:sz="8" w:color="auto"/>
            </w:tcBorders>
            <w:shd w:val="clear" w:color="auto" w:fill="DBDBDB"/>
          </w:tcPr>
          <w:p>
            <w:pPr>
              <w:spacing w:after="0"/>
              <w:rPr>
                <w:sz w:val="18"/>
                <w:szCs w:val="18"/>
                <w:color w:val="auto"/>
              </w:rPr>
            </w:pPr>
          </w:p>
        </w:tc>
        <w:tc>
          <w:tcPr>
            <w:tcW w:w="1340" w:type="dxa"/>
            <w:vAlign w:val="bottom"/>
            <w:tcBorders>
              <w:bottom w:val="single" w:sz="8" w:color="auto"/>
            </w:tcBorders>
            <w:shd w:val="clear" w:color="auto" w:fill="DBDBDB"/>
          </w:tcPr>
          <w:p>
            <w:pPr>
              <w:jc w:val="right"/>
              <w:ind w:right="43"/>
              <w:spacing w:after="0"/>
              <w:rPr>
                <w:sz w:val="20"/>
                <w:szCs w:val="20"/>
                <w:color w:val="auto"/>
              </w:rPr>
            </w:pPr>
            <w:r>
              <w:rPr>
                <w:rFonts w:ascii="Arial" w:cs="Arial" w:eastAsia="Arial" w:hAnsi="Arial"/>
                <w:sz w:val="15"/>
                <w:szCs w:val="15"/>
                <w:color w:val="auto"/>
              </w:rPr>
              <w:t>751</w:t>
            </w:r>
          </w:p>
        </w:tc>
        <w:tc>
          <w:tcPr>
            <w:tcW w:w="680" w:type="dxa"/>
            <w:vAlign w:val="bottom"/>
            <w:tcBorders>
              <w:bottom w:val="single" w:sz="8" w:color="auto"/>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16,438</w:t>
            </w:r>
          </w:p>
        </w:tc>
      </w:tr>
      <w:tr>
        <w:trPr>
          <w:trHeight w:val="198"/>
        </w:trPr>
        <w:tc>
          <w:tcPr>
            <w:tcW w:w="4340" w:type="dxa"/>
            <w:vAlign w:val="bottom"/>
          </w:tcPr>
          <w:p>
            <w:pPr>
              <w:ind w:left="220"/>
              <w:spacing w:after="0"/>
              <w:rPr>
                <w:sz w:val="20"/>
                <w:szCs w:val="20"/>
                <w:color w:val="auto"/>
              </w:rPr>
            </w:pPr>
            <w:r>
              <w:rPr>
                <w:rFonts w:ascii="Arial" w:cs="Arial" w:eastAsia="Arial" w:hAnsi="Arial"/>
                <w:sz w:val="15"/>
                <w:szCs w:val="15"/>
                <w:color w:val="auto"/>
              </w:rPr>
              <w:t>Net CAPEX</w:t>
            </w: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(118,908)</w:t>
            </w:r>
          </w:p>
        </w:tc>
        <w:tc>
          <w:tcPr>
            <w:tcW w:w="80" w:type="dxa"/>
            <w:vAlign w:val="bottom"/>
          </w:tcPr>
          <w:p>
            <w:pPr>
              <w:spacing w:after="0"/>
              <w:rPr>
                <w:sz w:val="17"/>
                <w:szCs w:val="17"/>
                <w:color w:val="auto"/>
              </w:rPr>
            </w:pP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(57,481)</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(209,811)</w:t>
            </w:r>
          </w:p>
        </w:tc>
        <w:tc>
          <w:tcPr>
            <w:tcW w:w="6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(88,392)</w:t>
            </w:r>
          </w:p>
        </w:tc>
      </w:tr>
      <w:tr>
        <w:trPr>
          <w:trHeight w:val="20"/>
        </w:trPr>
        <w:tc>
          <w:tcPr>
            <w:tcW w:w="4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2"/>
          <w:szCs w:val="22"/>
          <w:color w:val="1D2758"/>
        </w:rPr>
        <w:t>Liquidity and Capital Resources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WillScot Mobile Mini is a holding company that derives its operating cash flow from its operating subsidiaries. Our principal sources of liquidity include cash generated by operating activities from our subsidiaries, borrowings under the ABL Facility (as defined below), and sales of equity and debt securities. We believe that our liquidity sources and operating cash flows are sufficient to address our operating, debt service and capital requirements over the next twelve months.</w:t>
      </w:r>
    </w:p>
    <w:p>
      <w:pPr>
        <w:jc w:val="both"/>
        <w:ind w:firstLine="619"/>
        <w:spacing w:after="0" w:line="312" w:lineRule="auto"/>
        <w:rPr>
          <w:sz w:val="20"/>
          <w:szCs w:val="20"/>
          <w:color w:val="auto"/>
        </w:rPr>
      </w:pPr>
      <w:r>
        <w:rPr>
          <w:rFonts w:ascii="Arial" w:cs="Arial" w:eastAsia="Arial" w:hAnsi="Arial"/>
          <w:sz w:val="15"/>
          <w:szCs w:val="15"/>
          <w:color w:val="auto"/>
        </w:rPr>
        <w:t>We have consistently accessed the debt and equity capital markets both opportunistically and as necessary to support the growth of our business, desired leverage levels, and other capital allocation priorities. We believe we have ample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2" w:name="page43"/>
    <w:bookmarkEnd w:id="42"/>
    <w:p>
      <w:pPr>
        <w:jc w:val="both"/>
        <w:spacing w:after="0" w:line="294" w:lineRule="auto"/>
        <w:rPr>
          <w:sz w:val="20"/>
          <w:szCs w:val="20"/>
          <w:color w:val="auto"/>
        </w:rPr>
      </w:pPr>
      <w:r>
        <w:rPr>
          <w:rFonts w:ascii="Arial" w:cs="Arial" w:eastAsia="Arial" w:hAnsi="Arial"/>
          <w:sz w:val="15"/>
          <w:szCs w:val="15"/>
          <w:color w:val="auto"/>
        </w:rPr>
        <w:t>liquidity in the ABL Facility and are generating substantial free cash flow, which together support both organic operations and other capital allocation priorities as they arise.</w:t>
      </w:r>
    </w:p>
    <w:p>
      <w:pPr>
        <w:spacing w:after="0" w:line="3" w:lineRule="exact"/>
        <w:rPr>
          <w:sz w:val="20"/>
          <w:szCs w:val="20"/>
          <w:color w:val="auto"/>
        </w:rPr>
      </w:pPr>
    </w:p>
    <w:p>
      <w:pPr>
        <w:jc w:val="both"/>
        <w:ind w:firstLine="619"/>
        <w:spacing w:after="0" w:line="265" w:lineRule="auto"/>
        <w:rPr>
          <w:sz w:val="20"/>
          <w:szCs w:val="20"/>
          <w:color w:val="auto"/>
        </w:rPr>
      </w:pPr>
      <w:r>
        <w:rPr>
          <w:rFonts w:ascii="Arial" w:cs="Arial" w:eastAsia="Arial" w:hAnsi="Arial"/>
          <w:sz w:val="15"/>
          <w:szCs w:val="15"/>
          <w:color w:val="auto"/>
        </w:rPr>
        <w:t>We continue to review available acquisition opportunities with the awareness that any such acquisition may require us to incur additional debt to finance the acquisition and/or to issue shares of our Common Stock or other equity securities as acquisition consideration or as part of an overall financing plan. In addition, we will continue to evaluate alternatives to optimize our capital structure, which could include the issuance or repurchase of additional unsecured and secured debt, equity securities and/or equity-linked securities. There can be no assurance as to the timing of any such issuance or repurchase. If we obtain additional capital by issuing equity, the interests of our existing stockholders will be diluted. If we incur additional indebtedness, that indebtedness may contain significant financial and other covenants that may significantly restrict our operations. Availability of financing and the associated terms are inherently dependent on the debt and equity capital markets and subject to change. From time to time, we may also seek to streamline our capital structure and improve our financial position through refinancing or restructuring our existing debt or retiring certain of our securities for cash or other consideration.</w:t>
      </w:r>
    </w:p>
    <w:p>
      <w:pPr>
        <w:spacing w:after="0" w:line="1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Our revolving credit facility provides an aggregate principal amount of up to $3.7 billion, consisting of: (i) a senior secured asset-based US dollar revolving credit facility in the aggregate principal amount of $3.3 billion (the “US Facility”), and (ii) a $400.0 million senior secured asset-based multicurrency revolving credit facility (the "Multicurrency Facility") together with the US Facility (collectively, the “ABL Facility”), available to be drawn in US Dollars, Canadian Dollars, British Pounds Sterling or Euros. Borrowing availability under the ABL Facility is equal to the lesser of $3.7 billion and the applicable borrowing bases. The borrowing bases are a function of, among other things, the value of the assets in the relevant collateral pool. At June 30, 2022, we had $2.0 billion outstanding principal and $1.0 billion of available borrowing capacity under the ABL Facility.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 Comparison for the Six Months Ended June 30, 2022 and 2021</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Significant factors driving our liquidity include cash flows generated from operating activities and capital expenditures. Our ability to fund our capital needs will be affected by our ongoing ability to generate cash from operations and access to capital markets. The following summarizes our change in cash and cash equivalents for the periods presented: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2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2020" w:type="dxa"/>
            <w:vAlign w:val="bottom"/>
            <w:gridSpan w:val="3"/>
            <w:shd w:val="clear" w:color="auto" w:fill="1D2758"/>
          </w:tcPr>
          <w:p>
            <w:pPr>
              <w:ind w:left="660"/>
              <w:spacing w:after="0"/>
              <w:rPr>
                <w:sz w:val="20"/>
                <w:szCs w:val="20"/>
                <w:color w:val="auto"/>
              </w:rPr>
            </w:pPr>
            <w:r>
              <w:rPr>
                <w:rFonts w:ascii="Arial" w:cs="Arial" w:eastAsia="Arial" w:hAnsi="Arial"/>
                <w:sz w:val="15"/>
                <w:szCs w:val="15"/>
                <w:b w:val="1"/>
                <w:bCs w:val="1"/>
                <w:color w:val="FFFFFF"/>
              </w:rPr>
              <w:t>Six Months Ended</w:t>
            </w:r>
          </w:p>
        </w:tc>
        <w:tc>
          <w:tcPr>
            <w:tcW w:w="1020" w:type="dxa"/>
            <w:vAlign w:val="bottom"/>
            <w:shd w:val="clear" w:color="auto" w:fill="1D2758"/>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820" w:type="dxa"/>
            <w:vAlign w:val="bottom"/>
            <w:vMerge w:val="restart"/>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380" w:type="dxa"/>
            <w:vAlign w:val="bottom"/>
            <w:shd w:val="clear" w:color="auto" w:fill="1D2758"/>
          </w:tcPr>
          <w:p>
            <w:pPr>
              <w:spacing w:after="0"/>
              <w:rPr>
                <w:sz w:val="17"/>
                <w:szCs w:val="17"/>
                <w:color w:val="auto"/>
              </w:rPr>
            </w:pPr>
          </w:p>
        </w:tc>
        <w:tc>
          <w:tcPr>
            <w:tcW w:w="2020" w:type="dxa"/>
            <w:vAlign w:val="bottom"/>
            <w:gridSpan w:val="3"/>
            <w:shd w:val="clear" w:color="auto" w:fill="1D2758"/>
          </w:tcPr>
          <w:p>
            <w:pPr>
              <w:ind w:left="1020"/>
              <w:spacing w:after="0"/>
              <w:rPr>
                <w:sz w:val="20"/>
                <w:szCs w:val="20"/>
                <w:color w:val="auto"/>
              </w:rPr>
            </w:pPr>
            <w:r>
              <w:rPr>
                <w:rFonts w:ascii="Arial" w:cs="Arial" w:eastAsia="Arial" w:hAnsi="Arial"/>
                <w:sz w:val="15"/>
                <w:szCs w:val="15"/>
                <w:b w:val="1"/>
                <w:bCs w:val="1"/>
                <w:color w:val="FFFFFF"/>
              </w:rPr>
              <w:t>June 30,</w:t>
            </w:r>
          </w:p>
        </w:tc>
        <w:tc>
          <w:tcPr>
            <w:tcW w:w="1020" w:type="dxa"/>
            <w:vAlign w:val="bottom"/>
            <w:shd w:val="clear" w:color="auto" w:fill="1D2758"/>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vMerge w:val="continue"/>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300" w:type="dxa"/>
            <w:vAlign w:val="bottom"/>
            <w:vMerge w:val="restart"/>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8"/>
                <w:szCs w:val="18"/>
                <w:color w:val="auto"/>
              </w:rPr>
            </w:pPr>
          </w:p>
        </w:tc>
        <w:tc>
          <w:tcPr>
            <w:tcW w:w="640" w:type="dxa"/>
            <w:vAlign w:val="bottom"/>
            <w:shd w:val="clear" w:color="auto" w:fill="1D2758"/>
          </w:tcPr>
          <w:p>
            <w:pPr>
              <w:spacing w:after="0"/>
              <w:rPr>
                <w:sz w:val="18"/>
                <w:szCs w:val="18"/>
                <w:color w:val="auto"/>
              </w:rPr>
            </w:pPr>
          </w:p>
        </w:tc>
        <w:tc>
          <w:tcPr>
            <w:tcW w:w="1020" w:type="dxa"/>
            <w:vAlign w:val="bottom"/>
            <w:vMerge w:val="restart"/>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c>
          <w:tcPr>
            <w:tcW w:w="0" w:type="dxa"/>
            <w:vAlign w:val="bottom"/>
          </w:tcPr>
          <w:p>
            <w:pPr>
              <w:spacing w:after="0"/>
              <w:rPr>
                <w:sz w:val="1"/>
                <w:szCs w:val="1"/>
                <w:color w:val="auto"/>
              </w:rPr>
            </w:pPr>
          </w:p>
        </w:tc>
      </w:tr>
      <w:tr>
        <w:trPr>
          <w:trHeight w:val="84"/>
        </w:trPr>
        <w:tc>
          <w:tcPr>
            <w:tcW w:w="7820" w:type="dxa"/>
            <w:vAlign w:val="bottom"/>
            <w:shd w:val="clear" w:color="auto" w:fill="1D2758"/>
          </w:tcPr>
          <w:p>
            <w:pPr>
              <w:spacing w:after="0"/>
              <w:rPr>
                <w:sz w:val="7"/>
                <w:szCs w:val="7"/>
                <w:color w:val="auto"/>
              </w:rPr>
            </w:pPr>
          </w:p>
        </w:tc>
        <w:tc>
          <w:tcPr>
            <w:tcW w:w="380" w:type="dxa"/>
            <w:vAlign w:val="bottom"/>
            <w:shd w:val="clear" w:color="auto" w:fill="1D2758"/>
          </w:tcPr>
          <w:p>
            <w:pPr>
              <w:spacing w:after="0"/>
              <w:rPr>
                <w:sz w:val="7"/>
                <w:szCs w:val="7"/>
                <w:color w:val="auto"/>
              </w:rPr>
            </w:pPr>
          </w:p>
        </w:tc>
        <w:tc>
          <w:tcPr>
            <w:tcW w:w="1300" w:type="dxa"/>
            <w:vAlign w:val="bottom"/>
            <w:vMerge w:val="continue"/>
            <w:shd w:val="clear" w:color="auto" w:fill="1D2758"/>
          </w:tcPr>
          <w:p>
            <w:pPr>
              <w:spacing w:after="0"/>
              <w:rPr>
                <w:sz w:val="7"/>
                <w:szCs w:val="7"/>
                <w:color w:val="auto"/>
              </w:rPr>
            </w:pPr>
          </w:p>
        </w:tc>
        <w:tc>
          <w:tcPr>
            <w:tcW w:w="80" w:type="dxa"/>
            <w:vAlign w:val="bottom"/>
            <w:shd w:val="clear" w:color="auto" w:fill="1D2758"/>
          </w:tcPr>
          <w:p>
            <w:pPr>
              <w:spacing w:after="0"/>
              <w:rPr>
                <w:sz w:val="7"/>
                <w:szCs w:val="7"/>
                <w:color w:val="auto"/>
              </w:rPr>
            </w:pPr>
          </w:p>
        </w:tc>
        <w:tc>
          <w:tcPr>
            <w:tcW w:w="640" w:type="dxa"/>
            <w:vAlign w:val="bottom"/>
            <w:shd w:val="clear" w:color="auto" w:fill="1D2758"/>
          </w:tcPr>
          <w:p>
            <w:pPr>
              <w:spacing w:after="0"/>
              <w:rPr>
                <w:sz w:val="7"/>
                <w:szCs w:val="7"/>
                <w:color w:val="auto"/>
              </w:rPr>
            </w:pPr>
          </w:p>
        </w:tc>
        <w:tc>
          <w:tcPr>
            <w:tcW w:w="102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operating activities</w:t>
            </w:r>
          </w:p>
        </w:tc>
        <w:tc>
          <w:tcPr>
            <w:tcW w:w="38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DBDBDB"/>
          </w:tcPr>
          <w:p>
            <w:pPr>
              <w:ind w:left="660"/>
              <w:spacing w:after="0"/>
              <w:rPr>
                <w:sz w:val="20"/>
                <w:szCs w:val="20"/>
                <w:color w:val="auto"/>
              </w:rPr>
            </w:pPr>
            <w:r>
              <w:rPr>
                <w:rFonts w:ascii="Arial" w:cs="Arial" w:eastAsia="Arial" w:hAnsi="Arial"/>
                <w:sz w:val="15"/>
                <w:szCs w:val="15"/>
                <w:color w:val="auto"/>
              </w:rPr>
              <w:t>333,853</w:t>
            </w:r>
          </w:p>
        </w:tc>
        <w:tc>
          <w:tcPr>
            <w:tcW w:w="80" w:type="dxa"/>
            <w:vAlign w:val="bottom"/>
            <w:shd w:val="clear" w:color="auto" w:fill="DBDBDB"/>
          </w:tcPr>
          <w:p>
            <w:pPr>
              <w:spacing w:after="0"/>
              <w:rPr>
                <w:sz w:val="17"/>
                <w:szCs w:val="17"/>
                <w:color w:val="auto"/>
              </w:rPr>
            </w:pPr>
          </w:p>
        </w:tc>
        <w:tc>
          <w:tcPr>
            <w:tcW w:w="640" w:type="dxa"/>
            <w:vAlign w:val="bottom"/>
            <w:vMerge w:val="restart"/>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261,608</w:t>
            </w:r>
          </w:p>
        </w:tc>
        <w:tc>
          <w:tcPr>
            <w:tcW w:w="0" w:type="dxa"/>
            <w:vAlign w:val="bottom"/>
          </w:tcPr>
          <w:p>
            <w:pPr>
              <w:spacing w:after="0"/>
              <w:rPr>
                <w:sz w:val="1"/>
                <w:szCs w:val="1"/>
                <w:color w:val="auto"/>
              </w:rPr>
            </w:pPr>
          </w:p>
        </w:tc>
      </w:tr>
      <w:tr>
        <w:trPr>
          <w:trHeight w:val="92"/>
        </w:trPr>
        <w:tc>
          <w:tcPr>
            <w:tcW w:w="7820" w:type="dxa"/>
            <w:vAlign w:val="bottom"/>
            <w:shd w:val="clear" w:color="auto" w:fill="DBDBDB"/>
          </w:tcPr>
          <w:p>
            <w:pPr>
              <w:spacing w:after="0"/>
              <w:rPr>
                <w:sz w:val="7"/>
                <w:szCs w:val="7"/>
                <w:color w:val="auto"/>
              </w:rPr>
            </w:pPr>
          </w:p>
        </w:tc>
        <w:tc>
          <w:tcPr>
            <w:tcW w:w="380" w:type="dxa"/>
            <w:vAlign w:val="bottom"/>
            <w:vMerge w:val="continue"/>
            <w:shd w:val="clear" w:color="auto" w:fill="DBDBDB"/>
          </w:tcPr>
          <w:p>
            <w:pPr>
              <w:spacing w:after="0"/>
              <w:rPr>
                <w:sz w:val="7"/>
                <w:szCs w:val="7"/>
                <w:color w:val="auto"/>
              </w:rPr>
            </w:pPr>
          </w:p>
        </w:tc>
        <w:tc>
          <w:tcPr>
            <w:tcW w:w="130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640" w:type="dxa"/>
            <w:vAlign w:val="bottom"/>
            <w:vMerge w:val="continue"/>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7820" w:type="dxa"/>
            <w:vAlign w:val="bottom"/>
          </w:tcPr>
          <w:p>
            <w:pPr>
              <w:ind w:left="20"/>
              <w:spacing w:after="0"/>
              <w:rPr>
                <w:sz w:val="20"/>
                <w:szCs w:val="20"/>
                <w:color w:val="auto"/>
              </w:rPr>
            </w:pPr>
            <w:r>
              <w:rPr>
                <w:rFonts w:ascii="Arial" w:cs="Arial" w:eastAsia="Arial" w:hAnsi="Arial"/>
                <w:sz w:val="15"/>
                <w:szCs w:val="15"/>
                <w:color w:val="auto"/>
              </w:rPr>
              <w:t>Net cash from investing activities</w:t>
            </w:r>
          </w:p>
        </w:tc>
        <w:tc>
          <w:tcPr>
            <w:tcW w:w="3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(313,738)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(88,392)</w:t>
            </w:r>
          </w:p>
        </w:tc>
        <w:tc>
          <w:tcPr>
            <w:tcW w:w="0" w:type="dxa"/>
            <w:vAlign w:val="bottom"/>
          </w:tcPr>
          <w:p>
            <w:pPr>
              <w:spacing w:after="0"/>
              <w:rPr>
                <w:sz w:val="1"/>
                <w:szCs w:val="1"/>
                <w:color w:val="auto"/>
              </w:rPr>
            </w:pPr>
          </w:p>
        </w:tc>
      </w:tr>
      <w:tr>
        <w:trPr>
          <w:trHeight w:val="91"/>
        </w:trPr>
        <w:tc>
          <w:tcPr>
            <w:tcW w:w="7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782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from financing activities</w:t>
            </w:r>
          </w:p>
        </w:tc>
        <w:tc>
          <w:tcPr>
            <w:tcW w:w="380" w:type="dxa"/>
            <w:vAlign w:val="bottom"/>
            <w:shd w:val="clear" w:color="auto" w:fill="DBDBDB"/>
          </w:tcPr>
          <w:p>
            <w:pPr>
              <w:spacing w:after="0"/>
              <w:rPr>
                <w:sz w:val="17"/>
                <w:szCs w:val="17"/>
                <w:color w:val="auto"/>
              </w:rPr>
            </w:pP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(20,802)</w:t>
            </w: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(182,913)</w:t>
            </w:r>
          </w:p>
        </w:tc>
        <w:tc>
          <w:tcPr>
            <w:tcW w:w="0" w:type="dxa"/>
            <w:vAlign w:val="bottom"/>
          </w:tcPr>
          <w:p>
            <w:pPr>
              <w:spacing w:after="0"/>
              <w:rPr>
                <w:sz w:val="1"/>
                <w:szCs w:val="1"/>
                <w:color w:val="auto"/>
              </w:rPr>
            </w:pPr>
          </w:p>
        </w:tc>
      </w:tr>
      <w:tr>
        <w:trPr>
          <w:trHeight w:val="92"/>
        </w:trPr>
        <w:tc>
          <w:tcPr>
            <w:tcW w:w="7820" w:type="dxa"/>
            <w:vAlign w:val="bottom"/>
            <w:shd w:val="clear" w:color="auto" w:fill="DBDBDB"/>
          </w:tcPr>
          <w:p>
            <w:pPr>
              <w:spacing w:after="0"/>
              <w:rPr>
                <w:sz w:val="7"/>
                <w:szCs w:val="7"/>
                <w:color w:val="auto"/>
              </w:rPr>
            </w:pPr>
          </w:p>
        </w:tc>
        <w:tc>
          <w:tcPr>
            <w:tcW w:w="380" w:type="dxa"/>
            <w:vAlign w:val="bottom"/>
            <w:shd w:val="clear" w:color="auto" w:fill="DBDBDB"/>
          </w:tcPr>
          <w:p>
            <w:pPr>
              <w:spacing w:after="0"/>
              <w:rPr>
                <w:sz w:val="7"/>
                <w:szCs w:val="7"/>
                <w:color w:val="auto"/>
              </w:rPr>
            </w:pPr>
          </w:p>
        </w:tc>
        <w:tc>
          <w:tcPr>
            <w:tcW w:w="1300" w:type="dxa"/>
            <w:vAlign w:val="bottom"/>
            <w:vMerge w:val="continue"/>
            <w:shd w:val="clear" w:color="auto" w:fill="DBDBDB"/>
          </w:tcPr>
          <w:p>
            <w:pPr>
              <w:spacing w:after="0"/>
              <w:rPr>
                <w:sz w:val="7"/>
                <w:szCs w:val="7"/>
                <w:color w:val="auto"/>
              </w:rPr>
            </w:pPr>
          </w:p>
        </w:tc>
        <w:tc>
          <w:tcPr>
            <w:tcW w:w="80" w:type="dxa"/>
            <w:vAlign w:val="bottom"/>
            <w:shd w:val="clear" w:color="auto" w:fill="DBDBDB"/>
          </w:tcPr>
          <w:p>
            <w:pPr>
              <w:spacing w:after="0"/>
              <w:rPr>
                <w:sz w:val="7"/>
                <w:szCs w:val="7"/>
                <w:color w:val="auto"/>
              </w:rPr>
            </w:pPr>
          </w:p>
        </w:tc>
        <w:tc>
          <w:tcPr>
            <w:tcW w:w="640" w:type="dxa"/>
            <w:vAlign w:val="bottom"/>
            <w:shd w:val="clear" w:color="auto" w:fill="DBDBDB"/>
          </w:tcPr>
          <w:p>
            <w:pPr>
              <w:spacing w:after="0"/>
              <w:rPr>
                <w:sz w:val="7"/>
                <w:szCs w:val="7"/>
                <w:color w:val="auto"/>
              </w:rPr>
            </w:pPr>
          </w:p>
        </w:tc>
        <w:tc>
          <w:tcPr>
            <w:tcW w:w="102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7820" w:type="dxa"/>
            <w:vAlign w:val="bottom"/>
          </w:tcPr>
          <w:p>
            <w:pPr>
              <w:ind w:left="20"/>
              <w:spacing w:after="0"/>
              <w:rPr>
                <w:sz w:val="20"/>
                <w:szCs w:val="20"/>
                <w:color w:val="auto"/>
              </w:rPr>
            </w:pPr>
            <w:r>
              <w:rPr>
                <w:rFonts w:ascii="Arial" w:cs="Arial" w:eastAsia="Arial" w:hAnsi="Arial"/>
                <w:sz w:val="15"/>
                <w:szCs w:val="15"/>
                <w:color w:val="auto"/>
              </w:rPr>
              <w:t>Effect of exchange rate changes on cash and cash equivalents</w:t>
            </w:r>
          </w:p>
        </w:tc>
        <w:tc>
          <w:tcPr>
            <w:tcW w:w="38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5"/>
                <w:szCs w:val="15"/>
                <w:color w:val="auto"/>
              </w:rPr>
              <w:t>(306)</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162</w:t>
            </w:r>
          </w:p>
        </w:tc>
        <w:tc>
          <w:tcPr>
            <w:tcW w:w="0" w:type="dxa"/>
            <w:vAlign w:val="bottom"/>
          </w:tcPr>
          <w:p>
            <w:pPr>
              <w:spacing w:after="0"/>
              <w:rPr>
                <w:sz w:val="1"/>
                <w:szCs w:val="1"/>
                <w:color w:val="auto"/>
              </w:rPr>
            </w:pPr>
          </w:p>
        </w:tc>
      </w:tr>
      <w:tr>
        <w:trPr>
          <w:trHeight w:val="91"/>
        </w:trPr>
        <w:tc>
          <w:tcPr>
            <w:tcW w:w="7820" w:type="dxa"/>
            <w:vAlign w:val="bottom"/>
            <w:tcBorders>
              <w:bottom w:val="single" w:sz="8" w:color="DBDBDB"/>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DBDBDB"/>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7820" w:type="dxa"/>
            <w:vAlign w:val="bottom"/>
            <w:shd w:val="clear" w:color="auto" w:fill="DBDBDB"/>
          </w:tcPr>
          <w:p>
            <w:pPr>
              <w:ind w:left="220"/>
              <w:spacing w:after="0"/>
              <w:rPr>
                <w:sz w:val="20"/>
                <w:szCs w:val="20"/>
                <w:color w:val="auto"/>
              </w:rPr>
            </w:pPr>
            <w:r>
              <w:rPr>
                <w:rFonts w:ascii="Arial" w:cs="Arial" w:eastAsia="Arial" w:hAnsi="Arial"/>
                <w:sz w:val="15"/>
                <w:szCs w:val="15"/>
                <w:color w:val="auto"/>
              </w:rPr>
              <w:t>Net change in cash and cash equivalents</w:t>
            </w:r>
          </w:p>
        </w:tc>
        <w:tc>
          <w:tcPr>
            <w:tcW w:w="380" w:type="dxa"/>
            <w:vAlign w:val="bottom"/>
            <w:vMerge w:val="restart"/>
            <w:shd w:val="clear" w:color="auto" w:fill="DBDBDB"/>
          </w:tcPr>
          <w:p>
            <w:pPr>
              <w:jc w:val="right"/>
              <w:ind w:right="183"/>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(993)</w:t>
            </w:r>
          </w:p>
        </w:tc>
        <w:tc>
          <w:tcPr>
            <w:tcW w:w="80" w:type="dxa"/>
            <w:vAlign w:val="bottom"/>
            <w:shd w:val="clear" w:color="auto" w:fill="DBDBDB"/>
          </w:tcPr>
          <w:p>
            <w:pPr>
              <w:spacing w:after="0"/>
              <w:rPr>
                <w:sz w:val="16"/>
                <w:szCs w:val="16"/>
                <w:color w:val="auto"/>
              </w:rPr>
            </w:pPr>
          </w:p>
        </w:tc>
        <w:tc>
          <w:tcPr>
            <w:tcW w:w="640" w:type="dxa"/>
            <w:vAlign w:val="bottom"/>
            <w:vMerge w:val="restart"/>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(9,535)</w:t>
            </w:r>
          </w:p>
        </w:tc>
        <w:tc>
          <w:tcPr>
            <w:tcW w:w="0" w:type="dxa"/>
            <w:vAlign w:val="bottom"/>
          </w:tcPr>
          <w:p>
            <w:pPr>
              <w:spacing w:after="0"/>
              <w:rPr>
                <w:sz w:val="1"/>
                <w:szCs w:val="1"/>
                <w:color w:val="auto"/>
              </w:rPr>
            </w:pPr>
          </w:p>
        </w:tc>
      </w:tr>
      <w:tr>
        <w:trPr>
          <w:trHeight w:val="85"/>
        </w:trPr>
        <w:tc>
          <w:tcPr>
            <w:tcW w:w="7820" w:type="dxa"/>
            <w:vAlign w:val="bottom"/>
            <w:tcBorders>
              <w:bottom w:val="single" w:sz="8" w:color="DBDBDB"/>
            </w:tcBorders>
            <w:shd w:val="clear" w:color="auto" w:fill="DBDBDB"/>
          </w:tcPr>
          <w:p>
            <w:pPr>
              <w:spacing w:after="0"/>
              <w:rPr>
                <w:sz w:val="7"/>
                <w:szCs w:val="7"/>
                <w:color w:val="auto"/>
              </w:rPr>
            </w:pPr>
          </w:p>
        </w:tc>
        <w:tc>
          <w:tcPr>
            <w:tcW w:w="380" w:type="dxa"/>
            <w:vAlign w:val="bottom"/>
            <w:tcBorders>
              <w:bottom w:val="single" w:sz="8" w:color="auto"/>
            </w:tcBorders>
            <w:vMerge w:val="continue"/>
            <w:shd w:val="clear" w:color="auto" w:fill="DBDBDB"/>
          </w:tcPr>
          <w:p>
            <w:pPr>
              <w:spacing w:after="0"/>
              <w:rPr>
                <w:sz w:val="7"/>
                <w:szCs w:val="7"/>
                <w:color w:val="auto"/>
              </w:rPr>
            </w:pPr>
          </w:p>
        </w:tc>
        <w:tc>
          <w:tcPr>
            <w:tcW w:w="1300" w:type="dxa"/>
            <w:vAlign w:val="bottom"/>
            <w:tcBorders>
              <w:bottom w:val="single" w:sz="8" w:color="auto"/>
            </w:tcBorders>
            <w:vMerge w:val="continue"/>
            <w:shd w:val="clear" w:color="auto" w:fill="DBDBDB"/>
          </w:tcPr>
          <w:p>
            <w:pPr>
              <w:spacing w:after="0"/>
              <w:rPr>
                <w:sz w:val="7"/>
                <w:szCs w:val="7"/>
                <w:color w:val="auto"/>
              </w:rPr>
            </w:pPr>
          </w:p>
        </w:tc>
        <w:tc>
          <w:tcPr>
            <w:tcW w:w="80" w:type="dxa"/>
            <w:vAlign w:val="bottom"/>
            <w:tcBorders>
              <w:bottom w:val="single" w:sz="8" w:color="DBDBDB"/>
            </w:tcBorders>
            <w:shd w:val="clear" w:color="auto" w:fill="DBDBDB"/>
          </w:tcPr>
          <w:p>
            <w:pPr>
              <w:spacing w:after="0"/>
              <w:rPr>
                <w:sz w:val="7"/>
                <w:szCs w:val="7"/>
                <w:color w:val="auto"/>
              </w:rPr>
            </w:pPr>
          </w:p>
        </w:tc>
        <w:tc>
          <w:tcPr>
            <w:tcW w:w="640" w:type="dxa"/>
            <w:vAlign w:val="bottom"/>
            <w:tcBorders>
              <w:bottom w:val="single" w:sz="8" w:color="auto"/>
            </w:tcBorders>
            <w:vMerge w:val="continue"/>
            <w:shd w:val="clear" w:color="auto" w:fill="DBDBDB"/>
          </w:tcPr>
          <w:p>
            <w:pPr>
              <w:spacing w:after="0"/>
              <w:rPr>
                <w:sz w:val="7"/>
                <w:szCs w:val="7"/>
                <w:color w:val="auto"/>
              </w:rPr>
            </w:pPr>
          </w:p>
        </w:tc>
        <w:tc>
          <w:tcPr>
            <w:tcW w:w="1020" w:type="dxa"/>
            <w:vAlign w:val="bottom"/>
            <w:tcBorders>
              <w:bottom w:val="single" w:sz="8" w:color="auto"/>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Operating Activities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Cash provided by operating activities for the six months ended June 30, 2022 was $333.9 million as compared to $261.6 million for the six months ended June 30, 2021, an increase of $72.3 million, or 27.6%. The increase was due to an increase of $87.6 million of net income, adjusted for non-cash items, partially offset by a decrease of $15.3 million in the net changes in operating assets and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Investing Activities</w:t>
      </w:r>
    </w:p>
    <w:p>
      <w:pPr>
        <w:spacing w:after="0" w:line="11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Cash used in investing activities for the six months ended June 30, 2022 was $313.7 million as compared to $88.4 million for the six months ended June 30, 2021, an increase of $225.3 million. The increase in cash used in investing activities was driven by a $107.6 million increase in cash used for the purchase of rental equipment and refurbishments, a $103.9 million increase in cash used in acquisitions, net of cash acquired, a $15.7 million decrease in proceeds from sale of property, plant and equipment, and a $2.8 million increase in cash used for the purchase of property, plant and equipment, partially offset by a $4.7 million increase in proceeds from the sale of rental equipment.</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1D2758"/>
        </w:rPr>
        <w:t>Cash Flows from Financing Activities</w:t>
      </w:r>
    </w:p>
    <w:p>
      <w:pPr>
        <w:spacing w:after="0" w:line="11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Cash used in financing activities for the six months ended June 30, 2022 was $20.8 million as compared to $182.9 million for the six months ended June 30, 2021, a decrease of $162.1 million. The decrease was primarily due to a $219.6 million decrease in repayment of borrowings and a $66.7 million increase in receipts from borrowings, partially offset by a $104.9 million increase in the repurchase and cancellation of common stock and warrants.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Free Cash Flow</w:t>
      </w:r>
    </w:p>
    <w:p>
      <w:pPr>
        <w:spacing w:after="0" w:line="12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Free Cash Flow is a non-GAAP measure. We define Free Cash Flow as net cash provided by operating activities, less purchases of, and proceeds from, rental equipment and property, plant and equipment, which are all included in cash flows from investing activities. Management believes that the presentation of Free Cash Flow provides useful additional information concerning cash flow available to fund our capital allocation alternatives.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3" w:name="page44"/>
    <w:bookmarkEnd w:id="43"/>
    <w:p>
      <w:pPr>
        <w:ind w:left="620"/>
        <w:spacing w:after="0"/>
        <w:rPr>
          <w:sz w:val="20"/>
          <w:szCs w:val="20"/>
          <w:color w:val="auto"/>
        </w:rPr>
      </w:pPr>
      <w:r>
        <w:rPr>
          <w:rFonts w:ascii="Arial" w:cs="Arial" w:eastAsia="Arial" w:hAnsi="Arial"/>
          <w:sz w:val="15"/>
          <w:szCs w:val="15"/>
          <w:color w:val="auto"/>
        </w:rPr>
        <w:t>The following table provides a reconciliation of net cash provided by operating activities to Free Cash Flow.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60" w:type="dxa"/>
            <w:vAlign w:val="bottom"/>
            <w:shd w:val="clear" w:color="auto" w:fill="1D2758"/>
          </w:tcPr>
          <w:p>
            <w:pPr>
              <w:spacing w:after="0"/>
              <w:rPr>
                <w:sz w:val="14"/>
                <w:szCs w:val="14"/>
                <w:color w:val="auto"/>
              </w:rPr>
            </w:pPr>
          </w:p>
        </w:tc>
        <w:tc>
          <w:tcPr>
            <w:tcW w:w="2760" w:type="dxa"/>
            <w:vAlign w:val="bottom"/>
            <w:gridSpan w:val="4"/>
            <w:shd w:val="clear" w:color="auto" w:fill="1D2758"/>
          </w:tcPr>
          <w:p>
            <w:pPr>
              <w:jc w:val="right"/>
              <w:ind w:right="243"/>
              <w:spacing w:after="0"/>
              <w:rPr>
                <w:sz w:val="20"/>
                <w:szCs w:val="20"/>
                <w:color w:val="auto"/>
              </w:rPr>
            </w:pPr>
            <w:r>
              <w:rPr>
                <w:rFonts w:ascii="Arial" w:cs="Arial" w:eastAsia="Arial" w:hAnsi="Arial"/>
                <w:sz w:val="15"/>
                <w:szCs w:val="15"/>
                <w:b w:val="1"/>
                <w:bCs w:val="1"/>
                <w:color w:val="FFFFFF"/>
              </w:rPr>
              <w:t>Three Months Ended</w:t>
            </w:r>
          </w:p>
        </w:tc>
        <w:tc>
          <w:tcPr>
            <w:tcW w:w="640" w:type="dxa"/>
            <w:vAlign w:val="bottom"/>
            <w:shd w:val="clear" w:color="auto" w:fill="1D2758"/>
          </w:tcPr>
          <w:p>
            <w:pPr>
              <w:spacing w:after="0"/>
              <w:rPr>
                <w:sz w:val="14"/>
                <w:szCs w:val="14"/>
                <w:color w:val="auto"/>
              </w:rPr>
            </w:pPr>
          </w:p>
        </w:tc>
        <w:tc>
          <w:tcPr>
            <w:tcW w:w="80" w:type="dxa"/>
            <w:vAlign w:val="bottom"/>
            <w:shd w:val="clear" w:color="auto" w:fill="1D2758"/>
          </w:tcPr>
          <w:p>
            <w:pPr>
              <w:spacing w:after="0"/>
              <w:rPr>
                <w:sz w:val="14"/>
                <w:szCs w:val="14"/>
                <w:color w:val="auto"/>
              </w:rPr>
            </w:pPr>
          </w:p>
        </w:tc>
        <w:tc>
          <w:tcPr>
            <w:tcW w:w="380" w:type="dxa"/>
            <w:vAlign w:val="bottom"/>
            <w:shd w:val="clear" w:color="auto" w:fill="1D2758"/>
          </w:tcPr>
          <w:p>
            <w:pPr>
              <w:spacing w:after="0"/>
              <w:rPr>
                <w:sz w:val="14"/>
                <w:szCs w:val="14"/>
                <w:color w:val="auto"/>
              </w:rPr>
            </w:pPr>
          </w:p>
        </w:tc>
        <w:tc>
          <w:tcPr>
            <w:tcW w:w="2000" w:type="dxa"/>
            <w:vAlign w:val="bottom"/>
            <w:gridSpan w:val="3"/>
            <w:shd w:val="clear" w:color="auto" w:fill="1D2758"/>
          </w:tcPr>
          <w:p>
            <w:pPr>
              <w:jc w:val="right"/>
              <w:spacing w:after="0"/>
              <w:rPr>
                <w:sz w:val="20"/>
                <w:szCs w:val="20"/>
                <w:color w:val="auto"/>
              </w:rPr>
            </w:pPr>
            <w:r>
              <w:rPr>
                <w:rFonts w:ascii="Arial" w:cs="Arial" w:eastAsia="Arial" w:hAnsi="Arial"/>
                <w:sz w:val="15"/>
                <w:szCs w:val="15"/>
                <w:b w:val="1"/>
                <w:bCs w:val="1"/>
                <w:color w:val="FFFFFF"/>
              </w:rPr>
              <w:t>Six Months Ended</w:t>
            </w:r>
          </w:p>
        </w:tc>
        <w:tc>
          <w:tcPr>
            <w:tcW w:w="1020" w:type="dxa"/>
            <w:vAlign w:val="bottom"/>
            <w:shd w:val="clear" w:color="auto" w:fill="1D2758"/>
          </w:tcPr>
          <w:p>
            <w:pPr>
              <w:spacing w:after="0"/>
              <w:rPr>
                <w:sz w:val="14"/>
                <w:szCs w:val="14"/>
                <w:color w:val="auto"/>
              </w:rPr>
            </w:pPr>
          </w:p>
        </w:tc>
      </w:tr>
      <w:tr>
        <w:trPr>
          <w:trHeight w:val="206"/>
        </w:trPr>
        <w:tc>
          <w:tcPr>
            <w:tcW w:w="4360" w:type="dxa"/>
            <w:vAlign w:val="bottom"/>
            <w:shd w:val="clear" w:color="auto" w:fill="1D2758"/>
          </w:tcPr>
          <w:p>
            <w:pPr>
              <w:spacing w:after="0"/>
              <w:rPr>
                <w:sz w:val="17"/>
                <w:szCs w:val="17"/>
                <w:color w:val="auto"/>
              </w:rPr>
            </w:pPr>
          </w:p>
        </w:tc>
        <w:tc>
          <w:tcPr>
            <w:tcW w:w="1020" w:type="dxa"/>
            <w:vAlign w:val="bottom"/>
            <w:shd w:val="clear" w:color="auto" w:fill="1D2758"/>
          </w:tcPr>
          <w:p>
            <w:pPr>
              <w:spacing w:after="0"/>
              <w:rPr>
                <w:sz w:val="17"/>
                <w:szCs w:val="17"/>
                <w:color w:val="auto"/>
              </w:rPr>
            </w:pPr>
          </w:p>
        </w:tc>
        <w:tc>
          <w:tcPr>
            <w:tcW w:w="1740" w:type="dxa"/>
            <w:vAlign w:val="bottom"/>
            <w:gridSpan w:val="3"/>
            <w:shd w:val="clear" w:color="auto" w:fill="1D2758"/>
          </w:tcPr>
          <w:p>
            <w:pPr>
              <w:jc w:val="right"/>
              <w:ind w:right="683"/>
              <w:spacing w:after="0"/>
              <w:rPr>
                <w:sz w:val="20"/>
                <w:szCs w:val="20"/>
                <w:color w:val="auto"/>
              </w:rPr>
            </w:pPr>
            <w:r>
              <w:rPr>
                <w:rFonts w:ascii="Arial" w:cs="Arial" w:eastAsia="Arial" w:hAnsi="Arial"/>
                <w:sz w:val="15"/>
                <w:szCs w:val="15"/>
                <w:b w:val="1"/>
                <w:bCs w:val="1"/>
                <w:color w:val="FFFFFF"/>
              </w:rPr>
              <w:t>June 30,</w:t>
            </w:r>
          </w:p>
        </w:tc>
        <w:tc>
          <w:tcPr>
            <w:tcW w:w="6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2000" w:type="dxa"/>
            <w:vAlign w:val="bottom"/>
            <w:gridSpan w:val="3"/>
            <w:shd w:val="clear" w:color="auto" w:fill="1D2758"/>
          </w:tcPr>
          <w:p>
            <w:pPr>
              <w:jc w:val="right"/>
              <w:ind w:right="283"/>
              <w:spacing w:after="0"/>
              <w:rPr>
                <w:sz w:val="20"/>
                <w:szCs w:val="20"/>
                <w:color w:val="auto"/>
              </w:rPr>
            </w:pPr>
            <w:r>
              <w:rPr>
                <w:rFonts w:ascii="Arial" w:cs="Arial" w:eastAsia="Arial" w:hAnsi="Arial"/>
                <w:sz w:val="15"/>
                <w:szCs w:val="15"/>
                <w:b w:val="1"/>
                <w:bCs w:val="1"/>
                <w:color w:val="FFFFFF"/>
              </w:rPr>
              <w:t>June 30,</w:t>
            </w:r>
          </w:p>
        </w:tc>
        <w:tc>
          <w:tcPr>
            <w:tcW w:w="1020" w:type="dxa"/>
            <w:vAlign w:val="bottom"/>
            <w:shd w:val="clear" w:color="auto" w:fill="1D2758"/>
          </w:tcPr>
          <w:p>
            <w:pPr>
              <w:spacing w:after="0"/>
              <w:rPr>
                <w:sz w:val="17"/>
                <w:szCs w:val="17"/>
                <w:color w:val="auto"/>
              </w:rPr>
            </w:pPr>
          </w:p>
        </w:tc>
      </w:tr>
      <w:tr>
        <w:trPr>
          <w:trHeight w:val="206"/>
        </w:trPr>
        <w:tc>
          <w:tcPr>
            <w:tcW w:w="4360" w:type="dxa"/>
            <w:vAlign w:val="bottom"/>
            <w:shd w:val="clear" w:color="auto" w:fill="1D2758"/>
          </w:tcPr>
          <w:p>
            <w:pPr>
              <w:ind w:left="20"/>
              <w:spacing w:after="0"/>
              <w:rPr>
                <w:sz w:val="20"/>
                <w:szCs w:val="20"/>
                <w:color w:val="auto"/>
              </w:rPr>
            </w:pPr>
            <w:r>
              <w:rPr>
                <w:rFonts w:ascii="Arial" w:cs="Arial" w:eastAsia="Arial" w:hAnsi="Arial"/>
                <w:sz w:val="15"/>
                <w:szCs w:val="15"/>
                <w:b w:val="1"/>
                <w:bCs w:val="1"/>
                <w:i w:val="1"/>
                <w:iCs w:val="1"/>
                <w:color w:val="FFFFFF"/>
              </w:rPr>
              <w:t>(in thousands)</w:t>
            </w:r>
          </w:p>
        </w:tc>
        <w:tc>
          <w:tcPr>
            <w:tcW w:w="10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2022</w:t>
            </w:r>
          </w:p>
        </w:tc>
        <w:tc>
          <w:tcPr>
            <w:tcW w:w="6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1020" w:type="dxa"/>
            <w:vAlign w:val="bottom"/>
            <w:shd w:val="clear" w:color="auto" w:fill="1D2758"/>
          </w:tcPr>
          <w:p>
            <w:pPr>
              <w:jc w:val="right"/>
              <w:spacing w:after="0"/>
              <w:rPr>
                <w:sz w:val="20"/>
                <w:szCs w:val="20"/>
                <w:color w:val="auto"/>
              </w:rPr>
            </w:pPr>
            <w:r>
              <w:rPr>
                <w:rFonts w:ascii="Arial" w:cs="Arial" w:eastAsia="Arial" w:hAnsi="Arial"/>
                <w:sz w:val="15"/>
                <w:szCs w:val="15"/>
                <w:b w:val="1"/>
                <w:bCs w:val="1"/>
                <w:color w:val="FFFFFF"/>
              </w:rPr>
              <w:t>2021</w:t>
            </w:r>
          </w:p>
        </w:tc>
        <w:tc>
          <w:tcPr>
            <w:tcW w:w="640" w:type="dxa"/>
            <w:vAlign w:val="bottom"/>
            <w:shd w:val="clear" w:color="auto" w:fill="1D2758"/>
          </w:tcPr>
          <w:p>
            <w:pPr>
              <w:spacing w:after="0"/>
              <w:rPr>
                <w:sz w:val="17"/>
                <w:szCs w:val="17"/>
                <w:color w:val="auto"/>
              </w:rPr>
            </w:pPr>
          </w:p>
        </w:tc>
        <w:tc>
          <w:tcPr>
            <w:tcW w:w="80" w:type="dxa"/>
            <w:vAlign w:val="bottom"/>
            <w:shd w:val="clear" w:color="auto" w:fill="1D2758"/>
          </w:tcPr>
          <w:p>
            <w:pPr>
              <w:spacing w:after="0"/>
              <w:rPr>
                <w:sz w:val="17"/>
                <w:szCs w:val="17"/>
                <w:color w:val="auto"/>
              </w:rPr>
            </w:pPr>
          </w:p>
        </w:tc>
        <w:tc>
          <w:tcPr>
            <w:tcW w:w="380" w:type="dxa"/>
            <w:vAlign w:val="bottom"/>
            <w:shd w:val="clear" w:color="auto" w:fill="1D2758"/>
          </w:tcPr>
          <w:p>
            <w:pPr>
              <w:spacing w:after="0"/>
              <w:rPr>
                <w:sz w:val="17"/>
                <w:szCs w:val="17"/>
                <w:color w:val="auto"/>
              </w:rPr>
            </w:pPr>
          </w:p>
        </w:tc>
        <w:tc>
          <w:tcPr>
            <w:tcW w:w="128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2022</w:t>
            </w:r>
          </w:p>
        </w:tc>
        <w:tc>
          <w:tcPr>
            <w:tcW w:w="80" w:type="dxa"/>
            <w:vAlign w:val="bottom"/>
            <w:shd w:val="clear" w:color="auto" w:fill="1D2758"/>
          </w:tcPr>
          <w:p>
            <w:pPr>
              <w:spacing w:after="0"/>
              <w:rPr>
                <w:sz w:val="17"/>
                <w:szCs w:val="17"/>
                <w:color w:val="auto"/>
              </w:rPr>
            </w:pPr>
          </w:p>
        </w:tc>
        <w:tc>
          <w:tcPr>
            <w:tcW w:w="640" w:type="dxa"/>
            <w:vAlign w:val="bottom"/>
            <w:shd w:val="clear" w:color="auto" w:fill="1D2758"/>
          </w:tcPr>
          <w:p>
            <w:pPr>
              <w:spacing w:after="0"/>
              <w:rPr>
                <w:sz w:val="17"/>
                <w:szCs w:val="17"/>
                <w:color w:val="auto"/>
              </w:rPr>
            </w:pPr>
          </w:p>
        </w:tc>
        <w:tc>
          <w:tcPr>
            <w:tcW w:w="1020" w:type="dxa"/>
            <w:vAlign w:val="bottom"/>
            <w:shd w:val="clear" w:color="auto" w:fill="1D2758"/>
          </w:tcPr>
          <w:p>
            <w:pPr>
              <w:jc w:val="right"/>
              <w:ind w:right="583"/>
              <w:spacing w:after="0"/>
              <w:rPr>
                <w:sz w:val="20"/>
                <w:szCs w:val="20"/>
                <w:color w:val="auto"/>
              </w:rPr>
            </w:pPr>
            <w:r>
              <w:rPr>
                <w:rFonts w:ascii="Arial" w:cs="Arial" w:eastAsia="Arial" w:hAnsi="Arial"/>
                <w:sz w:val="15"/>
                <w:szCs w:val="15"/>
                <w:b w:val="1"/>
                <w:bCs w:val="1"/>
                <w:color w:val="FFFFFF"/>
              </w:rPr>
              <w:t>2021</w:t>
            </w: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102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9"/>
              </w:rPr>
              <w:t>188,326</w:t>
            </w:r>
          </w:p>
        </w:tc>
        <w:tc>
          <w:tcPr>
            <w:tcW w:w="80" w:type="dxa"/>
            <w:vAlign w:val="bottom"/>
            <w:shd w:val="clear" w:color="auto" w:fill="DBDBDB"/>
          </w:tcPr>
          <w:p>
            <w:pPr>
              <w:spacing w:after="0"/>
              <w:rPr>
                <w:sz w:val="17"/>
                <w:szCs w:val="17"/>
                <w:color w:val="auto"/>
              </w:rPr>
            </w:pPr>
          </w:p>
        </w:tc>
        <w:tc>
          <w:tcPr>
            <w:tcW w:w="1020" w:type="dxa"/>
            <w:vAlign w:val="bottom"/>
            <w:shd w:val="clear" w:color="auto" w:fill="DBDBDB"/>
          </w:tcPr>
          <w:p>
            <w:pPr>
              <w:jc w:val="right"/>
              <w:ind w:right="84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9"/>
              </w:rPr>
              <w:t>139,537</w:t>
            </w:r>
          </w:p>
        </w:tc>
        <w:tc>
          <w:tcPr>
            <w:tcW w:w="8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333,853</w:t>
            </w:r>
          </w:p>
        </w:tc>
        <w:tc>
          <w:tcPr>
            <w:tcW w:w="80" w:type="dxa"/>
            <w:vAlign w:val="bottom"/>
            <w:shd w:val="clear" w:color="auto" w:fill="DBDBDB"/>
          </w:tcPr>
          <w:p>
            <w:pPr>
              <w:spacing w:after="0"/>
              <w:rPr>
                <w:sz w:val="17"/>
                <w:szCs w:val="17"/>
                <w:color w:val="auto"/>
              </w:rPr>
            </w:pPr>
          </w:p>
        </w:tc>
        <w:tc>
          <w:tcPr>
            <w:tcW w:w="640" w:type="dxa"/>
            <w:vAlign w:val="bottom"/>
            <w:shd w:val="clear" w:color="auto" w:fill="DBDBDB"/>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261,608</w:t>
            </w:r>
          </w:p>
        </w:tc>
      </w:tr>
      <w:tr>
        <w:trPr>
          <w:trHeight w:val="205"/>
        </w:trPr>
        <w:tc>
          <w:tcPr>
            <w:tcW w:w="4360" w:type="dxa"/>
            <w:vAlign w:val="bottom"/>
          </w:tcPr>
          <w:p>
            <w:pPr>
              <w:ind w:left="20"/>
              <w:spacing w:after="0"/>
              <w:rPr>
                <w:sz w:val="20"/>
                <w:szCs w:val="20"/>
                <w:color w:val="auto"/>
              </w:rPr>
            </w:pPr>
            <w:r>
              <w:rPr>
                <w:rFonts w:ascii="Arial" w:cs="Arial" w:eastAsia="Arial" w:hAnsi="Arial"/>
                <w:sz w:val="15"/>
                <w:szCs w:val="15"/>
                <w:color w:val="auto"/>
              </w:rPr>
              <w:t>Purchase of rental equipment and refurbishments</w:t>
            </w:r>
          </w:p>
        </w:tc>
        <w:tc>
          <w:tcPr>
            <w:tcW w:w="1660" w:type="dxa"/>
            <w:vAlign w:val="bottom"/>
            <w:gridSpan w:val="2"/>
          </w:tcPr>
          <w:p>
            <w:pPr>
              <w:jc w:val="right"/>
              <w:spacing w:after="0"/>
              <w:rPr>
                <w:sz w:val="20"/>
                <w:szCs w:val="20"/>
                <w:color w:val="auto"/>
              </w:rPr>
            </w:pPr>
            <w:r>
              <w:rPr>
                <w:rFonts w:ascii="Arial" w:cs="Arial" w:eastAsia="Arial" w:hAnsi="Arial"/>
                <w:sz w:val="15"/>
                <w:szCs w:val="15"/>
                <w:color w:val="auto"/>
              </w:rPr>
              <w:t>(130,153)</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(65,282)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(225,389)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(117,817)</w:t>
            </w:r>
          </w:p>
        </w:tc>
      </w:tr>
      <w:tr>
        <w:trPr>
          <w:trHeight w:val="207"/>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sale of rental equipment</w:t>
            </w:r>
          </w:p>
        </w:tc>
        <w:tc>
          <w:tcPr>
            <w:tcW w:w="1020" w:type="dxa"/>
            <w:vAlign w:val="bottom"/>
            <w:shd w:val="clear" w:color="auto" w:fill="DBDBDB"/>
          </w:tcPr>
          <w:p>
            <w:pPr>
              <w:spacing w:after="0"/>
              <w:rPr>
                <w:sz w:val="18"/>
                <w:szCs w:val="18"/>
                <w:color w:val="auto"/>
              </w:rPr>
            </w:pP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20,526</w:t>
            </w:r>
          </w:p>
        </w:tc>
        <w:tc>
          <w:tcPr>
            <w:tcW w:w="8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64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15,235</w:t>
            </w: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12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rPr>
              <w:t>35,080</w:t>
            </w:r>
          </w:p>
        </w:tc>
        <w:tc>
          <w:tcPr>
            <w:tcW w:w="8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30,437</w:t>
            </w:r>
          </w:p>
        </w:tc>
      </w:tr>
      <w:tr>
        <w:trPr>
          <w:trHeight w:val="205"/>
        </w:trPr>
        <w:tc>
          <w:tcPr>
            <w:tcW w:w="4360" w:type="dxa"/>
            <w:vAlign w:val="bottom"/>
          </w:tcPr>
          <w:p>
            <w:pPr>
              <w:ind w:left="20"/>
              <w:spacing w:after="0"/>
              <w:rPr>
                <w:sz w:val="20"/>
                <w:szCs w:val="20"/>
                <w:color w:val="auto"/>
              </w:rPr>
            </w:pPr>
            <w:r>
              <w:rPr>
                <w:rFonts w:ascii="Arial" w:cs="Arial" w:eastAsia="Arial" w:hAnsi="Arial"/>
                <w:sz w:val="15"/>
                <w:szCs w:val="15"/>
                <w:color w:val="auto"/>
              </w:rPr>
              <w:t>Purchase of property, plant and equipment</w:t>
            </w: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(9,772)</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(10,143)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(20,253)</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(17,450)</w:t>
            </w:r>
          </w:p>
        </w:tc>
      </w:tr>
      <w:tr>
        <w:trPr>
          <w:trHeight w:val="206"/>
        </w:trPr>
        <w:tc>
          <w:tcPr>
            <w:tcW w:w="4360" w:type="dxa"/>
            <w:vAlign w:val="bottom"/>
            <w:shd w:val="clear" w:color="auto" w:fill="DBDBDB"/>
          </w:tcPr>
          <w:p>
            <w:pPr>
              <w:ind w:left="20"/>
              <w:spacing w:after="0"/>
              <w:rPr>
                <w:sz w:val="20"/>
                <w:szCs w:val="20"/>
                <w:color w:val="auto"/>
              </w:rPr>
            </w:pPr>
            <w:r>
              <w:rPr>
                <w:rFonts w:ascii="Arial" w:cs="Arial" w:eastAsia="Arial" w:hAnsi="Arial"/>
                <w:sz w:val="15"/>
                <w:szCs w:val="15"/>
                <w:color w:val="auto"/>
              </w:rPr>
              <w:t>Proceeds from the sale of property, plant and equipment</w:t>
            </w:r>
          </w:p>
        </w:tc>
        <w:tc>
          <w:tcPr>
            <w:tcW w:w="102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491</w:t>
            </w:r>
          </w:p>
        </w:tc>
        <w:tc>
          <w:tcPr>
            <w:tcW w:w="80" w:type="dxa"/>
            <w:vAlign w:val="bottom"/>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2,709</w:t>
            </w:r>
          </w:p>
        </w:tc>
        <w:tc>
          <w:tcPr>
            <w:tcW w:w="8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5"/>
                <w:szCs w:val="15"/>
                <w:color w:val="auto"/>
              </w:rPr>
              <w:t>751</w:t>
            </w:r>
          </w:p>
        </w:tc>
        <w:tc>
          <w:tcPr>
            <w:tcW w:w="80" w:type="dxa"/>
            <w:vAlign w:val="bottom"/>
            <w:shd w:val="clear" w:color="auto" w:fill="DBDBDB"/>
          </w:tcPr>
          <w:p>
            <w:pPr>
              <w:spacing w:after="0"/>
              <w:rPr>
                <w:sz w:val="17"/>
                <w:szCs w:val="17"/>
                <w:color w:val="auto"/>
              </w:rPr>
            </w:pPr>
          </w:p>
        </w:tc>
        <w:tc>
          <w:tcPr>
            <w:tcW w:w="6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5"/>
                <w:szCs w:val="15"/>
                <w:color w:val="auto"/>
              </w:rPr>
              <w:t>16,438</w:t>
            </w:r>
          </w:p>
        </w:tc>
      </w:tr>
      <w:tr>
        <w:trPr>
          <w:trHeight w:val="200"/>
        </w:trPr>
        <w:tc>
          <w:tcPr>
            <w:tcW w:w="4360" w:type="dxa"/>
            <w:vAlign w:val="bottom"/>
          </w:tcPr>
          <w:p>
            <w:pPr>
              <w:ind w:left="220"/>
              <w:spacing w:after="0"/>
              <w:rPr>
                <w:sz w:val="20"/>
                <w:szCs w:val="20"/>
                <w:color w:val="auto"/>
              </w:rPr>
            </w:pPr>
            <w:r>
              <w:rPr>
                <w:rFonts w:ascii="Arial" w:cs="Arial" w:eastAsia="Arial" w:hAnsi="Arial"/>
                <w:sz w:val="15"/>
                <w:szCs w:val="15"/>
                <w:color w:val="auto"/>
              </w:rPr>
              <w:t>Free Cash Flow</w:t>
            </w: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69,418</w:t>
            </w:r>
          </w:p>
        </w:tc>
        <w:tc>
          <w:tcPr>
            <w:tcW w:w="80" w:type="dxa"/>
            <w:vAlign w:val="bottom"/>
          </w:tcPr>
          <w:p>
            <w:pPr>
              <w:spacing w:after="0"/>
              <w:rPr>
                <w:sz w:val="17"/>
                <w:szCs w:val="17"/>
                <w:color w:val="auto"/>
              </w:rPr>
            </w:pPr>
          </w:p>
        </w:tc>
        <w:tc>
          <w:tcPr>
            <w:tcW w:w="102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82,056</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124,042</w:t>
            </w:r>
          </w:p>
        </w:tc>
        <w:tc>
          <w:tcPr>
            <w:tcW w:w="80" w:type="dxa"/>
            <w:vAlign w:val="bottom"/>
          </w:tcPr>
          <w:p>
            <w:pPr>
              <w:spacing w:after="0"/>
              <w:rPr>
                <w:sz w:val="17"/>
                <w:szCs w:val="17"/>
                <w:color w:val="auto"/>
              </w:rPr>
            </w:pPr>
          </w:p>
        </w:tc>
        <w:tc>
          <w:tcPr>
            <w:tcW w:w="6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color w:val="auto"/>
                <w:w w:val="95"/>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173,216</w:t>
            </w:r>
          </w:p>
        </w:tc>
      </w:tr>
      <w:tr>
        <w:trPr>
          <w:trHeight w:val="20"/>
        </w:trPr>
        <w:tc>
          <w:tcPr>
            <w:tcW w:w="4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Cash flow from operations increased by $72.3 million or 27.6% for the six months ended June 30, 2022 as compared to the six months ended June 30, 2021. Cash used in investing activities excluding acquisitions increased by $121.4 million to support unit on rent and VAPS growth with leasing revenues up 24.7% year-over-year. Free cash flow of $124.0 million for the six months ended June 30, 2022 was down $49.2 million as compared to the six months ended June 30, 2021 which is consistent with the countercyclicality of free cash flow in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Material cash requirements</w:t>
      </w:r>
    </w:p>
    <w:p>
      <w:pPr>
        <w:spacing w:after="0" w:line="11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Company’s material cash requirements include the following contractual and other obligations: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Debt</w:t>
      </w:r>
    </w:p>
    <w:p>
      <w:pPr>
        <w:spacing w:after="0" w:line="74"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has outstanding debt related to its ABL Facility, 2025 Secured Notes, 2028 Secured Notes, and finance leases, totaling $3.1 billion as of June 30, 2022, $20.7 million of which is obligated to be repaid within the next twelve months. Refer to Note 9 for further information regarding outstanding debt.</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leases</w:t>
      </w:r>
    </w:p>
    <w:p>
      <w:pPr>
        <w:spacing w:after="0" w:line="62"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has commitments for future minimum rental payments relating to operating leases, which are primarily for equipment and office space. As of June 30, 2022, the Company had lease obligations of $275.9 million, with $60.4 million payable within the next twelve months.</w:t>
      </w:r>
    </w:p>
    <w:p>
      <w:pPr>
        <w:spacing w:after="0" w:line="3" w:lineRule="exact"/>
        <w:rPr>
          <w:sz w:val="20"/>
          <w:szCs w:val="20"/>
          <w:color w:val="auto"/>
        </w:rPr>
      </w:pPr>
    </w:p>
    <w:p>
      <w:pPr>
        <w:jc w:val="both"/>
        <w:ind w:firstLine="619"/>
        <w:spacing w:after="0" w:line="281" w:lineRule="auto"/>
        <w:rPr>
          <w:sz w:val="20"/>
          <w:szCs w:val="20"/>
          <w:color w:val="auto"/>
        </w:rPr>
      </w:pPr>
      <w:r>
        <w:rPr>
          <w:rFonts w:ascii="Arial" w:cs="Arial" w:eastAsia="Arial" w:hAnsi="Arial"/>
          <w:sz w:val="15"/>
          <w:szCs w:val="15"/>
          <w:color w:val="auto"/>
        </w:rPr>
        <w:t>In addition to the aforementioned cash requirements, the Company has a Share Repurchase Program authorized by the Board of Directors which allows the Company to repurchase up to $1.0 billion of outstanding shares of Common Stock and equivalents. This program does not obligate the Company to repurchase any specific amount of shares.</w:t>
      </w:r>
    </w:p>
    <w:p>
      <w:pPr>
        <w:jc w:val="both"/>
        <w:ind w:firstLine="619"/>
        <w:spacing w:after="0" w:line="294" w:lineRule="auto"/>
        <w:rPr>
          <w:sz w:val="20"/>
          <w:szCs w:val="20"/>
          <w:color w:val="auto"/>
        </w:rPr>
      </w:pPr>
      <w:r>
        <w:rPr>
          <w:rFonts w:ascii="Arial" w:cs="Arial" w:eastAsia="Arial" w:hAnsi="Arial"/>
          <w:sz w:val="15"/>
          <w:szCs w:val="15"/>
          <w:color w:val="auto"/>
        </w:rPr>
        <w:t>The Company believes its cash, cash flows generated from ongoing operations, continued access to its revolving credit facility, as well as access to debt markets, are sufficient to satisfy its currently anticipated cash requirements for the foreseeable future.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1D2758"/>
        </w:rPr>
        <w:t>Critical Accounting Policies and Estimates</w:t>
      </w:r>
    </w:p>
    <w:p>
      <w:pPr>
        <w:spacing w:after="0" w:line="114"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Our discussion and analysis of our financial condition, results of operations, liquidity and capital resources is based on our condensed consolidated financial statements, which have been prepared in accordance with GAAP. GAAP requires that we make estimates and judgments that affect the reported amount of assets, liabilities, revenue, expenses and the related disclosure of contingent assets and liabilities. We base these estimates on historical experience and on various other assumptions that we consider reasonable under the circumstances, and reevaluate our estimates and judgments as appropriate. The actual results experienced by us may differ materially and adversely from our estimates.</w:t>
      </w:r>
    </w:p>
    <w:p>
      <w:pPr>
        <w:spacing w:after="0" w:line="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5"/>
          <w:szCs w:val="15"/>
          <w:color w:val="auto"/>
        </w:rPr>
        <w:t>The US Securities and Exchange Commission (the “SEC”) suggests companies provide additional disclosure on those accounting policies considered most critical. The SEC considers an accounting policy to be critical if it is important to our financial condition and results of operations and requires significant judgments and estimates on the part of management in its application. For a complete discussion of our significant critical accounting policies, see the “Critical Accounting Policies and Estimates” section in Part II, Item 7 of our Annual Report on Form 10-K for the year ended December 31, 2021 (the "2021 Annual Report on Form 10-K").</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There were no significant changes to our critical accounting policies during the six months ended June 30, 2022.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1D2758"/>
        </w:rPr>
        <w:t>Recently Issued Accounting Standards</w:t>
      </w:r>
    </w:p>
    <w:p>
      <w:pPr>
        <w:spacing w:after="0" w:line="7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Refer to Part I, Item 1, Note 1 of the notes to our financial statements included in this Quarterly Report on Form 10-Q for our assessment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4" w:name="page45"/>
    <w:bookmarkEnd w:id="44"/>
    <w:p>
      <w:pPr>
        <w:spacing w:after="0"/>
        <w:rPr>
          <w:sz w:val="20"/>
          <w:szCs w:val="20"/>
          <w:color w:val="auto"/>
        </w:rPr>
      </w:pPr>
      <w:r>
        <w:rPr>
          <w:rFonts w:ascii="Arial" w:cs="Arial" w:eastAsia="Arial" w:hAnsi="Arial"/>
          <w:sz w:val="22"/>
          <w:szCs w:val="22"/>
          <w:color w:val="1D2758"/>
        </w:rPr>
        <w:t>Cautionary Note Regarding Forward-Looking Statements</w:t>
      </w:r>
    </w:p>
    <w:p>
      <w:pPr>
        <w:spacing w:after="0" w:line="75"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This Quarterly Report on Form 10-Q contains forward-looking statements within the meaning of the US Private Securities Litigation Reform Act of 1995 and Section 21E of the Securities Act of 1934, as amended. The words “estimates,” “expects,” “anticipates,” “believes,” “forecasts,” “plans,” “intends,” “may,” “will,” “should,” “shall,” “outlook,” “guidance” and variations of these words and similar expressions identify forward-looking statements, which are generally not historical in nature and relate to expectations for future financial performance or business strategies or objectives.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we believe that these forward-looking statements are based on reasonable assumptions, we can give no assurance that any such forward-looking statement will materialize. Important factors that may affect actual results or outcomes include, among others:</w:t>
      </w:r>
    </w:p>
    <w:p>
      <w:pPr>
        <w:spacing w:after="0" w:line="26" w:lineRule="exact"/>
        <w:rPr>
          <w:sz w:val="20"/>
          <w:szCs w:val="20"/>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successfully acquire and integrate new operations;</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effect of global or local economic conditions in the industries and markets in which the Company operates and any changes therein, including financial market conditions and levels of end market demand;</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operational, economic, political and regulatory risks;</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impact of public health crises, such as the global pandemic related to COVID-19, including the financial condition of the Company’s customers and suppliers and employee health and safety;</w:t>
      </w:r>
    </w:p>
    <w:p>
      <w:pPr>
        <w:spacing w:after="0" w:line="2"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risks associated with cybersecurity and IT systems disruptions, including our ability to manage the business in the event a disaster shuts down our management information systems;</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effective management of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trade policies and changes in trade policies, including the imposition of tariffs, their enforcement and downstream consequences;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effectively compete in the modular space, portable storage and tank and pump industries;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effectively manage our credit risk, collect on our accounts receivable, or recover our rental equipment;</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effect of changes in state building codes on our ability to remarket our buildings;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foreign currency exchange rate exposure;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fluctuations in interest rates and commodity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significant increases in the costs and restrictions on the availability of raw materials and labor;</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fluctuations in fuel costs or oil prices, a reduction in fuel supplies, or a sustained decline in oil prices;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reliance on third party manufacturers and suppliers;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risks associated with labor relations, labor costs and labor disruptions;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impairment of our goodwill, intangible assets and indefinite-life intangible assets;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various laws and regulations, including those governing government contracts, corruption and the environment;</w:t>
      </w:r>
    </w:p>
    <w:p>
      <w:pPr>
        <w:spacing w:after="0" w:line="72"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changes in the competitive environment of our customer base as a result of the global, national or local economic climate in which they operate and/or economic or financial disruptions to their industry;</w:t>
      </w:r>
    </w:p>
    <w:p>
      <w:pPr>
        <w:spacing w:after="0" w:line="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adequately protect our intellectual property and other proprietary rights that are material to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natural disasters and other business disruptions such as pandemics, fires, floods, hurricanes, earthquakes and terrorism;</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establish and maintain the appropriate physical presence in our markets;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property, casualty or other losses not covered by our insurance;</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close our unit sales transactions;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maintain an effective system of internal controls and accurately report our financial results;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evolving public disclosure, financial reporting and corporate governance expectations;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achieve our environmental, social and governance goals;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use our net operating loss carryforwards and other tax attributes;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recognize deferred tax assets such as those related to our tax loss carryforwards and, as a result, utilize future tax savings;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unanticipated changes in tax obligations, adoption of a new tax legislation, or exposure to additional income tax liabilities;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our ability to access the capital and credit markets or the ability of key counterparties to perform their obligations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0" w:right="339" w:bottom="1440" w:gutter="0" w:footer="0" w:header="0"/>
        </w:sectPr>
      </w:pPr>
    </w:p>
    <w:bookmarkStart w:id="45" w:name="page46"/>
    <w:bookmarkEnd w:id="45"/>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service our debt and operate our business;</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ability to incur significant additional amounts of debt, which could further exacerbate the risks associated with our substantial indebtedness;</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covenants that limit our operating and financial flexibility;</w:t>
      </w:r>
    </w:p>
    <w:p>
      <w:pPr>
        <w:spacing w:after="0" w:line="59"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uncertainty regarding the phase-out of LIBOR;</w:t>
      </w:r>
    </w:p>
    <w:p>
      <w:pPr>
        <w:spacing w:after="0" w:line="72" w:lineRule="exact"/>
        <w:rPr>
          <w:rFonts w:ascii="Arial" w:cs="Arial" w:eastAsia="Arial" w:hAnsi="Arial"/>
          <w:sz w:val="15"/>
          <w:szCs w:val="15"/>
          <w:color w:val="auto"/>
        </w:rPr>
      </w:pPr>
    </w:p>
    <w:p>
      <w:pPr>
        <w:ind w:left="620" w:hanging="307"/>
        <w:spacing w:after="0"/>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our stock price volatility; and</w:t>
      </w:r>
    </w:p>
    <w:p>
      <w:pPr>
        <w:spacing w:after="0" w:line="59" w:lineRule="exact"/>
        <w:rPr>
          <w:rFonts w:ascii="Arial" w:cs="Arial" w:eastAsia="Arial" w:hAnsi="Arial"/>
          <w:sz w:val="15"/>
          <w:szCs w:val="15"/>
          <w:color w:val="auto"/>
        </w:rPr>
      </w:pPr>
    </w:p>
    <w:p>
      <w:pPr>
        <w:ind w:left="620" w:hanging="307"/>
        <w:spacing w:after="0" w:line="294" w:lineRule="auto"/>
        <w:tabs>
          <w:tab w:leader="none" w:pos="609"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such other risks and uncertainties described in the periodic reports we file with the SEC from time to time (including our 2021 Annual Report on Form 10-K), which are available through the SEC’s EDGAR system at www.sec.gov and on our website.</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Any forward-looking statement speaks only at the date which it is made, and we undertake no obligation, and disclaims any obligation, to update or revise any forward-looking statements, whether as a result of new information, future events or otherwise, except as required by law.</w:t>
      </w:r>
    </w:p>
    <w:p>
      <w:pPr>
        <w:spacing w:after="0" w:line="176" w:lineRule="exact"/>
        <w:rPr>
          <w:sz w:val="20"/>
          <w:szCs w:val="20"/>
          <w:color w:val="auto"/>
        </w:rPr>
      </w:pPr>
    </w:p>
    <w:p>
      <w:pPr>
        <w:ind w:left="1740" w:right="1100" w:hanging="1855"/>
        <w:spacing w:after="0" w:line="278" w:lineRule="auto"/>
        <w:tabs>
          <w:tab w:leader="none" w:pos="1720" w:val="left"/>
        </w:tabs>
        <w:rPr>
          <w:sz w:val="20"/>
          <w:szCs w:val="20"/>
          <w:color w:val="auto"/>
        </w:rPr>
      </w:pPr>
      <w:r>
        <w:rPr>
          <w:rFonts w:ascii="Arial" w:cs="Arial" w:eastAsia="Arial" w:hAnsi="Arial"/>
          <w:sz w:val="38"/>
          <w:szCs w:val="38"/>
          <w:b w:val="1"/>
          <w:bCs w:val="1"/>
          <w:color w:val="auto"/>
        </w:rPr>
        <w:t>ITEM 3.</w:t>
        <w:tab/>
        <w:t>Quantitative and Qualitative Disclosures about Market Risk</w:t>
      </w:r>
    </w:p>
    <w:p>
      <w:pPr>
        <w:jc w:val="both"/>
        <w:ind w:firstLine="619"/>
        <w:spacing w:after="0" w:line="294" w:lineRule="auto"/>
        <w:rPr>
          <w:sz w:val="20"/>
          <w:szCs w:val="20"/>
          <w:color w:val="auto"/>
        </w:rPr>
      </w:pPr>
      <w:r>
        <w:rPr>
          <w:rFonts w:ascii="Arial" w:cs="Arial" w:eastAsia="Arial" w:hAnsi="Arial"/>
          <w:sz w:val="15"/>
          <w:szCs w:val="15"/>
          <w:color w:val="auto"/>
        </w:rPr>
        <w:t>We are exposed to certain market risks from changes in foreign currency exchange rates and interest rates. Changes in these factors cause fluctuations in our earnings and cash flows. We evaluate and manage exposure to these market risks as follows: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ind w:firstLine="619"/>
        <w:spacing w:after="0" w:line="287" w:lineRule="auto"/>
        <w:rPr>
          <w:sz w:val="20"/>
          <w:szCs w:val="20"/>
          <w:color w:val="auto"/>
        </w:rPr>
      </w:pPr>
      <w:r>
        <w:rPr>
          <w:rFonts w:ascii="Arial" w:cs="Arial" w:eastAsia="Arial" w:hAnsi="Arial"/>
          <w:sz w:val="15"/>
          <w:szCs w:val="15"/>
          <w:color w:val="auto"/>
        </w:rPr>
        <w:t>We are primarily exposed to interest rate risk through our ABL Facility, which bears interest at variable rates. We had $2.0 billion in outstanding principal under the ABL Facility at June 30, 2022.</w:t>
      </w:r>
    </w:p>
    <w:p>
      <w:pPr>
        <w:jc w:val="both"/>
        <w:ind w:firstLine="619"/>
        <w:spacing w:after="0" w:line="277" w:lineRule="auto"/>
        <w:rPr>
          <w:sz w:val="20"/>
          <w:szCs w:val="20"/>
          <w:color w:val="auto"/>
        </w:rPr>
      </w:pPr>
      <w:r>
        <w:rPr>
          <w:rFonts w:ascii="Arial" w:cs="Arial" w:eastAsia="Arial" w:hAnsi="Arial"/>
          <w:sz w:val="15"/>
          <w:szCs w:val="15"/>
          <w:color w:val="auto"/>
        </w:rPr>
        <w:t>To manage this risk, through May 2022, we maintained an interest rate swap agreement that effectively converted $400.0 million in aggregate notional amount of variable-rate debt under our ABL Facility into fixed-rate debt. The swap agreement provided for us to pay a fixed rate of 3.06% per annum on the outstanding debt in exchange for receiving a variable interest rate based on 1-month LIBOR. The effect was a synthetically fixed rate of 5.19% on the $400.0 million notional amount, when including the current applicable margin. The swap agreement terminated on May 29, 2022.</w:t>
      </w:r>
    </w:p>
    <w:p>
      <w:pPr>
        <w:spacing w:after="0" w:line="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An increase in interest rates by 100 basis points on our ABL Facility would increase our quarter to date interest expense by approximately $4.7 million based on current outstanding borrowings.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21" w:lineRule="exact"/>
        <w:rPr>
          <w:sz w:val="20"/>
          <w:szCs w:val="20"/>
          <w:color w:val="auto"/>
        </w:rPr>
      </w:pPr>
    </w:p>
    <w:p>
      <w:pPr>
        <w:jc w:val="both"/>
        <w:ind w:firstLine="619"/>
        <w:spacing w:after="0" w:line="267" w:lineRule="auto"/>
        <w:rPr>
          <w:sz w:val="20"/>
          <w:szCs w:val="20"/>
          <w:color w:val="auto"/>
        </w:rPr>
      </w:pPr>
      <w:r>
        <w:rPr>
          <w:rFonts w:ascii="Arial" w:cs="Arial" w:eastAsia="Arial" w:hAnsi="Arial"/>
          <w:sz w:val="15"/>
          <w:szCs w:val="15"/>
          <w:color w:val="auto"/>
        </w:rPr>
        <w:t>We currently generate the majority of our consolidated net revenues in the US, and the reporting currency for our consolidated financial statements is the US dollar. However, we are exposed to currency risk principally through our operations in Canada, Mexico, and the United Kingdom. For the operations outside the US, we bill customers primarily in their local currency, which is subject to foreign currency rate changes. As our net revenues and expenses generated outside of the US increase, our results of operations could be adversely impacted by changes in foreign currency exchange rates. Since we recognize foreign revenues in local foreign currencies, if the US dollar strengthens, it could have a negative impact on our foreign revenues upon translation of those results into the US dollar for consolidation into our financial statements.</w:t>
      </w:r>
    </w:p>
    <w:p>
      <w:pPr>
        <w:spacing w:after="0" w:line="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5"/>
          <w:szCs w:val="15"/>
          <w:color w:val="auto"/>
        </w:rPr>
        <w:t>In addition, we are exposed to gains and losses resulting from fluctuations in foreign currency exchange rates on transactions generated by our foreign subsidiaries in currencies other than their local currencies. These gains and losses are primarily driven by intercompany transactions and rental equipment purchases denominated in currencies other than the functional currency of the purchasing entity. These exposures are included in currency (gains) losses, net, on the condensed consolidated statements of operations. To date, we have not entered into any hedging arrangements with respect to foreign currency risk.</w:t>
      </w:r>
    </w:p>
    <w:p>
      <w:pPr>
        <w:spacing w:after="0" w:line="29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Controls and Procedures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Our management, with participation of our Chief Executive Officer and Chief Financial Officer, has evaluated the effectiveness of our disclosure controls and procedures as defined in Rule 13a-15(e) under the Securities Exchange Act of 1934 as amended (the "Exchange Act"), as of June 30, 2022. Based upon that evaluation, our Chief Executive Officer and Chief Financial Officer concluded that our disclosure controls and procedures were effective as of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56"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Changes in Internal Controls</w:t>
      </w:r>
    </w:p>
    <w:p>
      <w:pPr>
        <w:spacing w:after="0" w:line="121"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There were no changes in our internal control over financial reporting that occurred during our quarter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7" w:name="page48"/>
    <w:bookmarkEnd w:id="47"/>
    <w:p>
      <w:pPr>
        <w:ind w:left="4960"/>
        <w:spacing w:after="0"/>
        <w:rPr>
          <w:sz w:val="20"/>
          <w:szCs w:val="20"/>
          <w:color w:val="auto"/>
        </w:rPr>
      </w:pPr>
      <w:r>
        <w:rPr>
          <w:rFonts w:ascii="Arial" w:cs="Arial" w:eastAsia="Arial" w:hAnsi="Arial"/>
          <w:sz w:val="38"/>
          <w:szCs w:val="38"/>
          <w:b w:val="1"/>
          <w:bCs w:val="1"/>
          <w:color w:val="1D2758"/>
        </w:rPr>
        <w:t>PART II</w:t>
      </w:r>
    </w:p>
    <w:p>
      <w:pPr>
        <w:spacing w:after="0" w:line="200" w:lineRule="exact"/>
        <w:rPr>
          <w:sz w:val="20"/>
          <w:szCs w:val="20"/>
          <w:color w:val="auto"/>
        </w:rPr>
      </w:pPr>
    </w:p>
    <w:p>
      <w:pPr>
        <w:spacing w:after="0" w:line="227"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1.</w:t>
      </w:r>
      <w:r>
        <w:rPr>
          <w:sz w:val="20"/>
          <w:szCs w:val="20"/>
          <w:color w:val="auto"/>
        </w:rPr>
        <w:tab/>
      </w:r>
      <w:r>
        <w:rPr>
          <w:rFonts w:ascii="Arial" w:cs="Arial" w:eastAsia="Arial" w:hAnsi="Arial"/>
          <w:sz w:val="37"/>
          <w:szCs w:val="37"/>
          <w:b w:val="1"/>
          <w:bCs w:val="1"/>
          <w:color w:val="auto"/>
        </w:rPr>
        <w:t>Legal Proceedings</w:t>
      </w:r>
    </w:p>
    <w:p>
      <w:pPr>
        <w:spacing w:after="0" w:line="83" w:lineRule="exact"/>
        <w:rPr>
          <w:sz w:val="20"/>
          <w:szCs w:val="20"/>
          <w:color w:val="auto"/>
        </w:rPr>
      </w:pPr>
    </w:p>
    <w:p>
      <w:pPr>
        <w:jc w:val="both"/>
        <w:ind w:firstLine="619"/>
        <w:spacing w:after="0" w:line="264" w:lineRule="auto"/>
        <w:rPr>
          <w:sz w:val="20"/>
          <w:szCs w:val="20"/>
          <w:color w:val="auto"/>
        </w:rPr>
      </w:pPr>
      <w:r>
        <w:rPr>
          <w:rFonts w:ascii="Arial" w:cs="Arial" w:eastAsia="Arial" w:hAnsi="Arial"/>
          <w:sz w:val="15"/>
          <w:szCs w:val="15"/>
          <w:color w:val="auto"/>
        </w:rPr>
        <w:t>The Company is involved in various lawsuits, claims and legal proceedings that arise in the ordinary course of business. The Company assesses these matters on a case-by-case basis as they arise and establishes reserves as required. As of June 30, 2022, with respect to these outstanding matters, the Company believes that the amount or range of reasonably possible loss will not, either individually or in the aggregate, have a material adverse effect on the consolidated financial position, results of operations, or cash flows of the Company. However, the outcome of such matters is inherently unpredictable and subject to significant uncertainties.</w:t>
      </w:r>
    </w:p>
    <w:p>
      <w:pPr>
        <w:spacing w:after="0" w:line="384" w:lineRule="exact"/>
        <w:rPr>
          <w:sz w:val="20"/>
          <w:szCs w:val="20"/>
          <w:color w:val="auto"/>
        </w:rPr>
      </w:pPr>
    </w:p>
    <w:p>
      <w:pPr>
        <w:spacing w:after="0"/>
        <w:tabs>
          <w:tab w:leader="none" w:pos="2000" w:val="left"/>
        </w:tabs>
        <w:rPr>
          <w:sz w:val="20"/>
          <w:szCs w:val="20"/>
          <w:color w:val="auto"/>
        </w:rPr>
      </w:pPr>
      <w:r>
        <w:rPr>
          <w:rFonts w:ascii="Arial" w:cs="Arial" w:eastAsia="Arial" w:hAnsi="Arial"/>
          <w:sz w:val="38"/>
          <w:szCs w:val="38"/>
          <w:b w:val="1"/>
          <w:bCs w:val="1"/>
          <w:color w:val="auto"/>
        </w:rPr>
        <w:t>ITEM 1A.</w:t>
      </w:r>
      <w:r>
        <w:rPr>
          <w:sz w:val="20"/>
          <w:szCs w:val="20"/>
          <w:color w:val="auto"/>
        </w:rPr>
        <w:tab/>
      </w:r>
      <w:r>
        <w:rPr>
          <w:rFonts w:ascii="Arial" w:cs="Arial" w:eastAsia="Arial" w:hAnsi="Arial"/>
          <w:sz w:val="37"/>
          <w:szCs w:val="37"/>
          <w:b w:val="1"/>
          <w:bCs w:val="1"/>
          <w:color w:val="auto"/>
        </w:rPr>
        <w:t>Risk Factors</w:t>
      </w:r>
    </w:p>
    <w:p>
      <w:pPr>
        <w:spacing w:after="0" w:line="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5"/>
          <w:szCs w:val="15"/>
          <w:color w:val="auto"/>
        </w:rPr>
        <w:t>The Company’s financial position, results of operations and cash flows are subject to various risks, many of which are not exclusively within the Company’s control, which may cause actual performance to differ materially from historical or projected future performance. In addition to the other information set forth in this report, you should carefully consider the risk factors discussed in Item 1A. of our 2021 Annual Report on Form 10-K, which have not materially changed.</w:t>
      </w:r>
    </w:p>
    <w:p>
      <w:pPr>
        <w:spacing w:after="0" w:line="281"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2.</w:t>
      </w:r>
      <w:r>
        <w:rPr>
          <w:sz w:val="20"/>
          <w:szCs w:val="20"/>
          <w:color w:val="auto"/>
        </w:rPr>
        <w:tab/>
      </w:r>
      <w:r>
        <w:rPr>
          <w:rFonts w:ascii="Arial" w:cs="Arial" w:eastAsia="Arial" w:hAnsi="Arial"/>
          <w:sz w:val="37"/>
          <w:szCs w:val="37"/>
          <w:b w:val="1"/>
          <w:bCs w:val="1"/>
          <w:color w:val="auto"/>
        </w:rPr>
        <w:t>Unregistered Sales of Equity Securities</w:t>
      </w:r>
    </w:p>
    <w:p>
      <w:pPr>
        <w:spacing w:after="0" w:line="8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summarizes our purchase of Common Stock and equivalents during the second quarter of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shd w:val="clear" w:color="auto" w:fill="1D2758"/>
          </w:tcPr>
          <w:p>
            <w:pPr>
              <w:spacing w:after="0"/>
              <w:rPr>
                <w:sz w:val="14"/>
                <w:szCs w:val="14"/>
                <w:color w:val="auto"/>
              </w:rPr>
            </w:pPr>
          </w:p>
        </w:tc>
        <w:tc>
          <w:tcPr>
            <w:tcW w:w="2400" w:type="dxa"/>
            <w:vAlign w:val="bottom"/>
            <w:shd w:val="clear" w:color="auto" w:fill="1D2758"/>
          </w:tcPr>
          <w:p>
            <w:pPr>
              <w:spacing w:after="0"/>
              <w:rPr>
                <w:sz w:val="14"/>
                <w:szCs w:val="14"/>
                <w:color w:val="auto"/>
              </w:rPr>
            </w:pPr>
          </w:p>
        </w:tc>
        <w:tc>
          <w:tcPr>
            <w:tcW w:w="180" w:type="dxa"/>
            <w:vAlign w:val="bottom"/>
            <w:shd w:val="clear" w:color="auto" w:fill="1D2758"/>
          </w:tcPr>
          <w:p>
            <w:pPr>
              <w:spacing w:after="0"/>
              <w:rPr>
                <w:sz w:val="14"/>
                <w:szCs w:val="14"/>
                <w:color w:val="auto"/>
              </w:rPr>
            </w:pPr>
          </w:p>
        </w:tc>
        <w:tc>
          <w:tcPr>
            <w:tcW w:w="1020" w:type="dxa"/>
            <w:vAlign w:val="bottom"/>
            <w:shd w:val="clear" w:color="auto" w:fill="1D2758"/>
          </w:tcPr>
          <w:p>
            <w:pPr>
              <w:spacing w:after="0"/>
              <w:rPr>
                <w:sz w:val="14"/>
                <w:szCs w:val="14"/>
                <w:color w:val="auto"/>
              </w:rPr>
            </w:pPr>
          </w:p>
        </w:tc>
        <w:tc>
          <w:tcPr>
            <w:tcW w:w="2160" w:type="dxa"/>
            <w:vAlign w:val="bottom"/>
            <w:shd w:val="clear" w:color="auto" w:fill="1D2758"/>
          </w:tcPr>
          <w:p>
            <w:pPr>
              <w:spacing w:after="0"/>
              <w:rPr>
                <w:sz w:val="14"/>
                <w:szCs w:val="14"/>
                <w:color w:val="auto"/>
              </w:rPr>
            </w:pPr>
          </w:p>
        </w:tc>
        <w:tc>
          <w:tcPr>
            <w:tcW w:w="1820" w:type="dxa"/>
            <w:vAlign w:val="bottom"/>
            <w:gridSpan w:val="2"/>
            <w:shd w:val="clear" w:color="auto" w:fill="1D2758"/>
          </w:tcPr>
          <w:p>
            <w:pPr>
              <w:jc w:val="center"/>
              <w:spacing w:after="0"/>
              <w:rPr>
                <w:sz w:val="20"/>
                <w:szCs w:val="20"/>
                <w:color w:val="auto"/>
              </w:rPr>
            </w:pPr>
            <w:r>
              <w:rPr>
                <w:rFonts w:ascii="Arial" w:cs="Arial" w:eastAsia="Arial" w:hAnsi="Arial"/>
                <w:sz w:val="15"/>
                <w:szCs w:val="15"/>
                <w:b w:val="1"/>
                <w:bCs w:val="1"/>
                <w:color w:val="FFFFFF"/>
              </w:rPr>
              <w:t>Maximum Dollar Value</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shd w:val="clear" w:color="auto" w:fill="1D2758"/>
          </w:tcPr>
          <w:p>
            <w:pPr>
              <w:spacing w:after="0"/>
              <w:rPr>
                <w:sz w:val="13"/>
                <w:szCs w:val="13"/>
                <w:color w:val="auto"/>
              </w:rPr>
            </w:pP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spacing w:after="0"/>
              <w:rPr>
                <w:sz w:val="13"/>
                <w:szCs w:val="13"/>
                <w:color w:val="auto"/>
              </w:rPr>
            </w:pPr>
          </w:p>
        </w:tc>
        <w:tc>
          <w:tcPr>
            <w:tcW w:w="216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of Shares and</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Total Number of Shares and</w:t>
            </w:r>
          </w:p>
        </w:tc>
        <w:tc>
          <w:tcPr>
            <w:tcW w:w="1200" w:type="dxa"/>
            <w:vAlign w:val="bottom"/>
            <w:gridSpan w:val="2"/>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Average Price</w:t>
            </w:r>
          </w:p>
        </w:tc>
        <w:tc>
          <w:tcPr>
            <w:tcW w:w="2160" w:type="dxa"/>
            <w:vAlign w:val="bottom"/>
            <w:vMerge w:val="continue"/>
            <w:shd w:val="clear" w:color="auto" w:fill="1D2758"/>
          </w:tcPr>
          <w:p>
            <w:pPr>
              <w:spacing w:after="0"/>
              <w:rPr>
                <w:sz w:val="13"/>
                <w:szCs w:val="13"/>
                <w:color w:val="auto"/>
              </w:rPr>
            </w:pP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Equivalents that May</w:t>
            </w:r>
          </w:p>
        </w:tc>
        <w:tc>
          <w:tcPr>
            <w:tcW w:w="0" w:type="dxa"/>
            <w:vAlign w:val="bottom"/>
          </w:tcPr>
          <w:p>
            <w:pPr>
              <w:spacing w:after="0"/>
              <w:rPr>
                <w:sz w:val="1"/>
                <w:szCs w:val="1"/>
                <w:color w:val="auto"/>
              </w:rPr>
            </w:pPr>
          </w:p>
        </w:tc>
      </w:tr>
      <w:tr>
        <w:trPr>
          <w:trHeight w:val="155"/>
        </w:trPr>
        <w:tc>
          <w:tcPr>
            <w:tcW w:w="3660" w:type="dxa"/>
            <w:vAlign w:val="bottom"/>
            <w:shd w:val="clear" w:color="auto" w:fill="1D2758"/>
          </w:tcPr>
          <w:p>
            <w:pPr>
              <w:spacing w:after="0"/>
              <w:rPr>
                <w:sz w:val="13"/>
                <w:szCs w:val="13"/>
                <w:color w:val="auto"/>
              </w:rPr>
            </w:pPr>
          </w:p>
        </w:tc>
        <w:tc>
          <w:tcPr>
            <w:tcW w:w="2400" w:type="dxa"/>
            <w:vAlign w:val="bottom"/>
            <w:vMerge w:val="continue"/>
            <w:shd w:val="clear" w:color="auto" w:fill="1D2758"/>
          </w:tcPr>
          <w:p>
            <w:pPr>
              <w:spacing w:after="0"/>
              <w:rPr>
                <w:sz w:val="13"/>
                <w:szCs w:val="13"/>
                <w:color w:val="auto"/>
              </w:rPr>
            </w:pPr>
          </w:p>
        </w:tc>
        <w:tc>
          <w:tcPr>
            <w:tcW w:w="1200" w:type="dxa"/>
            <w:vAlign w:val="bottom"/>
            <w:gridSpan w:val="2"/>
            <w:vMerge w:val="continue"/>
            <w:shd w:val="clear" w:color="auto" w:fill="1D2758"/>
          </w:tcPr>
          <w:p>
            <w:pPr>
              <w:spacing w:after="0"/>
              <w:rPr>
                <w:sz w:val="13"/>
                <w:szCs w:val="13"/>
                <w:color w:val="auto"/>
              </w:rPr>
            </w:pPr>
          </w:p>
        </w:tc>
        <w:tc>
          <w:tcPr>
            <w:tcW w:w="21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as</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Yet Be Purchased</w:t>
            </w:r>
          </w:p>
        </w:tc>
        <w:tc>
          <w:tcPr>
            <w:tcW w:w="0" w:type="dxa"/>
            <w:vAlign w:val="bottom"/>
          </w:tcPr>
          <w:p>
            <w:pPr>
              <w:spacing w:after="0"/>
              <w:rPr>
                <w:sz w:val="1"/>
                <w:szCs w:val="1"/>
                <w:color w:val="auto"/>
              </w:rPr>
            </w:pPr>
          </w:p>
        </w:tc>
      </w:tr>
      <w:tr>
        <w:trPr>
          <w:trHeight w:val="155"/>
        </w:trPr>
        <w:tc>
          <w:tcPr>
            <w:tcW w:w="3660" w:type="dxa"/>
            <w:vAlign w:val="bottom"/>
            <w:vMerge w:val="restart"/>
            <w:shd w:val="clear" w:color="auto" w:fill="1D2758"/>
          </w:tcPr>
          <w:p>
            <w:pPr>
              <w:ind w:left="1580"/>
              <w:spacing w:after="0"/>
              <w:rPr>
                <w:sz w:val="20"/>
                <w:szCs w:val="20"/>
                <w:color w:val="auto"/>
              </w:rPr>
            </w:pPr>
            <w:r>
              <w:rPr>
                <w:rFonts w:ascii="Arial" w:cs="Arial" w:eastAsia="Arial" w:hAnsi="Arial"/>
                <w:sz w:val="15"/>
                <w:szCs w:val="15"/>
                <w:b w:val="1"/>
                <w:bCs w:val="1"/>
                <w:color w:val="FFFFFF"/>
              </w:rPr>
              <w:t>Period</w:t>
            </w:r>
          </w:p>
        </w:tc>
        <w:tc>
          <w:tcPr>
            <w:tcW w:w="240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Equivalents Purchased (in</w:t>
            </w:r>
          </w:p>
        </w:tc>
        <w:tc>
          <w:tcPr>
            <w:tcW w:w="180" w:type="dxa"/>
            <w:vAlign w:val="bottom"/>
            <w:shd w:val="clear" w:color="auto" w:fill="1D2758"/>
          </w:tcPr>
          <w:p>
            <w:pPr>
              <w:spacing w:after="0"/>
              <w:rPr>
                <w:sz w:val="13"/>
                <w:szCs w:val="13"/>
                <w:color w:val="auto"/>
              </w:rPr>
            </w:pPr>
          </w:p>
        </w:tc>
        <w:tc>
          <w:tcPr>
            <w:tcW w:w="1020" w:type="dxa"/>
            <w:vAlign w:val="bottom"/>
            <w:shd w:val="clear" w:color="auto" w:fill="1D2758"/>
          </w:tcPr>
          <w:p>
            <w:pPr>
              <w:jc w:val="center"/>
              <w:ind w:right="143"/>
              <w:spacing w:after="0" w:line="155" w:lineRule="exact"/>
              <w:rPr>
                <w:sz w:val="20"/>
                <w:szCs w:val="20"/>
                <w:color w:val="auto"/>
              </w:rPr>
            </w:pPr>
            <w:r>
              <w:rPr>
                <w:rFonts w:ascii="Arial" w:cs="Arial" w:eastAsia="Arial" w:hAnsi="Arial"/>
                <w:sz w:val="15"/>
                <w:szCs w:val="15"/>
                <w:b w:val="1"/>
                <w:bCs w:val="1"/>
                <w:color w:val="FFFFFF"/>
              </w:rPr>
              <w:t>Paid</w:t>
            </w:r>
          </w:p>
        </w:tc>
        <w:tc>
          <w:tcPr>
            <w:tcW w:w="2160" w:type="dxa"/>
            <w:vAlign w:val="bottom"/>
            <w:shd w:val="clear" w:color="auto" w:fill="1D2758"/>
          </w:tcPr>
          <w:p>
            <w:pPr>
              <w:jc w:val="center"/>
              <w:spacing w:after="0" w:line="155" w:lineRule="exact"/>
              <w:rPr>
                <w:sz w:val="20"/>
                <w:szCs w:val="20"/>
                <w:color w:val="auto"/>
              </w:rPr>
            </w:pPr>
            <w:r>
              <w:rPr>
                <w:rFonts w:ascii="Arial" w:cs="Arial" w:eastAsia="Arial" w:hAnsi="Arial"/>
                <w:sz w:val="15"/>
                <w:szCs w:val="15"/>
                <w:b w:val="1"/>
                <w:bCs w:val="1"/>
                <w:color w:val="FFFFFF"/>
              </w:rPr>
              <w:t>part of Publicly Announced</w:t>
            </w:r>
          </w:p>
        </w:tc>
        <w:tc>
          <w:tcPr>
            <w:tcW w:w="120" w:type="dxa"/>
            <w:vAlign w:val="bottom"/>
            <w:shd w:val="clear" w:color="auto" w:fill="1D2758"/>
          </w:tcPr>
          <w:p>
            <w:pPr>
              <w:spacing w:after="0"/>
              <w:rPr>
                <w:sz w:val="13"/>
                <w:szCs w:val="13"/>
                <w:color w:val="auto"/>
              </w:rPr>
            </w:pPr>
          </w:p>
        </w:tc>
        <w:tc>
          <w:tcPr>
            <w:tcW w:w="1700" w:type="dxa"/>
            <w:vAlign w:val="bottom"/>
            <w:shd w:val="clear" w:color="auto" w:fill="1D2758"/>
          </w:tcPr>
          <w:p>
            <w:pPr>
              <w:jc w:val="center"/>
              <w:ind w:right="43"/>
              <w:spacing w:after="0" w:line="155" w:lineRule="exact"/>
              <w:rPr>
                <w:sz w:val="20"/>
                <w:szCs w:val="20"/>
                <w:color w:val="auto"/>
              </w:rPr>
            </w:pPr>
            <w:r>
              <w:rPr>
                <w:rFonts w:ascii="Arial" w:cs="Arial" w:eastAsia="Arial" w:hAnsi="Arial"/>
                <w:sz w:val="15"/>
                <w:szCs w:val="15"/>
                <w:b w:val="1"/>
                <w:bCs w:val="1"/>
                <w:color w:val="FFFFFF"/>
              </w:rPr>
              <w:t>Under the Plans (in</w:t>
            </w:r>
          </w:p>
        </w:tc>
        <w:tc>
          <w:tcPr>
            <w:tcW w:w="0" w:type="dxa"/>
            <w:vAlign w:val="bottom"/>
          </w:tcPr>
          <w:p>
            <w:pPr>
              <w:spacing w:after="0"/>
              <w:rPr>
                <w:sz w:val="1"/>
                <w:szCs w:val="1"/>
                <w:color w:val="auto"/>
              </w:rPr>
            </w:pPr>
          </w:p>
        </w:tc>
      </w:tr>
      <w:tr>
        <w:trPr>
          <w:trHeight w:val="122"/>
        </w:trPr>
        <w:tc>
          <w:tcPr>
            <w:tcW w:w="3660" w:type="dxa"/>
            <w:vAlign w:val="bottom"/>
            <w:vMerge w:val="continue"/>
            <w:shd w:val="clear" w:color="auto" w:fill="1D2758"/>
          </w:tcPr>
          <w:p>
            <w:pPr>
              <w:spacing w:after="0"/>
              <w:rPr>
                <w:sz w:val="10"/>
                <w:szCs w:val="10"/>
                <w:color w:val="auto"/>
              </w:rPr>
            </w:pPr>
          </w:p>
        </w:tc>
        <w:tc>
          <w:tcPr>
            <w:tcW w:w="240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thousands)</w:t>
            </w:r>
          </w:p>
        </w:tc>
        <w:tc>
          <w:tcPr>
            <w:tcW w:w="180" w:type="dxa"/>
            <w:vAlign w:val="bottom"/>
            <w:shd w:val="clear" w:color="auto" w:fill="1D2758"/>
          </w:tcPr>
          <w:p>
            <w:pPr>
              <w:spacing w:after="0"/>
              <w:rPr>
                <w:sz w:val="10"/>
                <w:szCs w:val="10"/>
                <w:color w:val="auto"/>
              </w:rPr>
            </w:pPr>
          </w:p>
        </w:tc>
        <w:tc>
          <w:tcPr>
            <w:tcW w:w="1020" w:type="dxa"/>
            <w:vAlign w:val="bottom"/>
            <w:vMerge w:val="restart"/>
            <w:shd w:val="clear" w:color="auto" w:fill="1D2758"/>
          </w:tcPr>
          <w:p>
            <w:pPr>
              <w:jc w:val="center"/>
              <w:ind w:right="103"/>
              <w:spacing w:after="0"/>
              <w:rPr>
                <w:sz w:val="20"/>
                <w:szCs w:val="20"/>
                <w:color w:val="auto"/>
              </w:rPr>
            </w:pPr>
            <w:r>
              <w:rPr>
                <w:rFonts w:ascii="Arial" w:cs="Arial" w:eastAsia="Arial" w:hAnsi="Arial"/>
                <w:sz w:val="15"/>
                <w:szCs w:val="15"/>
                <w:b w:val="1"/>
                <w:bCs w:val="1"/>
                <w:color w:val="FFFFFF"/>
              </w:rPr>
              <w:t>per Share</w:t>
            </w:r>
          </w:p>
        </w:tc>
        <w:tc>
          <w:tcPr>
            <w:tcW w:w="2160" w:type="dxa"/>
            <w:vAlign w:val="bottom"/>
            <w:vMerge w:val="restart"/>
            <w:shd w:val="clear" w:color="auto" w:fill="1D2758"/>
          </w:tcPr>
          <w:p>
            <w:pPr>
              <w:jc w:val="center"/>
              <w:spacing w:after="0"/>
              <w:rPr>
                <w:sz w:val="20"/>
                <w:szCs w:val="20"/>
                <w:color w:val="auto"/>
              </w:rPr>
            </w:pPr>
            <w:r>
              <w:rPr>
                <w:rFonts w:ascii="Arial" w:cs="Arial" w:eastAsia="Arial" w:hAnsi="Arial"/>
                <w:sz w:val="15"/>
                <w:szCs w:val="15"/>
                <w:b w:val="1"/>
                <w:bCs w:val="1"/>
                <w:color w:val="FFFFFF"/>
              </w:rPr>
              <w:t>Plan (in thousands)</w:t>
            </w:r>
          </w:p>
        </w:tc>
        <w:tc>
          <w:tcPr>
            <w:tcW w:w="120" w:type="dxa"/>
            <w:vAlign w:val="bottom"/>
            <w:shd w:val="clear" w:color="auto" w:fill="1D2758"/>
          </w:tcPr>
          <w:p>
            <w:pPr>
              <w:spacing w:after="0"/>
              <w:rPr>
                <w:sz w:val="10"/>
                <w:szCs w:val="10"/>
                <w:color w:val="auto"/>
              </w:rPr>
            </w:pPr>
          </w:p>
        </w:tc>
        <w:tc>
          <w:tcPr>
            <w:tcW w:w="1700" w:type="dxa"/>
            <w:vAlign w:val="bottom"/>
            <w:vMerge w:val="restart"/>
            <w:shd w:val="clear" w:color="auto" w:fill="1D2758"/>
          </w:tcPr>
          <w:p>
            <w:pPr>
              <w:jc w:val="center"/>
              <w:ind w:right="43"/>
              <w:spacing w:after="0"/>
              <w:rPr>
                <w:sz w:val="20"/>
                <w:szCs w:val="20"/>
                <w:color w:val="auto"/>
              </w:rPr>
            </w:pPr>
            <w:r>
              <w:rPr>
                <w:rFonts w:ascii="Arial" w:cs="Arial" w:eastAsia="Arial" w:hAnsi="Arial"/>
                <w:sz w:val="15"/>
                <w:szCs w:val="15"/>
                <w:b w:val="1"/>
                <w:bCs w:val="1"/>
                <w:color w:val="FFFFFF"/>
              </w:rPr>
              <w:t>millions)</w:t>
            </w:r>
          </w:p>
        </w:tc>
        <w:tc>
          <w:tcPr>
            <w:tcW w:w="0" w:type="dxa"/>
            <w:vAlign w:val="bottom"/>
          </w:tcPr>
          <w:p>
            <w:pPr>
              <w:spacing w:after="0"/>
              <w:rPr>
                <w:sz w:val="1"/>
                <w:szCs w:val="1"/>
                <w:color w:val="auto"/>
              </w:rPr>
            </w:pPr>
          </w:p>
        </w:tc>
      </w:tr>
      <w:tr>
        <w:trPr>
          <w:trHeight w:val="84"/>
        </w:trPr>
        <w:tc>
          <w:tcPr>
            <w:tcW w:w="3660" w:type="dxa"/>
            <w:vAlign w:val="bottom"/>
            <w:shd w:val="clear" w:color="auto" w:fill="1D2758"/>
          </w:tcPr>
          <w:p>
            <w:pPr>
              <w:spacing w:after="0"/>
              <w:rPr>
                <w:sz w:val="7"/>
                <w:szCs w:val="7"/>
                <w:color w:val="auto"/>
              </w:rPr>
            </w:pPr>
          </w:p>
        </w:tc>
        <w:tc>
          <w:tcPr>
            <w:tcW w:w="2400" w:type="dxa"/>
            <w:vAlign w:val="bottom"/>
            <w:vMerge w:val="continue"/>
            <w:shd w:val="clear" w:color="auto" w:fill="1D2758"/>
          </w:tcPr>
          <w:p>
            <w:pPr>
              <w:spacing w:after="0"/>
              <w:rPr>
                <w:sz w:val="7"/>
                <w:szCs w:val="7"/>
                <w:color w:val="auto"/>
              </w:rPr>
            </w:pPr>
          </w:p>
        </w:tc>
        <w:tc>
          <w:tcPr>
            <w:tcW w:w="180" w:type="dxa"/>
            <w:vAlign w:val="bottom"/>
            <w:shd w:val="clear" w:color="auto" w:fill="1D2758"/>
          </w:tcPr>
          <w:p>
            <w:pPr>
              <w:spacing w:after="0"/>
              <w:rPr>
                <w:sz w:val="7"/>
                <w:szCs w:val="7"/>
                <w:color w:val="auto"/>
              </w:rPr>
            </w:pPr>
          </w:p>
        </w:tc>
        <w:tc>
          <w:tcPr>
            <w:tcW w:w="1020" w:type="dxa"/>
            <w:vAlign w:val="bottom"/>
            <w:vMerge w:val="continue"/>
            <w:shd w:val="clear" w:color="auto" w:fill="1D2758"/>
          </w:tcPr>
          <w:p>
            <w:pPr>
              <w:spacing w:after="0"/>
              <w:rPr>
                <w:sz w:val="7"/>
                <w:szCs w:val="7"/>
                <w:color w:val="auto"/>
              </w:rPr>
            </w:pPr>
          </w:p>
        </w:tc>
        <w:tc>
          <w:tcPr>
            <w:tcW w:w="2160" w:type="dxa"/>
            <w:vAlign w:val="bottom"/>
            <w:vMerge w:val="continue"/>
            <w:shd w:val="clear" w:color="auto" w:fill="1D2758"/>
          </w:tcPr>
          <w:p>
            <w:pPr>
              <w:spacing w:after="0"/>
              <w:rPr>
                <w:sz w:val="7"/>
                <w:szCs w:val="7"/>
                <w:color w:val="auto"/>
              </w:rPr>
            </w:pPr>
          </w:p>
        </w:tc>
        <w:tc>
          <w:tcPr>
            <w:tcW w:w="120" w:type="dxa"/>
            <w:vAlign w:val="bottom"/>
            <w:shd w:val="clear" w:color="auto" w:fill="1D2758"/>
          </w:tcPr>
          <w:p>
            <w:pPr>
              <w:spacing w:after="0"/>
              <w:rPr>
                <w:sz w:val="7"/>
                <w:szCs w:val="7"/>
                <w:color w:val="auto"/>
              </w:rPr>
            </w:pPr>
          </w:p>
        </w:tc>
        <w:tc>
          <w:tcPr>
            <w:tcW w:w="17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60" w:type="dxa"/>
            <w:vAlign w:val="bottom"/>
            <w:vMerge w:val="restart"/>
            <w:shd w:val="clear" w:color="auto" w:fill="DBDBDB"/>
          </w:tcPr>
          <w:p>
            <w:pPr>
              <w:ind w:left="20"/>
              <w:spacing w:after="0"/>
              <w:rPr>
                <w:sz w:val="20"/>
                <w:szCs w:val="20"/>
                <w:color w:val="auto"/>
              </w:rPr>
            </w:pPr>
            <w:r>
              <w:rPr>
                <w:rFonts w:ascii="Arial" w:cs="Arial" w:eastAsia="Arial" w:hAnsi="Arial"/>
                <w:sz w:val="15"/>
                <w:szCs w:val="15"/>
                <w:color w:val="auto"/>
              </w:rPr>
              <w:t>April 1, 2022 to April 30, 2022</w:t>
            </w:r>
          </w:p>
        </w:tc>
        <w:tc>
          <w:tcPr>
            <w:tcW w:w="2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Common Stock - 1,052.4</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37.00</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1,052.4</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840.3</w:t>
            </w:r>
          </w:p>
        </w:tc>
        <w:tc>
          <w:tcPr>
            <w:tcW w:w="0" w:type="dxa"/>
            <w:vAlign w:val="bottom"/>
          </w:tcPr>
          <w:p>
            <w:pPr>
              <w:spacing w:after="0"/>
              <w:rPr>
                <w:sz w:val="1"/>
                <w:szCs w:val="1"/>
                <w:color w:val="auto"/>
              </w:rPr>
            </w:pPr>
          </w:p>
        </w:tc>
      </w:tr>
      <w:tr>
        <w:trPr>
          <w:trHeight w:val="103"/>
        </w:trPr>
        <w:tc>
          <w:tcPr>
            <w:tcW w:w="3660" w:type="dxa"/>
            <w:vAlign w:val="bottom"/>
            <w:vMerge w:val="continue"/>
            <w:shd w:val="clear" w:color="auto" w:fill="DBDBDB"/>
          </w:tcPr>
          <w:p>
            <w:pPr>
              <w:spacing w:after="0"/>
              <w:rPr>
                <w:sz w:val="8"/>
                <w:szCs w:val="8"/>
                <w:color w:val="auto"/>
              </w:rPr>
            </w:pPr>
          </w:p>
        </w:tc>
        <w:tc>
          <w:tcPr>
            <w:tcW w:w="24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2018 Warrants - 0</w:t>
            </w:r>
          </w:p>
        </w:tc>
        <w:tc>
          <w:tcPr>
            <w:tcW w:w="180" w:type="dxa"/>
            <w:vAlign w:val="bottom"/>
            <w:shd w:val="clear" w:color="auto" w:fill="DBDBDB"/>
          </w:tcPr>
          <w:p>
            <w:pPr>
              <w:spacing w:after="0"/>
              <w:rPr>
                <w:sz w:val="8"/>
                <w:szCs w:val="8"/>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20" w:type="dxa"/>
            <w:vAlign w:val="bottom"/>
            <w:vMerge w:val="continue"/>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DBDBDB"/>
          </w:tcPr>
          <w:p>
            <w:pPr>
              <w:spacing w:after="0"/>
              <w:rPr>
                <w:sz w:val="12"/>
                <w:szCs w:val="12"/>
                <w:color w:val="auto"/>
              </w:rPr>
            </w:pPr>
          </w:p>
        </w:tc>
        <w:tc>
          <w:tcPr>
            <w:tcW w:w="2400" w:type="dxa"/>
            <w:vAlign w:val="bottom"/>
            <w:vMerge w:val="continue"/>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21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660" w:type="dxa"/>
            <w:vAlign w:val="bottom"/>
          </w:tcPr>
          <w:p>
            <w:pPr>
              <w:ind w:left="20"/>
              <w:spacing w:after="0"/>
              <w:rPr>
                <w:sz w:val="20"/>
                <w:szCs w:val="20"/>
                <w:color w:val="auto"/>
              </w:rPr>
            </w:pPr>
            <w:r>
              <w:rPr>
                <w:rFonts w:ascii="Arial" w:cs="Arial" w:eastAsia="Arial" w:hAnsi="Arial"/>
                <w:sz w:val="15"/>
                <w:szCs w:val="15"/>
                <w:color w:val="auto"/>
              </w:rPr>
              <w:t>May 1, 2022 to May 31, 2022</w:t>
            </w:r>
          </w:p>
        </w:tc>
        <w:tc>
          <w:tcPr>
            <w:tcW w:w="2400" w:type="dxa"/>
            <w:vAlign w:val="bottom"/>
          </w:tcPr>
          <w:p>
            <w:pPr>
              <w:jc w:val="right"/>
              <w:spacing w:after="0"/>
              <w:rPr>
                <w:sz w:val="20"/>
                <w:szCs w:val="20"/>
                <w:color w:val="auto"/>
              </w:rPr>
            </w:pPr>
            <w:r>
              <w:rPr>
                <w:rFonts w:ascii="Arial" w:cs="Arial" w:eastAsia="Arial" w:hAnsi="Arial"/>
                <w:sz w:val="15"/>
                <w:szCs w:val="15"/>
                <w:color w:val="auto"/>
              </w:rPr>
              <w:t>Common Stock - 1,837.0</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34.52</w:t>
            </w:r>
          </w:p>
        </w:tc>
        <w:tc>
          <w:tcPr>
            <w:tcW w:w="2160" w:type="dxa"/>
            <w:vAlign w:val="bottom"/>
          </w:tcPr>
          <w:p>
            <w:pPr>
              <w:jc w:val="right"/>
              <w:spacing w:after="0"/>
              <w:rPr>
                <w:sz w:val="20"/>
                <w:szCs w:val="20"/>
                <w:color w:val="auto"/>
              </w:rPr>
            </w:pPr>
            <w:r>
              <w:rPr>
                <w:rFonts w:ascii="Arial" w:cs="Arial" w:eastAsia="Arial" w:hAnsi="Arial"/>
                <w:sz w:val="15"/>
                <w:szCs w:val="15"/>
                <w:color w:val="auto"/>
              </w:rPr>
              <w:t>1,837.0</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tcPr>
          <w:p>
            <w:pPr>
              <w:jc w:val="right"/>
              <w:spacing w:after="0"/>
              <w:rPr>
                <w:sz w:val="20"/>
                <w:szCs w:val="20"/>
                <w:color w:val="auto"/>
              </w:rPr>
            </w:pPr>
            <w:r>
              <w:rPr>
                <w:rFonts w:ascii="Arial" w:cs="Arial" w:eastAsia="Arial" w:hAnsi="Arial"/>
                <w:sz w:val="15"/>
                <w:szCs w:val="15"/>
                <w:color w:val="auto"/>
              </w:rPr>
              <w:t>776.4</w:t>
            </w:r>
          </w:p>
        </w:tc>
        <w:tc>
          <w:tcPr>
            <w:tcW w:w="0" w:type="dxa"/>
            <w:vAlign w:val="bottom"/>
          </w:tcPr>
          <w:p>
            <w:pPr>
              <w:spacing w:after="0"/>
              <w:rPr>
                <w:sz w:val="1"/>
                <w:szCs w:val="1"/>
                <w:color w:val="auto"/>
              </w:rPr>
            </w:pPr>
          </w:p>
        </w:tc>
      </w:tr>
      <w:tr>
        <w:trPr>
          <w:trHeight w:val="193"/>
        </w:trPr>
        <w:tc>
          <w:tcPr>
            <w:tcW w:w="3660" w:type="dxa"/>
            <w:vAlign w:val="bottom"/>
          </w:tcPr>
          <w:p>
            <w:pPr>
              <w:spacing w:after="0"/>
              <w:rPr>
                <w:sz w:val="16"/>
                <w:szCs w:val="16"/>
                <w:color w:val="auto"/>
              </w:rPr>
            </w:pPr>
          </w:p>
        </w:tc>
        <w:tc>
          <w:tcPr>
            <w:tcW w:w="2400" w:type="dxa"/>
            <w:vAlign w:val="bottom"/>
          </w:tcPr>
          <w:p>
            <w:pPr>
              <w:jc w:val="right"/>
              <w:spacing w:after="0"/>
              <w:rPr>
                <w:sz w:val="20"/>
                <w:szCs w:val="20"/>
                <w:color w:val="auto"/>
              </w:rPr>
            </w:pPr>
            <w:r>
              <w:rPr>
                <w:rFonts w:ascii="Arial" w:cs="Arial" w:eastAsia="Arial" w:hAnsi="Arial"/>
                <w:sz w:val="15"/>
                <w:szCs w:val="15"/>
                <w:color w:val="auto"/>
              </w:rPr>
              <w:t>2018 Warrants - 12.6</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34.26</w:t>
            </w:r>
          </w:p>
        </w:tc>
        <w:tc>
          <w:tcPr>
            <w:tcW w:w="2160" w:type="dxa"/>
            <w:vAlign w:val="bottom"/>
          </w:tcPr>
          <w:p>
            <w:pPr>
              <w:jc w:val="right"/>
              <w:spacing w:after="0"/>
              <w:rPr>
                <w:sz w:val="20"/>
                <w:szCs w:val="20"/>
                <w:color w:val="auto"/>
              </w:rPr>
            </w:pPr>
            <w:r>
              <w:rPr>
                <w:rFonts w:ascii="Arial" w:cs="Arial" w:eastAsia="Arial" w:hAnsi="Arial"/>
                <w:sz w:val="15"/>
                <w:szCs w:val="15"/>
                <w:color w:val="auto"/>
              </w:rPr>
              <w:t>12.6</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660" w:type="dxa"/>
            <w:vAlign w:val="bottom"/>
            <w:vMerge w:val="restart"/>
            <w:shd w:val="clear" w:color="auto" w:fill="DBDBDB"/>
          </w:tcPr>
          <w:p>
            <w:pPr>
              <w:ind w:left="20"/>
              <w:spacing w:after="0"/>
              <w:rPr>
                <w:sz w:val="20"/>
                <w:szCs w:val="20"/>
                <w:color w:val="auto"/>
              </w:rPr>
            </w:pPr>
            <w:r>
              <w:rPr>
                <w:rFonts w:ascii="Arial" w:cs="Arial" w:eastAsia="Arial" w:hAnsi="Arial"/>
                <w:sz w:val="15"/>
                <w:szCs w:val="15"/>
                <w:color w:val="auto"/>
              </w:rPr>
              <w:t>June 1, 2022 to June 31, 2022</w:t>
            </w:r>
          </w:p>
        </w:tc>
        <w:tc>
          <w:tcPr>
            <w:tcW w:w="2400" w:type="dxa"/>
            <w:vAlign w:val="bottom"/>
            <w:shd w:val="clear" w:color="auto" w:fill="DBDBDB"/>
          </w:tcPr>
          <w:p>
            <w:pPr>
              <w:jc w:val="right"/>
              <w:spacing w:after="0"/>
              <w:rPr>
                <w:sz w:val="20"/>
                <w:szCs w:val="20"/>
                <w:color w:val="auto"/>
              </w:rPr>
            </w:pPr>
            <w:r>
              <w:rPr>
                <w:rFonts w:ascii="Arial" w:cs="Arial" w:eastAsia="Arial" w:hAnsi="Arial"/>
                <w:sz w:val="15"/>
                <w:szCs w:val="15"/>
                <w:color w:val="auto"/>
              </w:rPr>
              <w:t>Common Stock - 4,332.5</w:t>
            </w:r>
          </w:p>
        </w:tc>
        <w:tc>
          <w:tcPr>
            <w:tcW w:w="180" w:type="dxa"/>
            <w:vAlign w:val="bottom"/>
            <w:shd w:val="clear" w:color="auto" w:fill="DBDBDB"/>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33.84</w:t>
            </w:r>
          </w:p>
        </w:tc>
        <w:tc>
          <w:tcPr>
            <w:tcW w:w="2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4,332.5</w:t>
            </w:r>
          </w:p>
        </w:tc>
        <w:tc>
          <w:tcPr>
            <w:tcW w:w="1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w w:val="95"/>
              </w:rPr>
              <w:t>$</w:t>
            </w:r>
          </w:p>
        </w:tc>
        <w:tc>
          <w:tcPr>
            <w:tcW w:w="17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629.8</w:t>
            </w:r>
          </w:p>
        </w:tc>
        <w:tc>
          <w:tcPr>
            <w:tcW w:w="0" w:type="dxa"/>
            <w:vAlign w:val="bottom"/>
          </w:tcPr>
          <w:p>
            <w:pPr>
              <w:spacing w:after="0"/>
              <w:rPr>
                <w:sz w:val="1"/>
                <w:szCs w:val="1"/>
                <w:color w:val="auto"/>
              </w:rPr>
            </w:pPr>
          </w:p>
        </w:tc>
      </w:tr>
      <w:tr>
        <w:trPr>
          <w:trHeight w:val="103"/>
        </w:trPr>
        <w:tc>
          <w:tcPr>
            <w:tcW w:w="3660" w:type="dxa"/>
            <w:vAlign w:val="bottom"/>
            <w:vMerge w:val="continue"/>
            <w:shd w:val="clear" w:color="auto" w:fill="DBDBDB"/>
          </w:tcPr>
          <w:p>
            <w:pPr>
              <w:spacing w:after="0"/>
              <w:rPr>
                <w:sz w:val="8"/>
                <w:szCs w:val="8"/>
                <w:color w:val="auto"/>
              </w:rPr>
            </w:pPr>
          </w:p>
        </w:tc>
        <w:tc>
          <w:tcPr>
            <w:tcW w:w="240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2018 Warrants - 0</w:t>
            </w:r>
          </w:p>
        </w:tc>
        <w:tc>
          <w:tcPr>
            <w:tcW w:w="180" w:type="dxa"/>
            <w:vAlign w:val="bottom"/>
            <w:shd w:val="clear" w:color="auto" w:fill="DBDBDB"/>
          </w:tcPr>
          <w:p>
            <w:pPr>
              <w:spacing w:after="0"/>
              <w:rPr>
                <w:sz w:val="8"/>
                <w:szCs w:val="8"/>
                <w:color w:val="auto"/>
              </w:rPr>
            </w:pP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2160" w:type="dxa"/>
            <w:vAlign w:val="bottom"/>
            <w:vMerge w:val="restart"/>
            <w:shd w:val="clear" w:color="auto" w:fill="DBDBDB"/>
          </w:tcPr>
          <w:p>
            <w:pPr>
              <w:jc w:val="right"/>
              <w:spacing w:after="0"/>
              <w:rPr>
                <w:sz w:val="20"/>
                <w:szCs w:val="20"/>
                <w:color w:val="auto"/>
              </w:rPr>
            </w:pPr>
            <w:r>
              <w:rPr>
                <w:rFonts w:ascii="Arial" w:cs="Arial" w:eastAsia="Arial" w:hAnsi="Arial"/>
                <w:sz w:val="15"/>
                <w:szCs w:val="15"/>
                <w:color w:val="auto"/>
              </w:rPr>
              <w:t>N/A</w:t>
            </w:r>
          </w:p>
        </w:tc>
        <w:tc>
          <w:tcPr>
            <w:tcW w:w="120" w:type="dxa"/>
            <w:vAlign w:val="bottom"/>
            <w:vMerge w:val="continue"/>
            <w:shd w:val="clear" w:color="auto" w:fill="DBDBDB"/>
          </w:tcPr>
          <w:p>
            <w:pPr>
              <w:spacing w:after="0"/>
              <w:rPr>
                <w:sz w:val="8"/>
                <w:szCs w:val="8"/>
                <w:color w:val="auto"/>
              </w:rPr>
            </w:pPr>
          </w:p>
        </w:tc>
        <w:tc>
          <w:tcPr>
            <w:tcW w:w="17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3660" w:type="dxa"/>
            <w:vAlign w:val="bottom"/>
            <w:shd w:val="clear" w:color="auto" w:fill="DBDBDB"/>
          </w:tcPr>
          <w:p>
            <w:pPr>
              <w:spacing w:after="0"/>
              <w:rPr>
                <w:sz w:val="12"/>
                <w:szCs w:val="12"/>
                <w:color w:val="auto"/>
              </w:rPr>
            </w:pPr>
          </w:p>
        </w:tc>
        <w:tc>
          <w:tcPr>
            <w:tcW w:w="2400" w:type="dxa"/>
            <w:vAlign w:val="bottom"/>
            <w:vMerge w:val="continue"/>
            <w:shd w:val="clear" w:color="auto" w:fill="DBDBDB"/>
          </w:tcPr>
          <w:p>
            <w:pPr>
              <w:spacing w:after="0"/>
              <w:rPr>
                <w:sz w:val="12"/>
                <w:szCs w:val="12"/>
                <w:color w:val="auto"/>
              </w:rPr>
            </w:pPr>
          </w:p>
        </w:tc>
        <w:tc>
          <w:tcPr>
            <w:tcW w:w="180" w:type="dxa"/>
            <w:vAlign w:val="bottom"/>
            <w:shd w:val="clear" w:color="auto" w:fill="DBDBDB"/>
          </w:tcPr>
          <w:p>
            <w:pPr>
              <w:spacing w:after="0"/>
              <w:rPr>
                <w:sz w:val="12"/>
                <w:szCs w:val="12"/>
                <w:color w:val="auto"/>
              </w:rPr>
            </w:pPr>
          </w:p>
        </w:tc>
        <w:tc>
          <w:tcPr>
            <w:tcW w:w="1020" w:type="dxa"/>
            <w:vAlign w:val="bottom"/>
            <w:vMerge w:val="continue"/>
            <w:shd w:val="clear" w:color="auto" w:fill="DBDBDB"/>
          </w:tcPr>
          <w:p>
            <w:pPr>
              <w:spacing w:after="0"/>
              <w:rPr>
                <w:sz w:val="12"/>
                <w:szCs w:val="12"/>
                <w:color w:val="auto"/>
              </w:rPr>
            </w:pPr>
          </w:p>
        </w:tc>
        <w:tc>
          <w:tcPr>
            <w:tcW w:w="2160" w:type="dxa"/>
            <w:vAlign w:val="bottom"/>
            <w:vMerge w:val="continue"/>
            <w:shd w:val="clear" w:color="auto" w:fill="DBDBDB"/>
          </w:tcPr>
          <w:p>
            <w:pPr>
              <w:spacing w:after="0"/>
              <w:rPr>
                <w:sz w:val="12"/>
                <w:szCs w:val="12"/>
                <w:color w:val="auto"/>
              </w:rPr>
            </w:pPr>
          </w:p>
        </w:tc>
        <w:tc>
          <w:tcPr>
            <w:tcW w:w="120" w:type="dxa"/>
            <w:vAlign w:val="bottom"/>
            <w:shd w:val="clear" w:color="auto" w:fill="DBDBDB"/>
          </w:tcPr>
          <w:p>
            <w:pPr>
              <w:spacing w:after="0"/>
              <w:rPr>
                <w:sz w:val="12"/>
                <w:szCs w:val="12"/>
                <w:color w:val="auto"/>
              </w:rPr>
            </w:pPr>
          </w:p>
        </w:tc>
        <w:tc>
          <w:tcPr>
            <w:tcW w:w="17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220"/>
              <w:spacing w:after="0"/>
              <w:rPr>
                <w:sz w:val="20"/>
                <w:szCs w:val="20"/>
                <w:color w:val="auto"/>
              </w:rPr>
            </w:pPr>
            <w:r>
              <w:rPr>
                <w:rFonts w:ascii="Arial" w:cs="Arial" w:eastAsia="Arial" w:hAnsi="Arial"/>
                <w:sz w:val="15"/>
                <w:szCs w:val="15"/>
                <w:color w:val="auto"/>
              </w:rPr>
              <w:t>Total</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7,234.5</w:t>
            </w: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34.47</w:t>
            </w:r>
          </w:p>
        </w:tc>
        <w:tc>
          <w:tcPr>
            <w:tcW w:w="2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7,234.5</w:t>
            </w: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5"/>
          <w:szCs w:val="15"/>
          <w:color w:val="auto"/>
        </w:rPr>
        <w:t>A share repurchase program authorizes the Company to repurchase up to $1.0 billion of its outstanding shares of Common Stock and equivalents. As of June 30, 2022, $629.8 million of the $1.0 billion share repurchase authorization remained available for use. In July 2022, the Company's Board of Directors approved an increase to the share repurchase program that authorizes the Company to repurchase up to $1.0 billion of its outstanding shares of Common Stock and equivalents.</w:t>
      </w:r>
    </w:p>
    <w:p>
      <w:pPr>
        <w:spacing w:after="0" w:line="380"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3.</w:t>
      </w:r>
      <w:r>
        <w:rPr>
          <w:sz w:val="20"/>
          <w:szCs w:val="20"/>
          <w:color w:val="auto"/>
        </w:rPr>
        <w:tab/>
      </w:r>
      <w:r>
        <w:rPr>
          <w:rFonts w:ascii="Arial" w:cs="Arial" w:eastAsia="Arial" w:hAnsi="Arial"/>
          <w:sz w:val="37"/>
          <w:szCs w:val="37"/>
          <w:b w:val="1"/>
          <w:bCs w:val="1"/>
          <w:color w:val="auto"/>
        </w:rPr>
        <w:t>Defaults Upon Senior Securities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None.</w:t>
      </w:r>
    </w:p>
    <w:p>
      <w:pPr>
        <w:spacing w:after="0" w:line="246" w:lineRule="exact"/>
        <w:rPr>
          <w:sz w:val="20"/>
          <w:szCs w:val="20"/>
          <w:color w:val="auto"/>
        </w:rPr>
      </w:pPr>
    </w:p>
    <w:p>
      <w:pPr>
        <w:spacing w:after="0"/>
        <w:tabs>
          <w:tab w:leader="none" w:pos="1720" w:val="left"/>
        </w:tabs>
        <w:rPr>
          <w:sz w:val="20"/>
          <w:szCs w:val="20"/>
          <w:color w:val="auto"/>
        </w:rPr>
      </w:pPr>
      <w:r>
        <w:rPr>
          <w:rFonts w:ascii="Arial" w:cs="Arial" w:eastAsia="Arial" w:hAnsi="Arial"/>
          <w:sz w:val="38"/>
          <w:szCs w:val="38"/>
          <w:b w:val="1"/>
          <w:bCs w:val="1"/>
          <w:color w:val="auto"/>
        </w:rPr>
        <w:t>ITEM 4.</w:t>
      </w:r>
      <w:r>
        <w:rPr>
          <w:sz w:val="20"/>
          <w:szCs w:val="20"/>
          <w:color w:val="auto"/>
        </w:rPr>
        <w:tab/>
      </w:r>
      <w:r>
        <w:rPr>
          <w:rFonts w:ascii="Arial" w:cs="Arial" w:eastAsia="Arial" w:hAnsi="Arial"/>
          <w:sz w:val="37"/>
          <w:szCs w:val="37"/>
          <w:b w:val="1"/>
          <w:bCs w:val="1"/>
          <w:color w:val="auto"/>
        </w:rPr>
        <w:t>Mine Safety Disclosures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510"/>
        </w:trPr>
        <w:tc>
          <w:tcPr>
            <w:tcW w:w="1320" w:type="dxa"/>
            <w:vAlign w:val="bottom"/>
            <w:gridSpan w:val="3"/>
          </w:tcPr>
          <w:p>
            <w:pPr>
              <w:spacing w:after="0"/>
              <w:rPr>
                <w:sz w:val="20"/>
                <w:szCs w:val="20"/>
                <w:color w:val="auto"/>
              </w:rPr>
            </w:pPr>
            <w:r>
              <w:rPr>
                <w:rFonts w:ascii="Arial" w:cs="Arial" w:eastAsia="Arial" w:hAnsi="Arial"/>
                <w:sz w:val="38"/>
                <w:szCs w:val="38"/>
                <w:b w:val="1"/>
                <w:bCs w:val="1"/>
                <w:color w:val="auto"/>
                <w:w w:val="97"/>
              </w:rPr>
              <w:t>ITEM 5.</w:t>
            </w:r>
          </w:p>
        </w:tc>
        <w:tc>
          <w:tcPr>
            <w:tcW w:w="9860" w:type="dxa"/>
            <w:vAlign w:val="bottom"/>
          </w:tcPr>
          <w:p>
            <w:pPr>
              <w:ind w:left="420"/>
              <w:spacing w:after="0"/>
              <w:rPr>
                <w:sz w:val="20"/>
                <w:szCs w:val="20"/>
                <w:color w:val="auto"/>
              </w:rPr>
            </w:pPr>
            <w:r>
              <w:rPr>
                <w:rFonts w:ascii="Arial" w:cs="Arial" w:eastAsia="Arial" w:hAnsi="Arial"/>
                <w:sz w:val="38"/>
                <w:szCs w:val="38"/>
                <w:b w:val="1"/>
                <w:bCs w:val="1"/>
                <w:color w:val="auto"/>
              </w:rPr>
              <w:t>Other Information</w:t>
            </w:r>
          </w:p>
        </w:tc>
        <w:tc>
          <w:tcPr>
            <w:tcW w:w="0" w:type="dxa"/>
            <w:vAlign w:val="bottom"/>
          </w:tcPr>
          <w:p>
            <w:pPr>
              <w:spacing w:after="0"/>
              <w:rPr>
                <w:sz w:val="1"/>
                <w:szCs w:val="1"/>
                <w:color w:val="auto"/>
              </w:rPr>
            </w:pPr>
          </w:p>
        </w:tc>
      </w:tr>
      <w:tr>
        <w:trPr>
          <w:trHeight w:val="204"/>
        </w:trPr>
        <w:tc>
          <w:tcPr>
            <w:tcW w:w="1200" w:type="dxa"/>
            <w:vAlign w:val="bottom"/>
            <w:gridSpan w:val="2"/>
          </w:tcPr>
          <w:p>
            <w:pPr>
              <w:ind w:left="620"/>
              <w:spacing w:after="0"/>
              <w:rPr>
                <w:sz w:val="20"/>
                <w:szCs w:val="20"/>
                <w:color w:val="auto"/>
              </w:rPr>
            </w:pPr>
            <w:r>
              <w:rPr>
                <w:rFonts w:ascii="Arial" w:cs="Arial" w:eastAsia="Arial" w:hAnsi="Arial"/>
                <w:sz w:val="15"/>
                <w:szCs w:val="15"/>
                <w:color w:val="auto"/>
              </w:rPr>
              <w:t>None.</w:t>
            </w:r>
          </w:p>
        </w:tc>
        <w:tc>
          <w:tcPr>
            <w:tcW w:w="120" w:type="dxa"/>
            <w:vAlign w:val="bottom"/>
          </w:tcPr>
          <w:p>
            <w:pPr>
              <w:spacing w:after="0"/>
              <w:rPr>
                <w:sz w:val="17"/>
                <w:szCs w:val="17"/>
                <w:color w:val="auto"/>
              </w:rPr>
            </w:pPr>
          </w:p>
        </w:tc>
        <w:tc>
          <w:tcPr>
            <w:tcW w:w="9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6"/>
        </w:trPr>
        <w:tc>
          <w:tcPr>
            <w:tcW w:w="1320" w:type="dxa"/>
            <w:vAlign w:val="bottom"/>
            <w:gridSpan w:val="3"/>
          </w:tcPr>
          <w:p>
            <w:pPr>
              <w:spacing w:after="0"/>
              <w:rPr>
                <w:sz w:val="20"/>
                <w:szCs w:val="20"/>
                <w:color w:val="auto"/>
              </w:rPr>
            </w:pPr>
            <w:r>
              <w:rPr>
                <w:rFonts w:ascii="Arial" w:cs="Arial" w:eastAsia="Arial" w:hAnsi="Arial"/>
                <w:sz w:val="38"/>
                <w:szCs w:val="38"/>
                <w:b w:val="1"/>
                <w:bCs w:val="1"/>
                <w:color w:val="auto"/>
                <w:w w:val="97"/>
              </w:rPr>
              <w:t>ITEM 6.</w:t>
            </w:r>
          </w:p>
        </w:tc>
        <w:tc>
          <w:tcPr>
            <w:tcW w:w="9860" w:type="dxa"/>
            <w:vAlign w:val="bottom"/>
          </w:tcPr>
          <w:p>
            <w:pPr>
              <w:ind w:left="420"/>
              <w:spacing w:after="0"/>
              <w:rPr>
                <w:sz w:val="20"/>
                <w:szCs w:val="20"/>
                <w:color w:val="auto"/>
              </w:rPr>
            </w:pPr>
            <w:r>
              <w:rPr>
                <w:rFonts w:ascii="Arial" w:cs="Arial" w:eastAsia="Arial" w:hAnsi="Arial"/>
                <w:sz w:val="38"/>
                <w:szCs w:val="38"/>
                <w:b w:val="1"/>
                <w:bCs w:val="1"/>
                <w:color w:val="auto"/>
              </w:rPr>
              <w:t>Exhibits</w:t>
            </w:r>
          </w:p>
        </w:tc>
        <w:tc>
          <w:tcPr>
            <w:tcW w:w="0" w:type="dxa"/>
            <w:vAlign w:val="bottom"/>
          </w:tcPr>
          <w:p>
            <w:pPr>
              <w:spacing w:after="0"/>
              <w:rPr>
                <w:sz w:val="1"/>
                <w:szCs w:val="1"/>
                <w:color w:val="auto"/>
              </w:rPr>
            </w:pPr>
          </w:p>
        </w:tc>
      </w:tr>
      <w:tr>
        <w:trPr>
          <w:trHeight w:val="155"/>
        </w:trPr>
        <w:tc>
          <w:tcPr>
            <w:tcW w:w="820" w:type="dxa"/>
            <w:vAlign w:val="bottom"/>
            <w:vMerge w:val="restart"/>
          </w:tcPr>
          <w:p>
            <w:pPr>
              <w:ind w:left="20"/>
              <w:spacing w:after="0"/>
              <w:rPr>
                <w:rFonts w:ascii="Arial" w:cs="Arial" w:eastAsia="Arial" w:hAnsi="Arial"/>
                <w:sz w:val="15"/>
                <w:szCs w:val="15"/>
                <w:color w:val="auto"/>
              </w:rPr>
            </w:pPr>
            <w:hyperlink r:id="rId72">
              <w:r>
                <w:rPr>
                  <w:rFonts w:ascii="Arial" w:cs="Arial" w:eastAsia="Arial" w:hAnsi="Arial"/>
                  <w:sz w:val="15"/>
                  <w:szCs w:val="15"/>
                  <w:color w:val="auto"/>
                </w:rPr>
                <w:t>3.1(a)</w:t>
              </w:r>
            </w:hyperlink>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Pr>
          <w:p>
            <w:pPr>
              <w:ind w:left="20"/>
              <w:spacing w:after="0" w:line="155" w:lineRule="exact"/>
              <w:rPr>
                <w:rFonts w:ascii="Arial" w:cs="Arial" w:eastAsia="Arial" w:hAnsi="Arial"/>
                <w:sz w:val="15"/>
                <w:szCs w:val="15"/>
                <w:color w:val="auto"/>
              </w:rPr>
            </w:pPr>
            <w:hyperlink r:id="rId72">
              <w:r>
                <w:rPr>
                  <w:rFonts w:ascii="Arial" w:cs="Arial" w:eastAsia="Arial" w:hAnsi="Arial"/>
                  <w:sz w:val="15"/>
                  <w:szCs w:val="15"/>
                  <w:color w:val="auto"/>
                </w:rPr>
                <w:t>Amended and Restated Certificate of Incorporation of WillScot Mobile Mini Holdings Corp. (incorporated by reference to Exhibit 3.1(b) of the</w:t>
              </w:r>
            </w:hyperlink>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2">
              <w:r>
                <w:rPr>
                  <w:rFonts w:ascii="Arial" w:cs="Arial" w:eastAsia="Arial" w:hAnsi="Arial"/>
                  <w:sz w:val="15"/>
                  <w:szCs w:val="15"/>
                  <w:color w:val="auto"/>
                </w:rPr>
                <w:t>Company's Current Report on Form 8-K, filed July 1, 2020).</w:t>
              </w:r>
            </w:hyperlink>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rFonts w:ascii="Arial" w:cs="Arial" w:eastAsia="Arial" w:hAnsi="Arial"/>
                <w:sz w:val="15"/>
                <w:szCs w:val="15"/>
                <w:color w:val="auto"/>
              </w:rPr>
            </w:pPr>
            <w:hyperlink r:id="rId73">
              <w:r>
                <w:rPr>
                  <w:rFonts w:ascii="Arial" w:cs="Arial" w:eastAsia="Arial" w:hAnsi="Arial"/>
                  <w:sz w:val="15"/>
                  <w:szCs w:val="15"/>
                  <w:color w:val="auto"/>
                </w:rPr>
                <w:t>3.1(b)</w:t>
              </w:r>
            </w:hyperlink>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rFonts w:ascii="Arial" w:cs="Arial" w:eastAsia="Arial" w:hAnsi="Arial"/>
                <w:sz w:val="15"/>
                <w:szCs w:val="15"/>
                <w:color w:val="auto"/>
              </w:rPr>
            </w:pPr>
            <w:hyperlink r:id="rId73">
              <w:r>
                <w:rPr>
                  <w:rFonts w:ascii="Arial" w:cs="Arial" w:eastAsia="Arial" w:hAnsi="Arial"/>
                  <w:sz w:val="15"/>
                  <w:szCs w:val="15"/>
                  <w:color w:val="auto"/>
                </w:rPr>
                <w:t>Certificate of Amendment to Amended and Restated Certificate of Incorporation of WillScot Mobile Mini Holdings Corp. (incorporated by</w:t>
              </w:r>
            </w:hyperlink>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3">
              <w:r>
                <w:rPr>
                  <w:rFonts w:ascii="Arial" w:cs="Arial" w:eastAsia="Arial" w:hAnsi="Arial"/>
                  <w:sz w:val="15"/>
                  <w:szCs w:val="15"/>
                  <w:color w:val="auto"/>
                </w:rPr>
                <w:t>reference to Exhibit 3.1 of the Company's Current Report on Form 8-K, filed June 16, 2021).</w:t>
              </w:r>
            </w:hyperlink>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rFonts w:ascii="Arial" w:cs="Arial" w:eastAsia="Arial" w:hAnsi="Arial"/>
                <w:sz w:val="15"/>
                <w:szCs w:val="15"/>
                <w:color w:val="auto"/>
              </w:rPr>
            </w:pPr>
            <w:hyperlink r:id="rId74">
              <w:r>
                <w:rPr>
                  <w:rFonts w:ascii="Arial" w:cs="Arial" w:eastAsia="Arial" w:hAnsi="Arial"/>
                  <w:sz w:val="15"/>
                  <w:szCs w:val="15"/>
                  <w:color w:val="auto"/>
                </w:rPr>
                <w:t>3.1(c)</w:t>
              </w:r>
            </w:hyperlink>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rFonts w:ascii="Arial" w:cs="Arial" w:eastAsia="Arial" w:hAnsi="Arial"/>
                <w:sz w:val="15"/>
                <w:szCs w:val="15"/>
                <w:color w:val="auto"/>
              </w:rPr>
            </w:pPr>
            <w:hyperlink r:id="rId74">
              <w:r>
                <w:rPr>
                  <w:rFonts w:ascii="Arial" w:cs="Arial" w:eastAsia="Arial" w:hAnsi="Arial"/>
                  <w:sz w:val="15"/>
                  <w:szCs w:val="15"/>
                  <w:color w:val="auto"/>
                </w:rPr>
                <w:t>Certificate of Amendment of Certificate of Incorporation, filed June 3, 2022 with the Secretary of State of the State of Delaware (incorporated by</w:t>
              </w:r>
            </w:hyperlink>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4">
              <w:r>
                <w:rPr>
                  <w:rFonts w:ascii="Arial" w:cs="Arial" w:eastAsia="Arial" w:hAnsi="Arial"/>
                  <w:sz w:val="15"/>
                  <w:szCs w:val="15"/>
                  <w:color w:val="auto"/>
                </w:rPr>
                <w:t>reference to Exhibit 3.1 of the Company's Current Report on Form 8-K, filed June 3, 2022)</w:t>
              </w:r>
            </w:hyperlink>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rFonts w:ascii="Arial" w:cs="Arial" w:eastAsia="Arial" w:hAnsi="Arial"/>
                <w:sz w:val="15"/>
                <w:szCs w:val="15"/>
                <w:color w:val="auto"/>
              </w:rPr>
            </w:pPr>
            <w:hyperlink r:id="rId75">
              <w:r>
                <w:rPr>
                  <w:rFonts w:ascii="Arial" w:cs="Arial" w:eastAsia="Arial" w:hAnsi="Arial"/>
                  <w:sz w:val="15"/>
                  <w:szCs w:val="15"/>
                  <w:color w:val="auto"/>
                </w:rPr>
                <w:t>10.1</w:t>
              </w:r>
            </w:hyperlink>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rFonts w:ascii="Arial" w:cs="Arial" w:eastAsia="Arial" w:hAnsi="Arial"/>
                <w:sz w:val="15"/>
                <w:szCs w:val="15"/>
                <w:color w:val="auto"/>
              </w:rPr>
            </w:pPr>
            <w:hyperlink r:id="rId75">
              <w:r>
                <w:rPr>
                  <w:rFonts w:ascii="Arial" w:cs="Arial" w:eastAsia="Arial" w:hAnsi="Arial"/>
                  <w:sz w:val="15"/>
                  <w:szCs w:val="15"/>
                  <w:color w:val="auto"/>
                </w:rPr>
                <w:t>Transition, Separation and Release Agreement, dates as of April 21, 2022, by and between WillScot Mobile Mini Holdings Corp. and Christopher</w:t>
              </w:r>
            </w:hyperlink>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5">
              <w:r>
                <w:rPr>
                  <w:rFonts w:ascii="Arial" w:cs="Arial" w:eastAsia="Arial" w:hAnsi="Arial"/>
                  <w:sz w:val="15"/>
                  <w:szCs w:val="15"/>
                  <w:color w:val="auto"/>
                </w:rPr>
                <w:t>J. Miner (incorporated by reference to Exhibit 10.1 of the Company's Current Report on Form 8-K, filed April 26, 2022)</w:t>
              </w:r>
            </w:hyperlink>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rFonts w:ascii="Arial" w:cs="Arial" w:eastAsia="Arial" w:hAnsi="Arial"/>
                <w:sz w:val="15"/>
                <w:szCs w:val="15"/>
                <w:color w:val="auto"/>
              </w:rPr>
            </w:pPr>
            <w:hyperlink r:id="rId76">
              <w:r>
                <w:rPr>
                  <w:rFonts w:ascii="Arial" w:cs="Arial" w:eastAsia="Arial" w:hAnsi="Arial"/>
                  <w:sz w:val="15"/>
                  <w:szCs w:val="15"/>
                  <w:color w:val="auto"/>
                </w:rPr>
                <w:t>10.2</w:t>
              </w:r>
            </w:hyperlink>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rFonts w:ascii="Arial" w:cs="Arial" w:eastAsia="Arial" w:hAnsi="Arial"/>
                <w:sz w:val="15"/>
                <w:szCs w:val="15"/>
                <w:color w:val="auto"/>
              </w:rPr>
            </w:pPr>
            <w:hyperlink r:id="rId76">
              <w:r>
                <w:rPr>
                  <w:rFonts w:ascii="Arial" w:cs="Arial" w:eastAsia="Arial" w:hAnsi="Arial"/>
                  <w:sz w:val="15"/>
                  <w:szCs w:val="15"/>
                  <w:color w:val="auto"/>
                </w:rPr>
                <w:t>Amended and Restated Employment Agreement with Hezron Lopez (incorporated by reference to Exhibit 10.1 of the Company's Current Report</w:t>
              </w:r>
            </w:hyperlink>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6">
              <w:r>
                <w:rPr>
                  <w:rFonts w:ascii="Arial" w:cs="Arial" w:eastAsia="Arial" w:hAnsi="Arial"/>
                  <w:sz w:val="15"/>
                  <w:szCs w:val="15"/>
                  <w:color w:val="auto"/>
                </w:rPr>
                <w:t>on Form 8-K, filed June 6, 2022)</w:t>
              </w:r>
            </w:hyperlink>
          </w:p>
        </w:tc>
        <w:tc>
          <w:tcPr>
            <w:tcW w:w="0" w:type="dxa"/>
            <w:vAlign w:val="bottom"/>
          </w:tcPr>
          <w:p>
            <w:pPr>
              <w:spacing w:after="0"/>
              <w:rPr>
                <w:sz w:val="1"/>
                <w:szCs w:val="1"/>
                <w:color w:val="auto"/>
              </w:rPr>
            </w:pPr>
          </w:p>
        </w:tc>
      </w:tr>
      <w:tr>
        <w:trPr>
          <w:trHeight w:val="157"/>
        </w:trPr>
        <w:tc>
          <w:tcPr>
            <w:tcW w:w="820" w:type="dxa"/>
            <w:vAlign w:val="bottom"/>
          </w:tcPr>
          <w:p>
            <w:pPr>
              <w:ind w:left="20"/>
              <w:spacing w:after="0" w:line="157" w:lineRule="exact"/>
              <w:rPr>
                <w:rFonts w:ascii="Arial" w:cs="Arial" w:eastAsia="Arial" w:hAnsi="Arial"/>
                <w:sz w:val="15"/>
                <w:szCs w:val="15"/>
                <w:color w:val="auto"/>
              </w:rPr>
            </w:pPr>
            <w:hyperlink r:id="rId77">
              <w:r>
                <w:rPr>
                  <w:rFonts w:ascii="Arial" w:cs="Arial" w:eastAsia="Arial" w:hAnsi="Arial"/>
                  <w:sz w:val="15"/>
                  <w:szCs w:val="15"/>
                  <w:color w:val="auto"/>
                </w:rPr>
                <w:t>10.3</w:t>
              </w:r>
            </w:hyperlink>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rFonts w:ascii="Arial" w:cs="Arial" w:eastAsia="Arial" w:hAnsi="Arial"/>
                <w:sz w:val="15"/>
                <w:szCs w:val="15"/>
                <w:color w:val="auto"/>
              </w:rPr>
            </w:pPr>
            <w:hyperlink r:id="rId77">
              <w:r>
                <w:rPr>
                  <w:rFonts w:ascii="Arial" w:cs="Arial" w:eastAsia="Arial" w:hAnsi="Arial"/>
                  <w:sz w:val="15"/>
                  <w:szCs w:val="15"/>
                  <w:color w:val="auto"/>
                </w:rPr>
                <w:t>Fourth Amendment to the ABL Credit Agreement, dated as of June 30, 2022, by and among Williams Scotsman, Inc., Williams Scotsman</w:t>
              </w:r>
            </w:hyperlink>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980" w:type="dxa"/>
            <w:vAlign w:val="bottom"/>
            <w:gridSpan w:val="2"/>
          </w:tcPr>
          <w:p>
            <w:pPr>
              <w:ind w:left="100"/>
              <w:spacing w:after="0" w:line="155" w:lineRule="exact"/>
              <w:rPr>
                <w:rFonts w:ascii="Arial" w:cs="Arial" w:eastAsia="Arial" w:hAnsi="Arial"/>
                <w:sz w:val="15"/>
                <w:szCs w:val="15"/>
                <w:color w:val="auto"/>
              </w:rPr>
            </w:pPr>
            <w:hyperlink r:id="rId77">
              <w:r>
                <w:rPr>
                  <w:rFonts w:ascii="Arial" w:cs="Arial" w:eastAsia="Arial" w:hAnsi="Arial"/>
                  <w:sz w:val="15"/>
                  <w:szCs w:val="15"/>
                  <w:color w:val="auto"/>
                </w:rPr>
                <w:t>Holdings Corp., the other Loan Parties thereto and Bank of America, N.A., as administrative agent, collateral agent and swingline lender</w:t>
              </w:r>
            </w:hyperlink>
          </w:p>
        </w:tc>
        <w:tc>
          <w:tcPr>
            <w:tcW w:w="0" w:type="dxa"/>
            <w:vAlign w:val="bottom"/>
          </w:tcPr>
          <w:p>
            <w:pPr>
              <w:spacing w:after="0"/>
              <w:rPr>
                <w:sz w:val="1"/>
                <w:szCs w:val="1"/>
                <w:color w:val="auto"/>
              </w:rPr>
            </w:pPr>
          </w:p>
        </w:tc>
      </w:tr>
      <w:tr>
        <w:trPr>
          <w:trHeight w:val="204"/>
        </w:trPr>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rFonts w:ascii="Arial" w:cs="Arial" w:eastAsia="Arial" w:hAnsi="Arial"/>
                <w:sz w:val="15"/>
                <w:szCs w:val="15"/>
                <w:color w:val="auto"/>
              </w:rPr>
            </w:pPr>
            <w:hyperlink r:id="rId77">
              <w:r>
                <w:rPr>
                  <w:rFonts w:ascii="Arial" w:cs="Arial" w:eastAsia="Arial" w:hAnsi="Arial"/>
                  <w:sz w:val="15"/>
                  <w:szCs w:val="15"/>
                  <w:color w:val="auto"/>
                </w:rPr>
                <w:t>(incorporated by reference to Exhibit 10.1 of the Company's Current Report on Form 8-K, filed July 1, 2022)</w:t>
              </w:r>
            </w:hyperlink>
          </w:p>
        </w:tc>
        <w:tc>
          <w:tcPr>
            <w:tcW w:w="0" w:type="dxa"/>
            <w:vAlign w:val="bottom"/>
          </w:tcPr>
          <w:p>
            <w:pPr>
              <w:spacing w:after="0"/>
              <w:rPr>
                <w:sz w:val="1"/>
                <w:szCs w:val="1"/>
                <w:color w:val="auto"/>
              </w:rPr>
            </w:pPr>
          </w:p>
        </w:tc>
      </w:tr>
      <w:tr>
        <w:trPr>
          <w:trHeight w:val="670"/>
        </w:trPr>
        <w:tc>
          <w:tcPr>
            <w:tcW w:w="820" w:type="dxa"/>
            <w:vAlign w:val="bottom"/>
          </w:tcPr>
          <w:p>
            <w:pPr>
              <w:ind w:left="20"/>
              <w:spacing w:after="0"/>
              <w:rPr>
                <w:sz w:val="20"/>
                <w:szCs w:val="20"/>
                <w:color w:val="auto"/>
              </w:rPr>
            </w:pPr>
            <w:r>
              <w:rPr>
                <w:rFonts w:ascii="Arial" w:cs="Arial" w:eastAsia="Arial" w:hAnsi="Arial"/>
                <w:sz w:val="15"/>
                <w:szCs w:val="15"/>
                <w:color w:val="auto"/>
              </w:rPr>
              <w:t>31.1</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31.2</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32.1</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32.2</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157"/>
        </w:trPr>
        <w:tc>
          <w:tcPr>
            <w:tcW w:w="820" w:type="dxa"/>
            <w:vAlign w:val="bottom"/>
            <w:vMerge w:val="restart"/>
          </w:tcPr>
          <w:p>
            <w:pPr>
              <w:ind w:left="20"/>
              <w:spacing w:after="0"/>
              <w:rPr>
                <w:sz w:val="20"/>
                <w:szCs w:val="20"/>
                <w:color w:val="auto"/>
              </w:rPr>
            </w:pPr>
            <w:r>
              <w:rPr>
                <w:rFonts w:ascii="Arial" w:cs="Arial" w:eastAsia="Arial" w:hAnsi="Arial"/>
                <w:sz w:val="15"/>
                <w:szCs w:val="15"/>
                <w:color w:val="auto"/>
              </w:rPr>
              <w:t>101.INS</w:t>
            </w:r>
          </w:p>
        </w:tc>
        <w:tc>
          <w:tcPr>
            <w:tcW w:w="380" w:type="dxa"/>
            <w:vAlign w:val="bottom"/>
          </w:tcPr>
          <w:p>
            <w:pPr>
              <w:spacing w:after="0"/>
              <w:rPr>
                <w:sz w:val="13"/>
                <w:szCs w:val="13"/>
                <w:color w:val="auto"/>
              </w:rPr>
            </w:pPr>
          </w:p>
        </w:tc>
        <w:tc>
          <w:tcPr>
            <w:tcW w:w="9980" w:type="dxa"/>
            <w:vAlign w:val="bottom"/>
            <w:gridSpan w:val="2"/>
          </w:tcPr>
          <w:p>
            <w:pPr>
              <w:ind w:left="100"/>
              <w:spacing w:after="0" w:line="157" w:lineRule="exact"/>
              <w:rPr>
                <w:sz w:val="20"/>
                <w:szCs w:val="20"/>
                <w:color w:val="auto"/>
              </w:rPr>
            </w:pPr>
            <w:r>
              <w:rPr>
                <w:rFonts w:ascii="Arial" w:cs="Arial" w:eastAsia="Arial" w:hAnsi="Arial"/>
                <w:sz w:val="15"/>
                <w:szCs w:val="15"/>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04"/>
        </w:trPr>
        <w:tc>
          <w:tcPr>
            <w:tcW w:w="8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Inline XBRL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101.SCH</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101.CAL</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101.DEF</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101.LAB</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101.PRE</w:t>
            </w:r>
          </w:p>
        </w:tc>
        <w:tc>
          <w:tcPr>
            <w:tcW w:w="380" w:type="dxa"/>
            <w:vAlign w:val="bottom"/>
          </w:tcPr>
          <w:p>
            <w:pPr>
              <w:spacing w:after="0"/>
              <w:rPr>
                <w:sz w:val="17"/>
                <w:szCs w:val="17"/>
                <w:color w:val="auto"/>
              </w:rPr>
            </w:pP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r>
        <w:trPr>
          <w:trHeight w:val="206"/>
        </w:trPr>
        <w:tc>
          <w:tcPr>
            <w:tcW w:w="820" w:type="dxa"/>
            <w:vAlign w:val="bottom"/>
          </w:tcPr>
          <w:p>
            <w:pPr>
              <w:ind w:left="20"/>
              <w:spacing w:after="0"/>
              <w:rPr>
                <w:sz w:val="20"/>
                <w:szCs w:val="20"/>
                <w:color w:val="auto"/>
              </w:rPr>
            </w:pPr>
            <w:r>
              <w:rPr>
                <w:rFonts w:ascii="Arial" w:cs="Arial" w:eastAsia="Arial" w:hAnsi="Arial"/>
                <w:sz w:val="15"/>
                <w:szCs w:val="15"/>
                <w:color w:val="auto"/>
              </w:rPr>
              <w:t>104</w:t>
            </w: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9980" w:type="dxa"/>
            <w:vAlign w:val="bottom"/>
            <w:gridSpan w:val="2"/>
          </w:tcPr>
          <w:p>
            <w:pPr>
              <w:ind w:left="100"/>
              <w:spacing w:after="0"/>
              <w:rPr>
                <w:sz w:val="20"/>
                <w:szCs w:val="20"/>
                <w:color w:val="auto"/>
              </w:rPr>
            </w:pPr>
            <w:r>
              <w:rPr>
                <w:rFonts w:ascii="Arial" w:cs="Arial" w:eastAsia="Arial" w:hAnsi="Arial"/>
                <w:sz w:val="15"/>
                <w:szCs w:val="15"/>
                <w:color w:val="auto"/>
              </w:rPr>
              <w:t>Inline XBRL for the cover page of this Quarterly Report on Form 10-Q, included in the Exhibit 101 Inline XBRL Document Set.</w:t>
            </w: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*Filed herewith</w:t>
      </w:r>
    </w:p>
    <w:p>
      <w:pPr>
        <w:spacing w:after="0" w:line="1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**Furnished (and not filed) herewith pursuant to Item 601(b)(32)(ii)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49" w:name="page50"/>
    <w:bookmarkEnd w:id="49"/>
    <w:p>
      <w:pPr>
        <w:jc w:val="center"/>
        <w:ind w:right="100"/>
        <w:spacing w:after="0"/>
        <w:rPr>
          <w:sz w:val="20"/>
          <w:szCs w:val="20"/>
          <w:color w:val="auto"/>
        </w:rPr>
      </w:pPr>
      <w:r>
        <w:rPr>
          <w:rFonts w:ascii="Arial" w:cs="Arial" w:eastAsia="Arial" w:hAnsi="Arial"/>
          <w:sz w:val="22"/>
          <w:szCs w:val="22"/>
          <w:color w:val="1D2758"/>
        </w:rPr>
        <w:t>Signature</w:t>
      </w:r>
    </w:p>
    <w:p>
      <w:pPr>
        <w:spacing w:after="0" w:line="101" w:lineRule="exact"/>
        <w:rPr>
          <w:sz w:val="20"/>
          <w:szCs w:val="20"/>
          <w:color w:val="auto"/>
        </w:rPr>
      </w:pPr>
    </w:p>
    <w:p>
      <w:pPr>
        <w:ind w:right="100" w:firstLine="619"/>
        <w:spacing w:after="0" w:line="312"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tbl>
      <w:tblPr>
        <w:tblLayout w:type="fixed"/>
        <w:tblInd w:w="640" w:type="dxa"/>
        <w:tblCellMar>
          <w:top w:w="0" w:type="dxa"/>
          <w:left w:w="0" w:type="dxa"/>
          <w:bottom w:w="0" w:type="dxa"/>
          <w:right w:w="0" w:type="dxa"/>
        </w:tblCellMar>
      </w:tblPr>
      <w:tr>
        <w:trPr>
          <w:trHeight w:val="214"/>
        </w:trPr>
        <w:tc>
          <w:tcPr>
            <w:tcW w:w="660" w:type="dxa"/>
            <w:vAlign w:val="bottom"/>
          </w:tcPr>
          <w:p>
            <w:pPr>
              <w:spacing w:after="0"/>
              <w:rPr>
                <w:sz w:val="18"/>
                <w:szCs w:val="18"/>
                <w:color w:val="auto"/>
              </w:rPr>
            </w:pPr>
          </w:p>
        </w:tc>
        <w:tc>
          <w:tcPr>
            <w:tcW w:w="10040" w:type="dxa"/>
            <w:vAlign w:val="bottom"/>
            <w:gridSpan w:val="2"/>
          </w:tcPr>
          <w:p>
            <w:pPr>
              <w:ind w:left="3960"/>
              <w:spacing w:after="0"/>
              <w:rPr>
                <w:sz w:val="20"/>
                <w:szCs w:val="20"/>
                <w:color w:val="auto"/>
              </w:rPr>
            </w:pPr>
            <w:r>
              <w:rPr>
                <w:rFonts w:ascii="Arial" w:cs="Arial" w:eastAsia="Arial" w:hAnsi="Arial"/>
                <w:sz w:val="15"/>
                <w:szCs w:val="15"/>
                <w:b w:val="1"/>
                <w:bCs w:val="1"/>
                <w:color w:val="auto"/>
              </w:rPr>
              <w:t>WillScot Mobile Mini Holdings Corp.</w:t>
            </w:r>
          </w:p>
        </w:tc>
      </w:tr>
      <w:tr>
        <w:trPr>
          <w:trHeight w:val="405"/>
        </w:trPr>
        <w:tc>
          <w:tcPr>
            <w:tcW w:w="660" w:type="dxa"/>
            <w:vAlign w:val="bottom"/>
          </w:tcPr>
          <w:p>
            <w:pPr>
              <w:spacing w:after="0"/>
              <w:rPr>
                <w:sz w:val="24"/>
                <w:szCs w:val="24"/>
                <w:color w:val="auto"/>
              </w:rPr>
            </w:pPr>
          </w:p>
        </w:tc>
        <w:tc>
          <w:tcPr>
            <w:tcW w:w="4520" w:type="dxa"/>
            <w:vAlign w:val="bottom"/>
          </w:tcPr>
          <w:p>
            <w:pPr>
              <w:ind w:left="3960"/>
              <w:spacing w:after="0"/>
              <w:rPr>
                <w:sz w:val="20"/>
                <w:szCs w:val="20"/>
                <w:color w:val="auto"/>
              </w:rPr>
            </w:pPr>
            <w:r>
              <w:rPr>
                <w:rFonts w:ascii="Arial" w:cs="Arial" w:eastAsia="Arial" w:hAnsi="Arial"/>
                <w:sz w:val="15"/>
                <w:szCs w:val="15"/>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TIMOTHY D. BOSWELL</w:t>
            </w:r>
          </w:p>
        </w:tc>
      </w:tr>
      <w:tr>
        <w:trPr>
          <w:trHeight w:val="199"/>
        </w:trPr>
        <w:tc>
          <w:tcPr>
            <w:tcW w:w="660" w:type="dxa"/>
            <w:vAlign w:val="bottom"/>
          </w:tcPr>
          <w:p>
            <w:pPr>
              <w:spacing w:after="0"/>
              <w:rPr>
                <w:sz w:val="20"/>
                <w:szCs w:val="20"/>
                <w:color w:val="auto"/>
              </w:rPr>
            </w:pPr>
            <w:r>
              <w:rPr>
                <w:rFonts w:ascii="Arial" w:cs="Arial" w:eastAsia="Arial" w:hAnsi="Arial"/>
                <w:sz w:val="15"/>
                <w:szCs w:val="15"/>
                <w:color w:val="auto"/>
              </w:rPr>
              <w:t>Dated:</w:t>
            </w:r>
          </w:p>
        </w:tc>
        <w:tc>
          <w:tcPr>
            <w:tcW w:w="4520" w:type="dxa"/>
            <w:vAlign w:val="bottom"/>
          </w:tcPr>
          <w:p>
            <w:pPr>
              <w:ind w:left="200"/>
              <w:spacing w:after="0"/>
              <w:rPr>
                <w:sz w:val="20"/>
                <w:szCs w:val="20"/>
                <w:color w:val="auto"/>
              </w:rPr>
            </w:pPr>
            <w:r>
              <w:rPr>
                <w:rFonts w:ascii="Arial" w:cs="Arial" w:eastAsia="Arial" w:hAnsi="Arial"/>
                <w:sz w:val="15"/>
                <w:szCs w:val="15"/>
                <w:color w:val="auto"/>
              </w:rPr>
              <w:t>August 4, 2022</w:t>
            </w:r>
          </w:p>
        </w:tc>
        <w:tc>
          <w:tcPr>
            <w:tcW w:w="5520" w:type="dxa"/>
            <w:vAlign w:val="bottom"/>
          </w:tcPr>
          <w:p>
            <w:pPr>
              <w:ind w:left="20"/>
              <w:spacing w:after="0"/>
              <w:rPr>
                <w:sz w:val="20"/>
                <w:szCs w:val="20"/>
                <w:color w:val="auto"/>
              </w:rPr>
            </w:pPr>
            <w:r>
              <w:rPr>
                <w:rFonts w:ascii="Arial" w:cs="Arial" w:eastAsia="Arial" w:hAnsi="Arial"/>
                <w:sz w:val="15"/>
                <w:szCs w:val="15"/>
                <w:color w:val="auto"/>
              </w:rPr>
              <w:t>Timothy D. Boswell</w:t>
            </w:r>
          </w:p>
        </w:tc>
      </w:tr>
      <w:tr>
        <w:trPr>
          <w:trHeight w:val="157"/>
        </w:trPr>
        <w:tc>
          <w:tcPr>
            <w:tcW w:w="6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520" w:type="dxa"/>
            <w:vAlign w:val="bottom"/>
          </w:tcPr>
          <w:p>
            <w:pPr>
              <w:ind w:left="20"/>
              <w:spacing w:after="0" w:line="157" w:lineRule="exact"/>
              <w:rPr>
                <w:sz w:val="20"/>
                <w:szCs w:val="20"/>
                <w:color w:val="auto"/>
              </w:rPr>
            </w:pPr>
            <w:r>
              <w:rPr>
                <w:rFonts w:ascii="Arial" w:cs="Arial" w:eastAsia="Arial" w:hAnsi="Arial"/>
                <w:sz w:val="15"/>
                <w:szCs w:val="15"/>
                <w:i w:val="1"/>
                <w:iCs w:val="1"/>
                <w:color w:val="auto"/>
              </w:rPr>
              <w:t>President &amp; Chief Financial Officer (Principal Financial Officer and Duly Aut</w:t>
            </w:r>
          </w:p>
        </w:tc>
      </w:tr>
      <w:tr>
        <w:trPr>
          <w:trHeight w:val="204"/>
        </w:trPr>
        <w:tc>
          <w:tcPr>
            <w:tcW w:w="6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Arial" w:cs="Arial" w:eastAsia="Arial" w:hAnsi="Arial"/>
                <w:sz w:val="15"/>
                <w:szCs w:val="15"/>
                <w:i w:val="1"/>
                <w:iCs w:val="1"/>
                <w:color w:val="auto"/>
              </w:rPr>
              <w:t>Signing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340"/>
          </w:cols>
          <w:pgMar w:left="320" w:top="105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Bradley L. Soultz, certify that:</w:t>
      </w:r>
    </w:p>
    <w:p>
      <w:pPr>
        <w:spacing w:after="0" w:line="279" w:lineRule="exact"/>
        <w:rPr>
          <w:sz w:val="20"/>
          <w:szCs w:val="20"/>
          <w:color w:val="auto"/>
        </w:rPr>
      </w:pPr>
    </w:p>
    <w:p>
      <w:pPr>
        <w:ind w:left="180" w:hanging="177"/>
        <w:spacing w:after="0"/>
        <w:tabs>
          <w:tab w:leader="none" w:pos="1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2022</w:t>
      </w:r>
    </w:p>
    <w:p>
      <w:pPr>
        <w:spacing w:after="0" w:line="55"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17780</wp:posOffset>
            </wp:positionV>
            <wp:extent cx="28403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Chief Executive Officer and Director</w:t>
      </w:r>
    </w:p>
    <w:p>
      <w:pPr>
        <w:ind w:left="674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I, Timothy D. Boswell, certify that:</w:t>
      </w:r>
    </w:p>
    <w:p>
      <w:pPr>
        <w:spacing w:after="0" w:line="279" w:lineRule="exact"/>
        <w:rPr>
          <w:sz w:val="20"/>
          <w:szCs w:val="20"/>
          <w:color w:val="auto"/>
        </w:rPr>
      </w:pPr>
    </w:p>
    <w:p>
      <w:pPr>
        <w:ind w:left="180" w:hanging="177"/>
        <w:spacing w:after="0"/>
        <w:tabs>
          <w:tab w:leader="none" w:pos="1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WillScot Mobile Mini Corp.;</w:t>
      </w:r>
    </w:p>
    <w:p>
      <w:pPr>
        <w:spacing w:after="0" w:line="98" w:lineRule="exact"/>
        <w:rPr>
          <w:rFonts w:ascii="Arial" w:cs="Arial" w:eastAsia="Arial" w:hAnsi="Arial"/>
          <w:sz w:val="15"/>
          <w:szCs w:val="15"/>
          <w:color w:val="auto"/>
        </w:rPr>
      </w:pPr>
    </w:p>
    <w:p>
      <w:pPr>
        <w:ind w:firstLine="3"/>
        <w:spacing w:after="0" w:line="376" w:lineRule="auto"/>
        <w:tabs>
          <w:tab w:leader="none" w:pos="181"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5"/>
          <w:szCs w:val="15"/>
          <w:color w:val="auto"/>
        </w:rPr>
      </w:pPr>
    </w:p>
    <w:p>
      <w:pPr>
        <w:ind w:firstLine="3"/>
        <w:spacing w:after="0" w:line="376" w:lineRule="auto"/>
        <w:tabs>
          <w:tab w:leader="none" w:pos="197"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5"/>
          <w:szCs w:val="15"/>
          <w:color w:val="auto"/>
        </w:rPr>
      </w:pPr>
    </w:p>
    <w:p>
      <w:pPr>
        <w:ind w:firstLine="3"/>
        <w:spacing w:after="0" w:line="367" w:lineRule="auto"/>
        <w:tabs>
          <w:tab w:leader="none" w:pos="18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5"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08" w:val="left"/>
        </w:tabs>
        <w:numPr>
          <w:ilvl w:val="1"/>
          <w:numId w:val="16"/>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5"/>
          <w:szCs w:val="15"/>
          <w:color w:val="auto"/>
        </w:rPr>
      </w:pPr>
    </w:p>
    <w:p>
      <w:pPr>
        <w:ind w:left="620" w:firstLine="2"/>
        <w:spacing w:after="0" w:line="367" w:lineRule="auto"/>
        <w:tabs>
          <w:tab w:leader="none" w:pos="795" w:val="left"/>
        </w:tabs>
        <w:numPr>
          <w:ilvl w:val="1"/>
          <w:numId w:val="1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jc w:val="both"/>
        <w:ind w:left="620" w:firstLine="2"/>
        <w:spacing w:after="0" w:line="376" w:lineRule="auto"/>
        <w:tabs>
          <w:tab w:leader="none" w:pos="821" w:val="left"/>
        </w:tabs>
        <w:numPr>
          <w:ilvl w:val="1"/>
          <w:numId w:val="16"/>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5"/>
          <w:szCs w:val="15"/>
          <w:color w:val="auto"/>
        </w:rPr>
      </w:pPr>
    </w:p>
    <w:p>
      <w:pPr>
        <w:ind w:firstLine="3"/>
        <w:spacing w:after="0" w:line="376" w:lineRule="auto"/>
        <w:tabs>
          <w:tab w:leader="none" w:pos="1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5"/>
          <w:szCs w:val="15"/>
          <w:color w:val="auto"/>
        </w:rPr>
      </w:pPr>
    </w:p>
    <w:p>
      <w:pPr>
        <w:ind w:left="620" w:firstLine="2"/>
        <w:spacing w:after="0" w:line="367" w:lineRule="auto"/>
        <w:tabs>
          <w:tab w:leader="none" w:pos="81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5"/>
          <w:szCs w:val="15"/>
          <w:color w:val="auto"/>
        </w:rPr>
      </w:pPr>
    </w:p>
    <w:p>
      <w:pPr>
        <w:ind w:left="620" w:firstLine="2"/>
        <w:spacing w:after="0" w:line="420" w:lineRule="auto"/>
        <w:tabs>
          <w:tab w:leader="none" w:pos="817" w:val="left"/>
        </w:tabs>
        <w:numPr>
          <w:ilvl w:val="1"/>
          <w:numId w:val="1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2022</w:t>
      </w:r>
    </w:p>
    <w:p>
      <w:pPr>
        <w:spacing w:after="0" w:line="60"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4275455</wp:posOffset>
            </wp:positionH>
            <wp:positionV relativeFrom="paragraph">
              <wp:posOffset>20955</wp:posOffset>
            </wp:positionV>
            <wp:extent cx="28403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2840355" cy="8255"/>
                    </a:xfrm>
                    <a:prstGeom prst="rect">
                      <a:avLst/>
                    </a:prstGeom>
                    <a:noFill/>
                  </pic:spPr>
                </pic:pic>
              </a:graphicData>
            </a:graphic>
          </wp:anchor>
        </w:drawing>
      </w:r>
    </w:p>
    <w:p>
      <w:pPr>
        <w:spacing w:after="0" w:line="27"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6740"/>
        <w:spacing w:after="0"/>
        <w:rPr>
          <w:sz w:val="20"/>
          <w:szCs w:val="20"/>
          <w:color w:val="auto"/>
        </w:rPr>
      </w:pPr>
      <w:r>
        <w:rPr>
          <w:rFonts w:ascii="Arial" w:cs="Arial" w:eastAsia="Arial" w:hAnsi="Arial"/>
          <w:sz w:val="15"/>
          <w:szCs w:val="15"/>
          <w:i w:val="1"/>
          <w:iCs w:val="1"/>
          <w:color w:val="auto"/>
        </w:rPr>
        <w:t>President and Chief Financial Officer</w:t>
      </w:r>
    </w:p>
    <w:p>
      <w:pPr>
        <w:ind w:left="6740"/>
        <w:spacing w:after="0"/>
        <w:rPr>
          <w:sz w:val="20"/>
          <w:szCs w:val="20"/>
          <w:color w:val="auto"/>
        </w:rPr>
      </w:pPr>
      <w:r>
        <w:rPr>
          <w:rFonts w:ascii="Arial" w:cs="Arial" w:eastAsia="Arial" w:hAnsi="Arial"/>
          <w:sz w:val="15"/>
          <w:szCs w:val="15"/>
          <w:i w:val="1"/>
          <w:iCs w:val="1"/>
          <w:color w:val="auto"/>
        </w:rPr>
        <w:t>(Principal Financial Officer)</w:t>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384"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2022</w:t>
      </w:r>
    </w:p>
    <w:p>
      <w:pPr>
        <w:spacing w:after="0" w:line="98"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/s/ BRADLEY L. SOULTZ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4594225</wp:posOffset>
            </wp:positionH>
            <wp:positionV relativeFrom="paragraph">
              <wp:posOffset>20955</wp:posOffset>
            </wp:positionV>
            <wp:extent cx="25215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60"/>
        <w:spacing w:after="0"/>
        <w:rPr>
          <w:sz w:val="20"/>
          <w:szCs w:val="20"/>
          <w:color w:val="auto"/>
        </w:rPr>
      </w:pPr>
      <w:r>
        <w:rPr>
          <w:rFonts w:ascii="Arial" w:cs="Arial" w:eastAsia="Arial" w:hAnsi="Arial"/>
          <w:sz w:val="15"/>
          <w:szCs w:val="15"/>
          <w:color w:val="auto"/>
        </w:rPr>
        <w:t>Bradley L. Soultz</w:t>
      </w:r>
    </w:p>
    <w:p>
      <w:pPr>
        <w:spacing w:after="0" w:line="30" w:lineRule="exact"/>
        <w:rPr>
          <w:sz w:val="20"/>
          <w:szCs w:val="20"/>
          <w:color w:val="auto"/>
        </w:rPr>
      </w:pPr>
    </w:p>
    <w:p>
      <w:pPr>
        <w:ind w:left="7260"/>
        <w:spacing w:after="0"/>
        <w:rPr>
          <w:sz w:val="20"/>
          <w:szCs w:val="20"/>
          <w:color w:val="auto"/>
        </w:rPr>
      </w:pPr>
      <w:r>
        <w:rPr>
          <w:rFonts w:ascii="Arial" w:cs="Arial" w:eastAsia="Arial" w:hAnsi="Arial"/>
          <w:sz w:val="15"/>
          <w:szCs w:val="15"/>
          <w:i w:val="1"/>
          <w:iCs w:val="1"/>
          <w:color w:val="auto"/>
        </w:rPr>
        <w:t>Chief Executive Officer and Director (Principal Executive</w:t>
      </w:r>
    </w:p>
    <w:p>
      <w:pPr>
        <w:ind w:left="7260"/>
        <w:spacing w:after="0"/>
        <w:rPr>
          <w:sz w:val="20"/>
          <w:szCs w:val="20"/>
          <w:color w:val="auto"/>
        </w:rPr>
      </w:pPr>
      <w:r>
        <w:rPr>
          <w:rFonts w:ascii="Arial" w:cs="Arial" w:eastAsia="Arial" w:hAnsi="Arial"/>
          <w:sz w:val="15"/>
          <w:szCs w:val="15"/>
          <w:i w:val="1"/>
          <w:iCs w:val="1"/>
          <w:color w:val="auto"/>
        </w:rPr>
        <w:t>Officer)</w:t>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52" w:lineRule="exact"/>
        <w:rPr>
          <w:sz w:val="20"/>
          <w:szCs w:val="20"/>
          <w:color w:val="auto"/>
        </w:rPr>
      </w:pPr>
    </w:p>
    <w:p>
      <w:pPr>
        <w:ind w:firstLine="309"/>
        <w:spacing w:after="0" w:line="367" w:lineRule="auto"/>
        <w:rPr>
          <w:sz w:val="20"/>
          <w:szCs w:val="20"/>
          <w:color w:val="auto"/>
        </w:rPr>
      </w:pPr>
      <w:r>
        <w:rPr>
          <w:rFonts w:ascii="Arial" w:cs="Arial" w:eastAsia="Arial" w:hAnsi="Arial"/>
          <w:sz w:val="15"/>
          <w:szCs w:val="15"/>
          <w:color w:val="auto"/>
        </w:rPr>
        <w:t>Pursuant to 18 U.S.C. Section 1350, as created by Section 906 of the Sarbanes-Oxley Act of 2002, the undersigned officer of WillScot Mobile Mini Corp. (the “Company”) hereby certifies, to such officer's knowledge, that:</w:t>
      </w:r>
    </w:p>
    <w:p>
      <w:pPr>
        <w:spacing w:after="0" w:line="1" w:lineRule="exact"/>
        <w:rPr>
          <w:sz w:val="20"/>
          <w:szCs w:val="20"/>
          <w:color w:val="auto"/>
        </w:rPr>
      </w:pPr>
    </w:p>
    <w:p>
      <w:pPr>
        <w:ind w:left="620" w:firstLine="2"/>
        <w:spacing w:after="0" w:line="376" w:lineRule="auto"/>
        <w:tabs>
          <w:tab w:leader="none" w:pos="838"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quarterly report on Form 10-Q of the Company for the period ended June 30, 2022 (the “Report”) fully complies with the requirements of Section 13(a) or Section 15(d), as applicable, of the Securities Exchange Act of 1934, as amended; and</w:t>
      </w:r>
    </w:p>
    <w:p>
      <w:pPr>
        <w:spacing w:after="0" w:line="1" w:lineRule="exact"/>
        <w:rPr>
          <w:rFonts w:ascii="Arial" w:cs="Arial" w:eastAsia="Arial" w:hAnsi="Arial"/>
          <w:sz w:val="15"/>
          <w:szCs w:val="15"/>
          <w:color w:val="auto"/>
        </w:rPr>
      </w:pPr>
    </w:p>
    <w:p>
      <w:pPr>
        <w:ind w:left="840" w:hanging="218"/>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Date: August 4, 2022</w:t>
      </w:r>
    </w:p>
    <w:p>
      <w:pPr>
        <w:spacing w:after="0" w:line="98"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/s/ TIMOTHY D.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4586605</wp:posOffset>
            </wp:positionH>
            <wp:positionV relativeFrom="paragraph">
              <wp:posOffset>20955</wp:posOffset>
            </wp:positionV>
            <wp:extent cx="25215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Timothy D. Boswell</w:t>
      </w:r>
    </w:p>
    <w:p>
      <w:pPr>
        <w:spacing w:after="0" w:line="30" w:lineRule="exact"/>
        <w:rPr>
          <w:sz w:val="20"/>
          <w:szCs w:val="20"/>
          <w:color w:val="auto"/>
        </w:rPr>
      </w:pPr>
    </w:p>
    <w:p>
      <w:pPr>
        <w:ind w:left="7240"/>
        <w:spacing w:after="0"/>
        <w:rPr>
          <w:sz w:val="20"/>
          <w:szCs w:val="20"/>
          <w:color w:val="auto"/>
        </w:rPr>
      </w:pPr>
      <w:r>
        <w:rPr>
          <w:rFonts w:ascii="Arial" w:cs="Arial" w:eastAsia="Arial" w:hAnsi="Arial"/>
          <w:sz w:val="15"/>
          <w:szCs w:val="15"/>
          <w:i w:val="1"/>
          <w:iCs w:val="1"/>
          <w:color w:val="auto"/>
        </w:rPr>
        <w:t>President and Chief Financial Officer (Principal Financial</w:t>
      </w:r>
    </w:p>
    <w:p>
      <w:pPr>
        <w:ind w:left="7240"/>
        <w:spacing w:after="0"/>
        <w:rPr>
          <w:sz w:val="20"/>
          <w:szCs w:val="20"/>
          <w:color w:val="auto"/>
        </w:rPr>
      </w:pPr>
      <w:r>
        <w:rPr>
          <w:rFonts w:ascii="Arial" w:cs="Arial" w:eastAsia="Arial" w:hAnsi="Arial"/>
          <w:sz w:val="15"/>
          <w:szCs w:val="15"/>
          <w:i w:val="1"/>
          <w:iCs w:val="1"/>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lvl w:ilvl="1">
      <w:lvlJc w:val="left"/>
      <w:lvlText w:val="\endash "/>
      <w:numFmt w:val="bullet"/>
      <w:start w:val="1"/>
    </w:lvl>
  </w:abstractNum>
  <w:abstractNum w:abstractNumId="7">
    <w:nsid w:val="3352255A"/>
    <w:multiLevelType w:val="hybridMultilevel"/>
    <w:lvl w:ilvl="0">
      <w:lvlJc w:val="left"/>
      <w:lvlText w:val="•"/>
      <w:numFmt w:val="bullet"/>
      <w:start w:val="1"/>
    </w:lvl>
    <w:lvl w:ilvl="1">
      <w:lvlJc w:val="left"/>
      <w:lvlText w:val="\endash "/>
      <w:numFmt w:val="bullet"/>
      <w:start w:val="1"/>
    </w:lvl>
  </w:abstractNum>
  <w:abstractNum w:abstractNumId="8">
    <w:nsid w:val="109CF92E"/>
    <w:multiLevelType w:val="hybridMultilevel"/>
    <w:lvl w:ilvl="0">
      <w:lvlJc w:val="left"/>
      <w:lvlText w:val="•"/>
      <w:numFmt w:val="bullet"/>
      <w:start w:val="1"/>
    </w:lvl>
    <w:lvl w:ilvl="1">
      <w:lvlJc w:val="left"/>
      <w:lvlText w:val="•"/>
      <w:numFmt w:val="bullet"/>
      <w:start w:val="1"/>
    </w:lvl>
  </w:abstractNum>
  <w:abstractNum w:abstractNumId="9">
    <w:nsid w:val="DED7263"/>
    <w:multiLevelType w:val="hybridMultilevel"/>
    <w:lvl w:ilvl="0">
      <w:lvlJc w:val="left"/>
      <w:lvlText w:val="•"/>
      <w:numFmt w:val="bullet"/>
      <w:start w:val="1"/>
    </w:lvl>
    <w:lvl w:ilvl="1">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lowerRoman"/>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72" Type="http://schemas.openxmlformats.org/officeDocument/2006/relationships/hyperlink" Target="https://www.sec.gov/Archives/edgar/data/0001647088/000110465920079822/tm2023606d1_ex3-1b.htm" TargetMode="External"/><Relationship Id="rId73" Type="http://schemas.openxmlformats.org/officeDocument/2006/relationships/hyperlink" Target="https://www.sec.gov/Archives/edgar/data/0001647088/000110465921082131/tm2119974d1_ex3-1.htm" TargetMode="External"/><Relationship Id="rId74" Type="http://schemas.openxmlformats.org/officeDocument/2006/relationships/hyperlink" Target="https://www.sec.gov/Archives/edgar/data/0001647088/000110465922068084/tm2217549d1_ex3-1.htm" TargetMode="External"/><Relationship Id="rId75" Type="http://schemas.openxmlformats.org/officeDocument/2006/relationships/hyperlink" Target="https://www.sec.gov/Archives/edgar/data/0001647088/000110465922050398/tm2213534d1_ex10-1.htm" TargetMode="External"/><Relationship Id="rId76" Type="http://schemas.openxmlformats.org/officeDocument/2006/relationships/hyperlink" Target="https://www.sec.gov/Archives/edgar/data/1647088/000110465922068620/tm2217823d1_ex10-1.htm" TargetMode="External"/><Relationship Id="rId77" Type="http://schemas.openxmlformats.org/officeDocument/2006/relationships/hyperlink" Target="https://www.sec.gov/Archives/edgar/data/1647088/000110465922076460/tm222011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2022-08-04T10:56:34Z</dcterms:created>
  <dcterms:modified xsi:type="dcterms:W3CDTF">2022-08-04T10:56:34Z</dcterms:modified>
</cp:coreProperties>
</file>