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 w:after="283"/>
        <w:ind w:left="0" w:right="0" w:firstLine="72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1"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8" w:after="283"/>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FORM 8-K/A</w:t>
      </w:r>
    </w:p>
    <w:p>
      <w:pPr>
        <w:pStyle w:val="TextBody"/>
        <w:bidi w:val="0"/>
        <w:spacing w:lineRule="auto" w:line="288" w:before="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55"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2" w:after="283"/>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 (June 5, 2026)</w:t>
      </w:r>
    </w:p>
    <w:p>
      <w:pPr>
        <w:pStyle w:val="TextBody"/>
        <w:bidi w:val="0"/>
        <w:spacing w:before="0" w:after="16"/>
        <w:jc w:val="center"/>
        <w:rPr/>
      </w:pPr>
      <w:r>
        <w:rPr/>
        <w:drawing>
          <wp:inline distT="0" distB="0" distL="0" distR="0">
            <wp:extent cx="20383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85800"/>
                    </a:xfrm>
                    <a:prstGeom prst="rect">
                      <a:avLst/>
                    </a:prstGeom>
                  </pic:spPr>
                </pic:pic>
              </a:graphicData>
            </a:graphic>
          </wp:inline>
        </w:drawing>
      </w:r>
      <w:bookmarkStart w:id="0" w:name="i-1"/>
      <w:bookmarkEnd w:id="0"/>
    </w:p>
    <w:p>
      <w:pPr>
        <w:pStyle w:val="TextBody"/>
        <w:bidi w:val="0"/>
        <w:spacing w:lineRule="auto" w:line="288" w:before="0" w:after="19"/>
        <w:jc w:val="center"/>
        <w:rPr>
          <w:rFonts w:ascii="Times New Roman;serif" w:hAnsi="Times New Roman;serif"/>
          <w:b/>
          <w:color w:val="000000"/>
          <w:sz w:val="36"/>
        </w:rPr>
      </w:pPr>
      <w:r>
        <w:rPr>
          <w:rFonts w:ascii="Times New Roman;serif" w:hAnsi="Times New Roman;serif"/>
          <w:b/>
          <w:color w:val="000000"/>
          <w:sz w:val="36"/>
        </w:rPr>
        <w:t>WILLSCOT HOLDINGS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6" w:after="283"/>
        <w:jc w:val="center"/>
        <w:rPr/>
      </w:pPr>
      <w:r>
        <w:rPr/>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001-37552</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82-3430194</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6400 East McDowell Road, Suite 300</w:t>
      </w:r>
    </w:p>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Scottsdale, Arizona 85257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of principal executive offices)</w:t>
      </w:r>
    </w:p>
    <w:p>
      <w:pPr>
        <w:pStyle w:val="TextBody"/>
        <w:bidi w:val="0"/>
        <w:spacing w:before="0" w:after="0"/>
        <w:jc w:val="center"/>
        <w:rPr/>
      </w:pPr>
      <w:r>
        <w:rPr/>
      </w:r>
    </w:p>
    <w:p>
      <w:pPr>
        <w:pStyle w:val="TextBody"/>
        <w:bidi w:val="0"/>
        <w:spacing w:lineRule="auto" w:line="230" w:before="0" w:after="0"/>
        <w:jc w:val="center"/>
        <w:rPr>
          <w:rFonts w:ascii="Times New Roman;serif" w:hAnsi="Times New Roman;serif"/>
          <w:b/>
          <w:color w:val="000000"/>
          <w:sz w:val="20"/>
        </w:rPr>
      </w:pPr>
      <w:r>
        <w:rPr>
          <w:rFonts w:ascii="Times New Roman;serif" w:hAnsi="Times New Roman;serif"/>
          <w:b/>
          <w:color w:val="000000"/>
          <w:sz w:val="20"/>
        </w:rPr>
        <w:t>(480) 894-6311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30" w:before="0" w:after="0"/>
        <w:ind w:left="0" w:right="0" w:firstLine="52"/>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3" w:before="0" w:after="0"/>
        <w:ind w:left="0" w:right="0" w:firstLine="52"/>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Pre commencement communications pursuant to Rule 13e-4(c) under the Exchange Act (17 CFR 240.13e-4(c))</w:t>
      </w:r>
    </w:p>
    <w:p>
      <w:pPr>
        <w:pStyle w:val="TextBody"/>
        <w:bidi w:val="0"/>
        <w:spacing w:before="0" w:after="0"/>
        <w:ind w:left="0" w:right="0" w:hanging="3"/>
        <w:jc w:val="left"/>
        <w:rPr/>
      </w:pPr>
      <w:r>
        <w:rPr/>
      </w:r>
    </w:p>
    <w:p>
      <w:pPr>
        <w:pStyle w:val="TextBody"/>
        <w:bidi w:val="0"/>
        <w:spacing w:lineRule="auto" w:line="268" w:before="0" w:after="0"/>
        <w:ind w:left="0" w:right="0" w:hanging="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before="7" w:after="283"/>
        <w:jc w:val="left"/>
        <w:rPr/>
      </w:pPr>
      <w:r>
        <w:rPr/>
      </w:r>
    </w:p>
    <w:tbl>
      <w:tblPr>
        <w:tblW w:w="9194" w:type="dxa"/>
        <w:jc w:val="center"/>
        <w:tblInd w:w="0" w:type="dxa"/>
        <w:tblLayout w:type="fixed"/>
        <w:tblCellMar>
          <w:top w:w="28" w:type="dxa"/>
          <w:left w:w="28" w:type="dxa"/>
          <w:bottom w:w="28" w:type="dxa"/>
          <w:right w:w="28" w:type="dxa"/>
        </w:tblCellMar>
      </w:tblPr>
      <w:tblGrid>
        <w:gridCol w:w="1328"/>
        <w:gridCol w:w="1167"/>
        <w:gridCol w:w="1180"/>
        <w:gridCol w:w="564"/>
        <w:gridCol w:w="564"/>
        <w:gridCol w:w="566"/>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6"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WSC</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(this “Amendment”) is being filed as an amendment to the Current Report on Form 8-K filed by WillScot Holdings Corporation (the “Company”) on June 8, 2026 (the “Original Form 8</w:t>
        <w:noBreakHyphen/>
        <w:t>K”). The Original Form 8-K was filed with the U.S. Securities and Exchange Commission (the “SEC”) to report the results of the matters submitted to a vote of the stockholders at the 2026 Annual Meeting of Stockholders of the Company held on June 5, 2026 (the “Annual Meeting”). The sole purpose of this Amendment is to update disclosures made under Item 5.07, Submission of Matters to a Vote of Security Holders, in the Original Form 8-K. Except as set forth herein, no other modifications have been made to the Original Form 8-K.</w:t>
      </w:r>
    </w:p>
    <w:p>
      <w:pPr>
        <w:pStyle w:val="TextBody"/>
        <w:bidi w:val="0"/>
        <w:spacing w:before="0" w:after="0"/>
        <w:jc w:val="both"/>
        <w:rPr/>
      </w:pPr>
      <w:r>
        <w:rPr/>
      </w:r>
    </w:p>
    <w:tbl>
      <w:tblPr>
        <w:tblW w:w="5413" w:type="dxa"/>
        <w:jc w:val="left"/>
        <w:tblInd w:w="0" w:type="dxa"/>
        <w:tblLayout w:type="fixed"/>
        <w:tblCellMar>
          <w:top w:w="28" w:type="dxa"/>
          <w:left w:w="28" w:type="dxa"/>
          <w:bottom w:w="28" w:type="dxa"/>
          <w:right w:w="28" w:type="dxa"/>
        </w:tblCellMar>
      </w:tblPr>
      <w:tblGrid>
        <w:gridCol w:w="331"/>
        <w:gridCol w:w="290"/>
        <w:gridCol w:w="293"/>
        <w:gridCol w:w="1316"/>
        <w:gridCol w:w="1316"/>
        <w:gridCol w:w="186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Original Form 8-K, at the Annual Meeting, in a non-binding, advisory vote, the Company’s stockholders, consistent with the recommendation of the board of directors of the Company (the “Board”), voted in favor of holding future non-binding, advisory votes on the compensation paid to the Company’s named executive officers (“say-on-pay”) every year. In accordance with this result and its previous recommendation, the Board determined that the Company intends to hold future say-on-pay votes every year until the next required vote on the frequency of such say-on-pay votes.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62" w:after="283"/>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438" w:type="dxa"/>
        <w:jc w:val="left"/>
        <w:tblInd w:w="0" w:type="dxa"/>
        <w:tblLayout w:type="fixed"/>
        <w:tblCellMar>
          <w:top w:w="28" w:type="dxa"/>
          <w:left w:w="28" w:type="dxa"/>
          <w:bottom w:w="28" w:type="dxa"/>
          <w:right w:w="28" w:type="dxa"/>
        </w:tblCellMar>
      </w:tblPr>
      <w:tblGrid>
        <w:gridCol w:w="743"/>
        <w:gridCol w:w="653"/>
        <w:gridCol w:w="659"/>
        <w:gridCol w:w="436"/>
        <w:gridCol w:w="436"/>
        <w:gridCol w:w="436"/>
        <w:gridCol w:w="1769"/>
        <w:gridCol w:w="1769"/>
        <w:gridCol w:w="253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WillScot Holdings Corporation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 Gary Shullaw</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S. Gary Shullaw</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Chief Legal Officer, and Corporate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3216</Characters>
  <CharactersWithSpaces>3780</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