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1480" w:hanging="831"/>
        <w:spacing w:after="0"/>
        <w:tabs>
          <w:tab w:leader="none" w:pos="148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7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3800" w:right="2400" w:hanging="3151"/>
        <w:spacing w:after="0" w:line="205" w:lineRule="auto"/>
        <w:tabs>
          <w:tab w:leader="none" w:pos="1475"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91"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94615</wp:posOffset>
            </wp:positionV>
            <wp:extent cx="288036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WILLSCOT MOBILE MINI HOLDINGS CORP.</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jc w:val="center"/>
              <w:ind w:right="348"/>
              <w:spacing w:after="0"/>
              <w:rPr>
                <w:sz w:val="20"/>
                <w:szCs w:val="20"/>
                <w:color w:val="auto"/>
              </w:rPr>
            </w:pPr>
            <w:r>
              <w:rPr>
                <w:rFonts w:ascii="Arial" w:cs="Arial" w:eastAsia="Arial" w:hAnsi="Arial"/>
                <w:sz w:val="14"/>
                <w:szCs w:val="14"/>
                <w:b w:val="1"/>
                <w:bCs w:val="1"/>
                <w:color w:val="auto"/>
              </w:rPr>
              <w:t>Delaware</w:t>
            </w:r>
          </w:p>
        </w:tc>
        <w:tc>
          <w:tcPr>
            <w:tcW w:w="3280" w:type="dxa"/>
            <w:vAlign w:val="bottom"/>
          </w:tcPr>
          <w:p>
            <w:pPr>
              <w:spacing w:after="0"/>
              <w:rPr>
                <w:sz w:val="16"/>
                <w:szCs w:val="16"/>
                <w:color w:val="auto"/>
              </w:rPr>
            </w:pPr>
          </w:p>
        </w:tc>
        <w:tc>
          <w:tcPr>
            <w:tcW w:w="3700" w:type="dxa"/>
            <w:vAlign w:val="bottom"/>
          </w:tcPr>
          <w:p>
            <w:pPr>
              <w:jc w:val="right"/>
              <w:ind w:right="1448"/>
              <w:spacing w:after="0"/>
              <w:rPr>
                <w:sz w:val="20"/>
                <w:szCs w:val="20"/>
                <w:color w:val="auto"/>
              </w:rPr>
            </w:pPr>
            <w:r>
              <w:rPr>
                <w:rFonts w:ascii="Arial" w:cs="Arial" w:eastAsia="Arial" w:hAnsi="Arial"/>
                <w:sz w:val="14"/>
                <w:szCs w:val="14"/>
                <w:b w:val="1"/>
                <w:bCs w:val="1"/>
                <w:color w:val="auto"/>
              </w:rPr>
              <w:t>82-3430194</w:t>
            </w:r>
          </w:p>
        </w:tc>
      </w:tr>
      <w:tr>
        <w:trPr>
          <w:trHeight w:val="216"/>
        </w:trPr>
        <w:tc>
          <w:tcPr>
            <w:tcW w:w="4260" w:type="dxa"/>
            <w:vAlign w:val="bottom"/>
          </w:tcPr>
          <w:p>
            <w:pPr>
              <w:jc w:val="center"/>
              <w:ind w:right="348"/>
              <w:spacing w:after="0"/>
              <w:rPr>
                <w:sz w:val="20"/>
                <w:szCs w:val="20"/>
                <w:color w:val="auto"/>
              </w:rPr>
            </w:pPr>
            <w:r>
              <w:rPr>
                <w:rFonts w:ascii="Arial" w:cs="Arial" w:eastAsia="Arial" w:hAnsi="Arial"/>
                <w:sz w:val="14"/>
                <w:szCs w:val="14"/>
                <w:color w:val="auto"/>
              </w:rPr>
              <w:t>(State or other jurisdiction of incorporation)</w:t>
            </w:r>
          </w:p>
        </w:tc>
        <w:tc>
          <w:tcPr>
            <w:tcW w:w="328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4"/>
                <w:szCs w:val="14"/>
                <w:color w:val="auto"/>
              </w:rPr>
              <w:t>(I.R.S. Employer Identification No.)</w:t>
            </w:r>
          </w:p>
        </w:tc>
      </w:tr>
      <w:tr>
        <w:trPr>
          <w:trHeight w:val="269"/>
        </w:trPr>
        <w:tc>
          <w:tcPr>
            <w:tcW w:w="4260" w:type="dxa"/>
            <w:vAlign w:val="bottom"/>
          </w:tcPr>
          <w:p>
            <w:pPr>
              <w:spacing w:after="0"/>
              <w:rPr>
                <w:sz w:val="23"/>
                <w:szCs w:val="23"/>
                <w:color w:val="auto"/>
              </w:rPr>
            </w:pPr>
          </w:p>
        </w:tc>
        <w:tc>
          <w:tcPr>
            <w:tcW w:w="3280" w:type="dxa"/>
            <w:vAlign w:val="bottom"/>
          </w:tcPr>
          <w:p>
            <w:pPr>
              <w:jc w:val="center"/>
              <w:ind w:right="468"/>
              <w:spacing w:after="0"/>
              <w:rPr>
                <w:sz w:val="20"/>
                <w:szCs w:val="20"/>
                <w:color w:val="auto"/>
              </w:rPr>
            </w:pPr>
            <w:r>
              <w:rPr>
                <w:rFonts w:ascii="Arial" w:cs="Arial" w:eastAsia="Arial" w:hAnsi="Arial"/>
                <w:sz w:val="14"/>
                <w:szCs w:val="14"/>
                <w:b w:val="1"/>
                <w:bCs w:val="1"/>
                <w:color w:val="auto"/>
              </w:rPr>
              <w:t>4646 E Van Buren St., Suite 400</w:t>
            </w:r>
          </w:p>
        </w:tc>
        <w:tc>
          <w:tcPr>
            <w:tcW w:w="3700" w:type="dxa"/>
            <w:vAlign w:val="bottom"/>
          </w:tcPr>
          <w:p>
            <w:pPr>
              <w:spacing w:after="0"/>
              <w:rPr>
                <w:sz w:val="23"/>
                <w:szCs w:val="23"/>
                <w:color w:val="auto"/>
              </w:rPr>
            </w:pPr>
          </w:p>
        </w:tc>
      </w:tr>
      <w:tr>
        <w:trPr>
          <w:trHeight w:val="180"/>
        </w:trPr>
        <w:tc>
          <w:tcPr>
            <w:tcW w:w="4260" w:type="dxa"/>
            <w:vAlign w:val="bottom"/>
          </w:tcPr>
          <w:p>
            <w:pPr>
              <w:spacing w:after="0"/>
              <w:rPr>
                <w:sz w:val="15"/>
                <w:szCs w:val="15"/>
                <w:color w:val="auto"/>
              </w:rPr>
            </w:pPr>
          </w:p>
        </w:tc>
        <w:tc>
          <w:tcPr>
            <w:tcW w:w="3280" w:type="dxa"/>
            <w:vAlign w:val="bottom"/>
          </w:tcPr>
          <w:p>
            <w:pPr>
              <w:jc w:val="center"/>
              <w:ind w:right="488"/>
              <w:spacing w:after="0"/>
              <w:rPr>
                <w:sz w:val="20"/>
                <w:szCs w:val="20"/>
                <w:color w:val="auto"/>
              </w:rPr>
            </w:pPr>
            <w:r>
              <w:rPr>
                <w:rFonts w:ascii="Arial" w:cs="Arial" w:eastAsia="Arial" w:hAnsi="Arial"/>
                <w:sz w:val="14"/>
                <w:szCs w:val="14"/>
                <w:b w:val="1"/>
                <w:bCs w:val="1"/>
                <w:color w:val="auto"/>
              </w:rPr>
              <w:t>Phoenix, Arizona 85008</w:t>
            </w:r>
          </w:p>
        </w:tc>
        <w:tc>
          <w:tcPr>
            <w:tcW w:w="3700" w:type="dxa"/>
            <w:vAlign w:val="bottom"/>
          </w:tcPr>
          <w:p>
            <w:pPr>
              <w:spacing w:after="0"/>
              <w:rPr>
                <w:sz w:val="15"/>
                <w:szCs w:val="15"/>
                <w:color w:val="auto"/>
              </w:rPr>
            </w:pPr>
          </w:p>
        </w:tc>
      </w:tr>
      <w:tr>
        <w:trPr>
          <w:trHeight w:val="172"/>
        </w:trPr>
        <w:tc>
          <w:tcPr>
            <w:tcW w:w="7540" w:type="dxa"/>
            <w:vAlign w:val="bottom"/>
            <w:gridSpan w:val="2"/>
          </w:tcPr>
          <w:p>
            <w:pPr>
              <w:jc w:val="center"/>
              <w:ind w:left="3628"/>
              <w:spacing w:after="0"/>
              <w:rPr>
                <w:sz w:val="20"/>
                <w:szCs w:val="20"/>
                <w:color w:val="auto"/>
              </w:rPr>
            </w:pPr>
            <w:r>
              <w:rPr>
                <w:rFonts w:ascii="Arial" w:cs="Arial" w:eastAsia="Arial" w:hAnsi="Arial"/>
                <w:sz w:val="14"/>
                <w:szCs w:val="14"/>
                <w:color w:val="auto"/>
              </w:rPr>
              <w:t>(Address, including zip code, of principal executive offices)</w:t>
            </w:r>
          </w:p>
        </w:tc>
        <w:tc>
          <w:tcPr>
            <w:tcW w:w="3700" w:type="dxa"/>
            <w:vAlign w:val="bottom"/>
          </w:tcPr>
          <w:p>
            <w:pPr>
              <w:spacing w:after="0"/>
              <w:rPr>
                <w:sz w:val="14"/>
                <w:szCs w:val="14"/>
                <w:color w:val="auto"/>
              </w:rPr>
            </w:pPr>
          </w:p>
        </w:tc>
      </w:tr>
      <w:tr>
        <w:trPr>
          <w:trHeight w:val="395"/>
        </w:trPr>
        <w:tc>
          <w:tcPr>
            <w:tcW w:w="4260" w:type="dxa"/>
            <w:vAlign w:val="bottom"/>
          </w:tcPr>
          <w:p>
            <w:pPr>
              <w:spacing w:after="0"/>
              <w:rPr>
                <w:sz w:val="24"/>
                <w:szCs w:val="24"/>
                <w:color w:val="auto"/>
              </w:rPr>
            </w:pPr>
          </w:p>
        </w:tc>
        <w:tc>
          <w:tcPr>
            <w:tcW w:w="3280" w:type="dxa"/>
            <w:vAlign w:val="bottom"/>
          </w:tcPr>
          <w:p>
            <w:pPr>
              <w:jc w:val="center"/>
              <w:ind w:right="468"/>
              <w:spacing w:after="0"/>
              <w:rPr>
                <w:sz w:val="20"/>
                <w:szCs w:val="20"/>
                <w:color w:val="auto"/>
              </w:rPr>
            </w:pPr>
            <w:r>
              <w:rPr>
                <w:rFonts w:ascii="Arial" w:cs="Arial" w:eastAsia="Arial" w:hAnsi="Arial"/>
                <w:sz w:val="14"/>
                <w:szCs w:val="14"/>
                <w:b w:val="1"/>
                <w:bCs w:val="1"/>
                <w:color w:val="auto"/>
              </w:rPr>
              <w:t>(480) 894-6311</w:t>
            </w:r>
          </w:p>
        </w:tc>
        <w:tc>
          <w:tcPr>
            <w:tcW w:w="3700" w:type="dxa"/>
            <w:vAlign w:val="bottom"/>
          </w:tcPr>
          <w:p>
            <w:pPr>
              <w:spacing w:after="0"/>
              <w:rPr>
                <w:sz w:val="24"/>
                <w:szCs w:val="24"/>
                <w:color w:val="auto"/>
              </w:rPr>
            </w:pPr>
          </w:p>
        </w:tc>
      </w:tr>
      <w:tr>
        <w:trPr>
          <w:trHeight w:val="172"/>
        </w:trPr>
        <w:tc>
          <w:tcPr>
            <w:tcW w:w="7540" w:type="dxa"/>
            <w:vAlign w:val="bottom"/>
            <w:gridSpan w:val="2"/>
          </w:tcPr>
          <w:p>
            <w:pPr>
              <w:jc w:val="center"/>
              <w:ind w:left="3648"/>
              <w:spacing w:after="0"/>
              <w:rPr>
                <w:sz w:val="20"/>
                <w:szCs w:val="20"/>
                <w:color w:val="auto"/>
              </w:rPr>
            </w:pPr>
            <w:r>
              <w:rPr>
                <w:rFonts w:ascii="Arial" w:cs="Arial" w:eastAsia="Arial" w:hAnsi="Arial"/>
                <w:sz w:val="14"/>
                <w:szCs w:val="14"/>
                <w:color w:val="auto"/>
              </w:rPr>
              <w:t>(Registrant’s telephone number, including area code)</w:t>
            </w:r>
          </w:p>
        </w:tc>
        <w:tc>
          <w:tcPr>
            <w:tcW w:w="3700" w:type="dxa"/>
            <w:vAlign w:val="bottom"/>
          </w:tcPr>
          <w:p>
            <w:pPr>
              <w:spacing w:after="0"/>
              <w:rPr>
                <w:sz w:val="14"/>
                <w:szCs w:val="14"/>
                <w:color w:val="auto"/>
              </w:rPr>
            </w:pPr>
          </w:p>
        </w:tc>
      </w:tr>
      <w:tr>
        <w:trPr>
          <w:trHeight w:val="270"/>
        </w:trPr>
        <w:tc>
          <w:tcPr>
            <w:tcW w:w="11240" w:type="dxa"/>
            <w:vAlign w:val="bottom"/>
            <w:gridSpan w:val="3"/>
          </w:tcPr>
          <w:p>
            <w:pPr>
              <w:jc w:val="center"/>
              <w:spacing w:after="0"/>
              <w:rPr>
                <w:sz w:val="20"/>
                <w:szCs w:val="20"/>
                <w:color w:val="auto"/>
              </w:rPr>
            </w:pPr>
            <w:r>
              <w:rPr>
                <w:rFonts w:ascii="Arial" w:cs="Arial" w:eastAsia="Arial" w:hAnsi="Arial"/>
                <w:sz w:val="14"/>
                <w:szCs w:val="14"/>
                <w:color w:val="auto"/>
              </w:rPr>
              <w:t>(Former Name or Former Address, if Changed Since Last Report)</w:t>
            </w:r>
          </w:p>
        </w:tc>
      </w:tr>
      <w:tr>
        <w:trPr>
          <w:trHeight w:val="405"/>
        </w:trPr>
        <w:tc>
          <w:tcPr>
            <w:tcW w:w="42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2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2"/>
        </w:trPr>
        <w:tc>
          <w:tcPr>
            <w:tcW w:w="426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rPr>
              <w:t>Title of each class</w:t>
            </w:r>
          </w:p>
        </w:tc>
        <w:tc>
          <w:tcPr>
            <w:tcW w:w="32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Trading Symbol(s)</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5"/>
        </w:trPr>
        <w:tc>
          <w:tcPr>
            <w:tcW w:w="426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color w:val="auto"/>
              </w:rPr>
              <w:t>Common Stock, par value $0.0001 per share</w:t>
            </w:r>
          </w:p>
        </w:tc>
        <w:tc>
          <w:tcPr>
            <w:tcW w:w="32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WSC</w:t>
            </w:r>
          </w:p>
        </w:tc>
        <w:tc>
          <w:tcPr>
            <w:tcW w:w="37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The Nasdaq Capital Market</w:t>
            </w:r>
          </w:p>
        </w:tc>
      </w:tr>
    </w:tbl>
    <w:p>
      <w:pPr>
        <w:spacing w:after="0" w:line="113" w:lineRule="exact"/>
        <w:rPr>
          <w:sz w:val="24"/>
          <w:szCs w:val="24"/>
          <w:color w:val="auto"/>
        </w:rPr>
      </w:pPr>
    </w:p>
    <w:p>
      <w:pPr>
        <w:jc w:val="both"/>
        <w:ind w:firstLine="648"/>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20" w:firstLine="64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p>
      <w:pPr>
        <w:ind w:left="20"/>
        <w:spacing w:after="0" w:line="161" w:lineRule="exact"/>
        <w:tabs>
          <w:tab w:leader="none" w:pos="56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64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6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jc w:val="both"/>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660" w:right="324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227,721,220 shares at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3"/>
          <w:szCs w:val="23"/>
          <w:b w:val="1"/>
          <w:bCs w:val="1"/>
          <w:color w:val="1D2758"/>
        </w:rPr>
        <w:t>WILLSCOT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1D2758"/>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Table of Contents</w:t>
      </w:r>
    </w:p>
    <w:p>
      <w:pPr>
        <w:spacing w:after="0" w:line="267" w:lineRule="exact"/>
        <w:rPr>
          <w:sz w:val="20"/>
          <w:szCs w:val="20"/>
          <w:color w:val="auto"/>
        </w:rPr>
      </w:pPr>
    </w:p>
    <w:p>
      <w:pPr>
        <w:ind w:left="20"/>
        <w:spacing w:after="0"/>
        <w:rPr>
          <w:rFonts w:ascii="Arial" w:cs="Arial" w:eastAsia="Arial" w:hAnsi="Arial"/>
          <w:sz w:val="16"/>
          <w:szCs w:val="16"/>
          <w:b w:val="1"/>
          <w:bCs w:val="1"/>
          <w:color w:val="auto"/>
        </w:rPr>
      </w:pPr>
      <w:hyperlink w:anchor="page2">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3">
        <w:r>
          <w:rPr>
            <w:rFonts w:ascii="Arial" w:cs="Arial" w:eastAsia="Arial" w:hAnsi="Arial"/>
            <w:sz w:val="16"/>
            <w:szCs w:val="16"/>
            <w:color w:val="auto"/>
          </w:rPr>
          <w:t>Item 1</w:t>
        </w:r>
      </w:hyperlink>
      <w:r>
        <w:rPr>
          <w:rFonts w:ascii="Arial" w:cs="Arial" w:eastAsia="Arial" w:hAnsi="Arial"/>
          <w:sz w:val="16"/>
          <w:szCs w:val="16"/>
          <w:color w:val="auto"/>
        </w:rPr>
        <w:tab/>
      </w:r>
      <w:hyperlink w:anchor="page3">
        <w:r>
          <w:rPr>
            <w:rFonts w:ascii="Arial" w:cs="Arial" w:eastAsia="Arial" w:hAnsi="Arial"/>
            <w:sz w:val="16"/>
            <w:szCs w:val="16"/>
            <w:color w:val="auto"/>
          </w:rPr>
          <w:t>Financial Statements (unaudited, except as noted below)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88" w:lineRule="exact"/>
        <w:rPr>
          <w:sz w:val="20"/>
          <w:szCs w:val="20"/>
          <w:color w:val="auto"/>
        </w:rPr>
      </w:pPr>
    </w:p>
    <w:p>
      <w:pPr>
        <w:ind w:left="1640"/>
        <w:spacing w:after="0"/>
        <w:rPr>
          <w:rFonts w:ascii="Arial" w:cs="Arial" w:eastAsia="Arial" w:hAnsi="Arial"/>
          <w:sz w:val="16"/>
          <w:szCs w:val="16"/>
          <w:color w:val="auto"/>
        </w:rPr>
      </w:pPr>
      <w:hyperlink w:anchor="page3">
        <w:r>
          <w:rPr>
            <w:rFonts w:ascii="Arial" w:cs="Arial" w:eastAsia="Arial" w:hAnsi="Arial"/>
            <w:sz w:val="16"/>
            <w:szCs w:val="16"/>
            <w:color w:val="auto"/>
          </w:rPr>
          <w:t>Condensed Consolidated Balance Sheets as of June 30, 2020 and December 31, 2020 (audited)</w:t>
        </w:r>
      </w:hyperlink>
    </w:p>
    <w:p>
      <w:pPr>
        <w:spacing w:after="0" w:line="208" w:lineRule="exact"/>
        <w:rPr>
          <w:sz w:val="20"/>
          <w:szCs w:val="20"/>
          <w:color w:val="auto"/>
        </w:rPr>
      </w:pPr>
    </w:p>
    <w:p>
      <w:pPr>
        <w:ind w:left="1640"/>
        <w:spacing w:after="0"/>
        <w:rPr>
          <w:rFonts w:ascii="Arial" w:cs="Arial" w:eastAsia="Arial" w:hAnsi="Arial"/>
          <w:sz w:val="16"/>
          <w:szCs w:val="16"/>
          <w:color w:val="auto"/>
        </w:rPr>
      </w:pPr>
      <w:hyperlink w:anchor="page3">
        <w:r>
          <w:rPr>
            <w:rFonts w:ascii="Arial" w:cs="Arial" w:eastAsia="Arial" w:hAnsi="Arial"/>
            <w:sz w:val="16"/>
            <w:szCs w:val="16"/>
            <w:color w:val="auto"/>
          </w:rPr>
          <w:t>Condensed Consolidated Statements of Operations for the Three and Six Months Ended June 30,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Condensed Consolidated Statements of Comprehensive Income (Loss) for the Three and Six Months Ended June 30, 2020 and 2019</w:t>
      </w:r>
    </w:p>
    <w:p>
      <w:pPr>
        <w:spacing w:after="0" w:line="208" w:lineRule="exact"/>
        <w:rPr>
          <w:sz w:val="20"/>
          <w:szCs w:val="20"/>
          <w:color w:val="auto"/>
        </w:rPr>
      </w:pPr>
    </w:p>
    <w:p>
      <w:pPr>
        <w:ind w:left="1640" w:right="1020"/>
        <w:spacing w:after="0" w:line="295" w:lineRule="auto"/>
        <w:rPr>
          <w:rFonts w:ascii="Arial" w:cs="Arial" w:eastAsia="Arial" w:hAnsi="Arial"/>
          <w:sz w:val="16"/>
          <w:szCs w:val="16"/>
          <w:color w:val="auto"/>
        </w:rPr>
      </w:pPr>
      <w:hyperlink w:anchor="page5">
        <w:r>
          <w:rPr>
            <w:rFonts w:ascii="Arial" w:cs="Arial" w:eastAsia="Arial" w:hAnsi="Arial"/>
            <w:sz w:val="16"/>
            <w:szCs w:val="16"/>
            <w:color w:val="auto"/>
          </w:rPr>
          <w:t>Condensed Consolidated Statement of Changes in Equity for the Three and Six Months Ended June 30, 2020 and 2019</w:t>
        </w:r>
      </w:hyperlink>
      <w:r>
        <w:rPr>
          <w:rFonts w:ascii="Arial" w:cs="Arial" w:eastAsia="Arial" w:hAnsi="Arial"/>
          <w:sz w:val="16"/>
          <w:szCs w:val="16"/>
          <w:color w:val="auto"/>
        </w:rPr>
        <w:t xml:space="preserve"> </w:t>
      </w:r>
      <w:hyperlink w:anchor="page6">
        <w:r>
          <w:rPr>
            <w:rFonts w:ascii="Arial" w:cs="Arial" w:eastAsia="Arial" w:hAnsi="Arial"/>
            <w:sz w:val="16"/>
            <w:szCs w:val="16"/>
            <w:color w:val="auto"/>
          </w:rPr>
          <w:t>Condensed Consolidated Statements of Cash Flows for the Six Months Ended June 30,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35" w:lineRule="exact"/>
        <w:rPr>
          <w:sz w:val="20"/>
          <w:szCs w:val="20"/>
          <w:color w:val="auto"/>
        </w:rPr>
      </w:pPr>
    </w:p>
    <w:p>
      <w:pPr>
        <w:ind w:left="1640"/>
        <w:spacing w:after="0"/>
        <w:rPr>
          <w:rFonts w:ascii="Arial" w:cs="Arial" w:eastAsia="Arial" w:hAnsi="Arial"/>
          <w:sz w:val="16"/>
          <w:szCs w:val="16"/>
          <w:color w:val="auto"/>
        </w:rPr>
      </w:pPr>
      <w:hyperlink w:anchor="page7">
        <w:r>
          <w:rPr>
            <w:rFonts w:ascii="Arial" w:cs="Arial" w:eastAsia="Arial" w:hAnsi="Arial"/>
            <w:sz w:val="16"/>
            <w:szCs w:val="16"/>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8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30">
        <w:r>
          <w:rPr>
            <w:rFonts w:ascii="Arial" w:cs="Arial" w:eastAsia="Arial" w:hAnsi="Arial"/>
            <w:sz w:val="16"/>
            <w:szCs w:val="16"/>
            <w:color w:val="auto"/>
          </w:rPr>
          <w:t>Item 2</w:t>
        </w:r>
      </w:hyperlink>
      <w:r>
        <w:rPr>
          <w:rFonts w:ascii="Arial" w:cs="Arial" w:eastAsia="Arial" w:hAnsi="Arial"/>
          <w:sz w:val="16"/>
          <w:szCs w:val="16"/>
          <w:color w:val="auto"/>
        </w:rPr>
        <w:tab/>
      </w:r>
      <w:hyperlink w:anchor="page30">
        <w:r>
          <w:rPr>
            <w:rFonts w:ascii="Arial" w:cs="Arial" w:eastAsia="Arial" w:hAnsi="Arial"/>
            <w:sz w:val="16"/>
            <w:szCs w:val="16"/>
            <w:color w:val="auto"/>
          </w:rPr>
          <w:t>Management’s Discussion and Analysis of Financial Condition and Results of Operations</w:t>
        </w:r>
      </w:hyperlink>
    </w:p>
    <w:p>
      <w:pPr>
        <w:spacing w:after="0" w:line="20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48">
        <w:r>
          <w:rPr>
            <w:rFonts w:ascii="Arial" w:cs="Arial" w:eastAsia="Arial" w:hAnsi="Arial"/>
            <w:sz w:val="16"/>
            <w:szCs w:val="16"/>
            <w:color w:val="auto"/>
          </w:rPr>
          <w:t>Item 3</w:t>
        </w:r>
      </w:hyperlink>
      <w:r>
        <w:rPr>
          <w:rFonts w:ascii="Arial" w:cs="Arial" w:eastAsia="Arial" w:hAnsi="Arial"/>
          <w:sz w:val="16"/>
          <w:szCs w:val="16"/>
          <w:color w:val="auto"/>
        </w:rPr>
        <w:tab/>
      </w:r>
      <w:hyperlink w:anchor="page48">
        <w:r>
          <w:rPr>
            <w:rFonts w:ascii="Arial" w:cs="Arial" w:eastAsia="Arial" w:hAnsi="Arial"/>
            <w:sz w:val="16"/>
            <w:szCs w:val="16"/>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420"/>
        <w:spacing w:after="0"/>
        <w:tabs>
          <w:tab w:leader="none" w:pos="1280" w:val="left"/>
        </w:tabs>
        <w:rPr>
          <w:rFonts w:ascii="Arial" w:cs="Arial" w:eastAsia="Arial" w:hAnsi="Arial"/>
          <w:sz w:val="16"/>
          <w:szCs w:val="16"/>
          <w:color w:val="auto"/>
        </w:rPr>
      </w:pPr>
      <w:hyperlink w:anchor="page49">
        <w:r>
          <w:rPr>
            <w:rFonts w:ascii="Arial" w:cs="Arial" w:eastAsia="Arial" w:hAnsi="Arial"/>
            <w:sz w:val="16"/>
            <w:szCs w:val="16"/>
            <w:color w:val="auto"/>
          </w:rPr>
          <w:t>Item 4</w:t>
        </w:r>
      </w:hyperlink>
      <w:r>
        <w:rPr>
          <w:rFonts w:ascii="Arial" w:cs="Arial" w:eastAsia="Arial" w:hAnsi="Arial"/>
          <w:sz w:val="16"/>
          <w:szCs w:val="16"/>
          <w:color w:val="auto"/>
        </w:rPr>
        <w:tab/>
      </w:r>
      <w:hyperlink w:anchor="page49">
        <w:r>
          <w:rPr>
            <w:rFonts w:ascii="Arial" w:cs="Arial" w:eastAsia="Arial" w:hAnsi="Arial"/>
            <w:sz w:val="16"/>
            <w:szCs w:val="16"/>
            <w:color w:val="auto"/>
          </w:rPr>
          <w:t>Controls and Procedures</w:t>
        </w:r>
      </w:hyperlink>
    </w:p>
    <w:p>
      <w:pPr>
        <w:spacing w:after="0" w:line="188" w:lineRule="exact"/>
        <w:rPr>
          <w:sz w:val="20"/>
          <w:szCs w:val="20"/>
          <w:color w:val="auto"/>
        </w:rPr>
      </w:pPr>
    </w:p>
    <w:p>
      <w:pPr>
        <w:ind w:left="20"/>
        <w:spacing w:after="0"/>
        <w:rPr>
          <w:rFonts w:ascii="Arial" w:cs="Arial" w:eastAsia="Arial" w:hAnsi="Arial"/>
          <w:sz w:val="16"/>
          <w:szCs w:val="16"/>
          <w:b w:val="1"/>
          <w:bCs w:val="1"/>
          <w:color w:val="auto"/>
        </w:rPr>
      </w:pPr>
      <w:hyperlink w:anchor="page49">
        <w:r>
          <w:rPr>
            <w:rFonts w:ascii="Arial" w:cs="Arial" w:eastAsia="Arial" w:hAnsi="Arial"/>
            <w:sz w:val="16"/>
            <w:szCs w:val="16"/>
            <w:b w:val="1"/>
            <w:bCs w:val="1"/>
            <w:color w:val="auto"/>
          </w:rPr>
          <w:t>PART II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shd w:val="clear" w:color="auto" w:fill="E7E7E8"/>
          </w:tcPr>
          <w:p>
            <w:pPr>
              <w:ind w:left="420"/>
              <w:spacing w:after="0"/>
              <w:rPr>
                <w:rFonts w:ascii="Arial" w:cs="Arial" w:eastAsia="Arial" w:hAnsi="Arial"/>
                <w:sz w:val="16"/>
                <w:szCs w:val="16"/>
                <w:color w:val="auto"/>
              </w:rPr>
            </w:pPr>
            <w:hyperlink w:anchor="page49">
              <w:r>
                <w:rPr>
                  <w:rFonts w:ascii="Arial" w:cs="Arial" w:eastAsia="Arial" w:hAnsi="Arial"/>
                  <w:sz w:val="16"/>
                  <w:szCs w:val="16"/>
                  <w:color w:val="auto"/>
                </w:rPr>
                <w:t>Item 1</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49">
              <w:r>
                <w:rPr>
                  <w:rFonts w:ascii="Arial" w:cs="Arial" w:eastAsia="Arial" w:hAnsi="Arial"/>
                  <w:sz w:val="16"/>
                  <w:szCs w:val="16"/>
                  <w:color w:val="auto"/>
                </w:rPr>
                <w:t>Legal Proceedings</w:t>
              </w:r>
            </w:hyperlink>
          </w:p>
        </w:tc>
      </w:tr>
      <w:tr>
        <w:trPr>
          <w:trHeight w:val="177"/>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49">
              <w:r>
                <w:rPr>
                  <w:rFonts w:ascii="Arial" w:cs="Arial" w:eastAsia="Arial" w:hAnsi="Arial"/>
                  <w:sz w:val="16"/>
                  <w:szCs w:val="16"/>
                  <w:color w:val="auto"/>
                </w:rPr>
                <w:t>Item 1A</w:t>
              </w:r>
            </w:hyperlink>
          </w:p>
        </w:tc>
        <w:tc>
          <w:tcPr>
            <w:tcW w:w="10100" w:type="dxa"/>
            <w:vAlign w:val="bottom"/>
          </w:tcPr>
          <w:p>
            <w:pPr>
              <w:ind w:left="160"/>
              <w:spacing w:after="0"/>
              <w:rPr>
                <w:rFonts w:ascii="Arial" w:cs="Arial" w:eastAsia="Arial" w:hAnsi="Arial"/>
                <w:sz w:val="16"/>
                <w:szCs w:val="16"/>
                <w:color w:val="auto"/>
              </w:rPr>
            </w:pPr>
            <w:hyperlink w:anchor="page49">
              <w:r>
                <w:rPr>
                  <w:rFonts w:ascii="Arial" w:cs="Arial" w:eastAsia="Arial" w:hAnsi="Arial"/>
                  <w:sz w:val="16"/>
                  <w:szCs w:val="16"/>
                  <w:color w:val="auto"/>
                </w:rPr>
                <w:t>Risk Factors</w:t>
              </w:r>
            </w:hyperlink>
          </w:p>
        </w:tc>
      </w:tr>
      <w:tr>
        <w:trPr>
          <w:trHeight w:val="182"/>
        </w:trPr>
        <w:tc>
          <w:tcPr>
            <w:tcW w:w="114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51">
              <w:r>
                <w:rPr>
                  <w:rFonts w:ascii="Arial" w:cs="Arial" w:eastAsia="Arial" w:hAnsi="Arial"/>
                  <w:sz w:val="16"/>
                  <w:szCs w:val="16"/>
                  <w:color w:val="auto"/>
                </w:rPr>
                <w:t>Item 2</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51">
              <w:r>
                <w:rPr>
                  <w:rFonts w:ascii="Arial" w:cs="Arial" w:eastAsia="Arial" w:hAnsi="Arial"/>
                  <w:sz w:val="16"/>
                  <w:szCs w:val="16"/>
                  <w:color w:val="auto"/>
                </w:rPr>
                <w:t>Unregistered Sales of Equity Securities and Use of Proceeds</w:t>
              </w:r>
            </w:hyperlink>
          </w:p>
        </w:tc>
      </w:tr>
      <w:tr>
        <w:trPr>
          <w:trHeight w:val="182"/>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51">
              <w:r>
                <w:rPr>
                  <w:rFonts w:ascii="Arial" w:cs="Arial" w:eastAsia="Arial" w:hAnsi="Arial"/>
                  <w:sz w:val="16"/>
                  <w:szCs w:val="16"/>
                  <w:color w:val="auto"/>
                </w:rPr>
                <w:t>Item 3</w:t>
              </w:r>
            </w:hyperlink>
          </w:p>
        </w:tc>
        <w:tc>
          <w:tcPr>
            <w:tcW w:w="10100" w:type="dxa"/>
            <w:vAlign w:val="bottom"/>
          </w:tcPr>
          <w:p>
            <w:pPr>
              <w:ind w:left="160"/>
              <w:spacing w:after="0"/>
              <w:rPr>
                <w:rFonts w:ascii="Arial" w:cs="Arial" w:eastAsia="Arial" w:hAnsi="Arial"/>
                <w:sz w:val="16"/>
                <w:szCs w:val="16"/>
                <w:color w:val="auto"/>
              </w:rPr>
            </w:pPr>
            <w:hyperlink w:anchor="page51">
              <w:r>
                <w:rPr>
                  <w:rFonts w:ascii="Arial" w:cs="Arial" w:eastAsia="Arial" w:hAnsi="Arial"/>
                  <w:sz w:val="16"/>
                  <w:szCs w:val="16"/>
                  <w:color w:val="auto"/>
                </w:rPr>
                <w:t>Defaults Upon Senior Securities</w:t>
              </w:r>
            </w:hyperlink>
          </w:p>
        </w:tc>
      </w:tr>
      <w:tr>
        <w:trPr>
          <w:trHeight w:val="182"/>
        </w:trPr>
        <w:tc>
          <w:tcPr>
            <w:tcW w:w="114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51">
              <w:r>
                <w:rPr>
                  <w:rFonts w:ascii="Arial" w:cs="Arial" w:eastAsia="Arial" w:hAnsi="Arial"/>
                  <w:sz w:val="16"/>
                  <w:szCs w:val="16"/>
                  <w:color w:val="auto"/>
                </w:rPr>
                <w:t>Item 4</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51">
              <w:r>
                <w:rPr>
                  <w:rFonts w:ascii="Arial" w:cs="Arial" w:eastAsia="Arial" w:hAnsi="Arial"/>
                  <w:sz w:val="16"/>
                  <w:szCs w:val="16"/>
                  <w:color w:val="auto"/>
                </w:rPr>
                <w:t>Mine Safety Disclosures</w:t>
              </w:r>
            </w:hyperlink>
          </w:p>
        </w:tc>
      </w:tr>
      <w:tr>
        <w:trPr>
          <w:trHeight w:val="182"/>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0"/>
        </w:trPr>
        <w:tc>
          <w:tcPr>
            <w:tcW w:w="1140" w:type="dxa"/>
            <w:vAlign w:val="bottom"/>
          </w:tcPr>
          <w:p>
            <w:pPr>
              <w:ind w:left="420"/>
              <w:spacing w:after="0"/>
              <w:rPr>
                <w:rFonts w:ascii="Arial" w:cs="Arial" w:eastAsia="Arial" w:hAnsi="Arial"/>
                <w:sz w:val="16"/>
                <w:szCs w:val="16"/>
                <w:color w:val="auto"/>
              </w:rPr>
            </w:pPr>
            <w:hyperlink w:anchor="page51">
              <w:r>
                <w:rPr>
                  <w:rFonts w:ascii="Arial" w:cs="Arial" w:eastAsia="Arial" w:hAnsi="Arial"/>
                  <w:sz w:val="16"/>
                  <w:szCs w:val="16"/>
                  <w:color w:val="auto"/>
                </w:rPr>
                <w:t>Item 5</w:t>
              </w:r>
            </w:hyperlink>
          </w:p>
        </w:tc>
        <w:tc>
          <w:tcPr>
            <w:tcW w:w="10100" w:type="dxa"/>
            <w:vAlign w:val="bottom"/>
          </w:tcPr>
          <w:p>
            <w:pPr>
              <w:ind w:left="160"/>
              <w:spacing w:after="0"/>
              <w:rPr>
                <w:rFonts w:ascii="Arial" w:cs="Arial" w:eastAsia="Arial" w:hAnsi="Arial"/>
                <w:sz w:val="16"/>
                <w:szCs w:val="16"/>
                <w:color w:val="auto"/>
              </w:rPr>
            </w:pPr>
            <w:hyperlink w:anchor="page51">
              <w:r>
                <w:rPr>
                  <w:rFonts w:ascii="Arial" w:cs="Arial" w:eastAsia="Arial" w:hAnsi="Arial"/>
                  <w:sz w:val="16"/>
                  <w:szCs w:val="16"/>
                  <w:color w:val="auto"/>
                </w:rPr>
                <w:t>Other Information</w:t>
              </w:r>
            </w:hyperlink>
          </w:p>
        </w:tc>
      </w:tr>
      <w:tr>
        <w:trPr>
          <w:trHeight w:val="182"/>
        </w:trPr>
        <w:tc>
          <w:tcPr>
            <w:tcW w:w="114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210"/>
        </w:trPr>
        <w:tc>
          <w:tcPr>
            <w:tcW w:w="1140" w:type="dxa"/>
            <w:vAlign w:val="bottom"/>
            <w:shd w:val="clear" w:color="auto" w:fill="E7E7E8"/>
          </w:tcPr>
          <w:p>
            <w:pPr>
              <w:ind w:left="420"/>
              <w:spacing w:after="0"/>
              <w:rPr>
                <w:rFonts w:ascii="Arial" w:cs="Arial" w:eastAsia="Arial" w:hAnsi="Arial"/>
                <w:sz w:val="16"/>
                <w:szCs w:val="16"/>
                <w:color w:val="auto"/>
              </w:rPr>
            </w:pPr>
            <w:hyperlink w:anchor="page51">
              <w:r>
                <w:rPr>
                  <w:rFonts w:ascii="Arial" w:cs="Arial" w:eastAsia="Arial" w:hAnsi="Arial"/>
                  <w:sz w:val="16"/>
                  <w:szCs w:val="16"/>
                  <w:color w:val="auto"/>
                </w:rPr>
                <w:t>Item 6</w:t>
              </w:r>
            </w:hyperlink>
          </w:p>
        </w:tc>
        <w:tc>
          <w:tcPr>
            <w:tcW w:w="10100" w:type="dxa"/>
            <w:vAlign w:val="bottom"/>
            <w:shd w:val="clear" w:color="auto" w:fill="E7E7E8"/>
          </w:tcPr>
          <w:p>
            <w:pPr>
              <w:ind w:left="160"/>
              <w:spacing w:after="0"/>
              <w:rPr>
                <w:rFonts w:ascii="Arial" w:cs="Arial" w:eastAsia="Arial" w:hAnsi="Arial"/>
                <w:sz w:val="16"/>
                <w:szCs w:val="16"/>
                <w:color w:val="auto"/>
              </w:rPr>
            </w:pPr>
            <w:hyperlink w:anchor="page51">
              <w:r>
                <w:rPr>
                  <w:rFonts w:ascii="Arial" w:cs="Arial" w:eastAsia="Arial" w:hAnsi="Arial"/>
                  <w:sz w:val="16"/>
                  <w:szCs w:val="16"/>
                  <w:color w:val="auto"/>
                </w:rPr>
                <w:t>Exhibits</w:t>
              </w:r>
            </w:hyperlink>
          </w:p>
        </w:tc>
      </w:tr>
      <w:tr>
        <w:trPr>
          <w:trHeight w:val="182"/>
        </w:trPr>
        <w:tc>
          <w:tcPr>
            <w:tcW w:w="1140" w:type="dxa"/>
            <w:vAlign w:val="bottom"/>
            <w:shd w:val="clear" w:color="auto" w:fill="E7E7E8"/>
          </w:tcPr>
          <w:p>
            <w:pPr>
              <w:spacing w:after="0"/>
              <w:rPr>
                <w:sz w:val="15"/>
                <w:szCs w:val="15"/>
                <w:color w:val="auto"/>
              </w:rPr>
            </w:pPr>
          </w:p>
        </w:tc>
        <w:tc>
          <w:tcPr>
            <w:tcW w:w="10100" w:type="dxa"/>
            <w:vAlign w:val="bottom"/>
            <w:shd w:val="clear" w:color="auto" w:fill="E7E7E8"/>
          </w:tcPr>
          <w:p>
            <w:pPr>
              <w:spacing w:after="0"/>
              <w:rPr>
                <w:sz w:val="15"/>
                <w:szCs w:val="15"/>
                <w:color w:val="auto"/>
              </w:rPr>
            </w:pPr>
          </w:p>
        </w:tc>
      </w:tr>
      <w:tr>
        <w:trPr>
          <w:trHeight w:val="215"/>
        </w:trPr>
        <w:tc>
          <w:tcPr>
            <w:tcW w:w="1140" w:type="dxa"/>
            <w:vAlign w:val="bottom"/>
          </w:tcPr>
          <w:p>
            <w:pPr>
              <w:ind w:left="20"/>
              <w:spacing w:after="0"/>
              <w:rPr>
                <w:rFonts w:ascii="Arial" w:cs="Arial" w:eastAsia="Arial" w:hAnsi="Arial"/>
                <w:sz w:val="16"/>
                <w:szCs w:val="16"/>
                <w:b w:val="1"/>
                <w:bCs w:val="1"/>
                <w:color w:val="auto"/>
              </w:rPr>
            </w:pPr>
            <w:hyperlink w:anchor="page53">
              <w:r>
                <w:rPr>
                  <w:rFonts w:ascii="Arial" w:cs="Arial" w:eastAsia="Arial" w:hAnsi="Arial"/>
                  <w:sz w:val="16"/>
                  <w:szCs w:val="16"/>
                  <w:b w:val="1"/>
                  <w:bCs w:val="1"/>
                  <w:color w:val="auto"/>
                </w:rPr>
                <w:t>SIGNATURE</w:t>
              </w:r>
            </w:hyperlink>
          </w:p>
        </w:tc>
        <w:tc>
          <w:tcPr>
            <w:tcW w:w="10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36"/>
          <w:szCs w:val="36"/>
          <w:b w:val="1"/>
          <w:bCs w:val="1"/>
          <w:color w:val="1D2758"/>
        </w:rPr>
        <w:t>PART I</w:t>
      </w:r>
    </w:p>
    <w:p>
      <w:pPr>
        <w:spacing w:after="0" w:line="6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Condensed Consolidated Balance Sheets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shd w:val="clear" w:color="auto" w:fill="1D2758"/>
          </w:tcPr>
          <w:p>
            <w:pPr>
              <w:spacing w:after="0"/>
              <w:rPr>
                <w:sz w:val="16"/>
                <w:szCs w:val="16"/>
                <w:color w:val="auto"/>
              </w:rPr>
            </w:pPr>
          </w:p>
        </w:tc>
        <w:tc>
          <w:tcPr>
            <w:tcW w:w="200" w:type="dxa"/>
            <w:vAlign w:val="bottom"/>
            <w:shd w:val="clear" w:color="auto" w:fill="1D2758"/>
          </w:tcPr>
          <w:p>
            <w:pPr>
              <w:spacing w:after="0"/>
              <w:rPr>
                <w:sz w:val="16"/>
                <w:szCs w:val="16"/>
                <w:color w:val="auto"/>
              </w:rPr>
            </w:pPr>
          </w:p>
        </w:tc>
        <w:tc>
          <w:tcPr>
            <w:tcW w:w="1540" w:type="dxa"/>
            <w:vAlign w:val="bottom"/>
            <w:gridSpan w:val="2"/>
            <w:shd w:val="clear" w:color="auto" w:fill="1D2758"/>
          </w:tcPr>
          <w:p>
            <w:pPr>
              <w:jc w:val="center"/>
              <w:ind w:right="300"/>
              <w:spacing w:after="0"/>
              <w:rPr>
                <w:sz w:val="20"/>
                <w:szCs w:val="20"/>
                <w:color w:val="auto"/>
              </w:rPr>
            </w:pPr>
            <w:r>
              <w:rPr>
                <w:rFonts w:ascii="Arial" w:cs="Arial" w:eastAsia="Arial" w:hAnsi="Arial"/>
                <w:sz w:val="16"/>
                <w:szCs w:val="16"/>
                <w:b w:val="1"/>
                <w:bCs w:val="1"/>
                <w:color w:val="FFFFFF"/>
                <w:w w:val="99"/>
              </w:rPr>
              <w:t>June 30, 2020</w:t>
            </w:r>
          </w:p>
        </w:tc>
        <w:tc>
          <w:tcPr>
            <w:tcW w:w="400" w:type="dxa"/>
            <w:vAlign w:val="bottom"/>
            <w:shd w:val="clear" w:color="auto" w:fill="1D2758"/>
          </w:tcPr>
          <w:p>
            <w:pPr>
              <w:spacing w:after="0"/>
              <w:rPr>
                <w:sz w:val="16"/>
                <w:szCs w:val="16"/>
                <w:color w:val="auto"/>
              </w:rPr>
            </w:pPr>
          </w:p>
        </w:tc>
        <w:tc>
          <w:tcPr>
            <w:tcW w:w="1240" w:type="dxa"/>
            <w:vAlign w:val="bottom"/>
            <w:shd w:val="clear" w:color="auto" w:fill="1D2758"/>
          </w:tcPr>
          <w:p>
            <w:pPr>
              <w:spacing w:after="0"/>
              <w:rPr>
                <w:sz w:val="16"/>
                <w:szCs w:val="16"/>
                <w:color w:val="auto"/>
              </w:rPr>
            </w:pPr>
          </w:p>
        </w:tc>
      </w:tr>
      <w:tr>
        <w:trPr>
          <w:trHeight w:val="234"/>
        </w:trPr>
        <w:tc>
          <w:tcPr>
            <w:tcW w:w="78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200" w:type="dxa"/>
            <w:vAlign w:val="bottom"/>
            <w:shd w:val="clear" w:color="auto" w:fill="1D2758"/>
          </w:tcPr>
          <w:p>
            <w:pPr>
              <w:spacing w:after="0"/>
              <w:rPr>
                <w:sz w:val="20"/>
                <w:szCs w:val="20"/>
                <w:color w:val="auto"/>
              </w:rPr>
            </w:pPr>
          </w:p>
        </w:tc>
        <w:tc>
          <w:tcPr>
            <w:tcW w:w="1540" w:type="dxa"/>
            <w:vAlign w:val="bottom"/>
            <w:gridSpan w:val="2"/>
            <w:shd w:val="clear" w:color="auto" w:fill="1D2758"/>
          </w:tcPr>
          <w:p>
            <w:pPr>
              <w:jc w:val="center"/>
              <w:ind w:right="300"/>
              <w:spacing w:after="0"/>
              <w:rPr>
                <w:sz w:val="20"/>
                <w:szCs w:val="20"/>
                <w:color w:val="auto"/>
              </w:rPr>
            </w:pPr>
            <w:r>
              <w:rPr>
                <w:rFonts w:ascii="Arial" w:cs="Arial" w:eastAsia="Arial" w:hAnsi="Arial"/>
                <w:sz w:val="16"/>
                <w:szCs w:val="16"/>
                <w:b w:val="1"/>
                <w:bCs w:val="1"/>
                <w:color w:val="FFFFFF"/>
              </w:rPr>
              <w:t>(unaudited)</w:t>
            </w:r>
          </w:p>
        </w:tc>
        <w:tc>
          <w:tcPr>
            <w:tcW w:w="164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 2019</w:t>
            </w: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240" w:type="dxa"/>
            <w:vAlign w:val="bottom"/>
            <w:shd w:val="clear" w:color="auto" w:fill="E7E7E8"/>
          </w:tcPr>
          <w:p>
            <w:pPr>
              <w:spacing w:after="0"/>
              <w:rPr>
                <w:sz w:val="21"/>
                <w:szCs w:val="2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9,061</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3,045</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655,087</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w:t>
            </w:r>
          </w:p>
        </w:tc>
      </w:tr>
      <w:tr>
        <w:trPr>
          <w:trHeight w:val="177"/>
        </w:trPr>
        <w:tc>
          <w:tcPr>
            <w:tcW w:w="7860" w:type="dxa"/>
            <w:vAlign w:val="bottom"/>
          </w:tcPr>
          <w:p>
            <w:pPr>
              <w:ind w:left="240"/>
              <w:spacing w:after="0" w:line="178" w:lineRule="exact"/>
              <w:rPr>
                <w:sz w:val="20"/>
                <w:szCs w:val="20"/>
                <w:color w:val="auto"/>
              </w:rPr>
            </w:pPr>
            <w:r>
              <w:rPr>
                <w:rFonts w:ascii="Arial" w:cs="Arial" w:eastAsia="Arial" w:hAnsi="Arial"/>
                <w:sz w:val="16"/>
                <w:szCs w:val="16"/>
                <w:color w:val="auto"/>
              </w:rPr>
              <w:t>Trade receivables, net of allowances for credit losses at June 30, 2020 and December 31, 2019 of</w:t>
            </w:r>
          </w:p>
        </w:tc>
        <w:tc>
          <w:tcPr>
            <w:tcW w:w="200" w:type="dxa"/>
            <w:vAlign w:val="bottom"/>
          </w:tcPr>
          <w:p>
            <w:pPr>
              <w:spacing w:after="0"/>
              <w:rPr>
                <w:sz w:val="15"/>
                <w:szCs w:val="15"/>
                <w:color w:val="auto"/>
              </w:rPr>
            </w:pPr>
          </w:p>
        </w:tc>
        <w:tc>
          <w:tcPr>
            <w:tcW w:w="1440" w:type="dxa"/>
            <w:vAlign w:val="bottom"/>
          </w:tcPr>
          <w:p>
            <w:pPr>
              <w:jc w:val="right"/>
              <w:ind w:right="79"/>
              <w:spacing w:after="0" w:line="178" w:lineRule="exact"/>
              <w:rPr>
                <w:sz w:val="20"/>
                <w:szCs w:val="20"/>
                <w:color w:val="auto"/>
              </w:rPr>
            </w:pPr>
            <w:r>
              <w:rPr>
                <w:rFonts w:ascii="Arial" w:cs="Arial" w:eastAsia="Arial" w:hAnsi="Arial"/>
                <w:sz w:val="16"/>
                <w:szCs w:val="16"/>
                <w:color w:val="auto"/>
              </w:rPr>
              <w:t>231,007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color w:val="auto"/>
              </w:rPr>
              <w:t>247,596</w:t>
            </w:r>
          </w:p>
        </w:tc>
      </w:tr>
      <w:tr>
        <w:trPr>
          <w:trHeight w:val="198"/>
        </w:trPr>
        <w:tc>
          <w:tcPr>
            <w:tcW w:w="7860" w:type="dxa"/>
            <w:vAlign w:val="bottom"/>
          </w:tcPr>
          <w:p>
            <w:pPr>
              <w:ind w:left="240"/>
              <w:spacing w:after="0"/>
              <w:rPr>
                <w:sz w:val="20"/>
                <w:szCs w:val="20"/>
                <w:color w:val="auto"/>
              </w:rPr>
            </w:pPr>
            <w:r>
              <w:rPr>
                <w:rFonts w:ascii="Arial" w:cs="Arial" w:eastAsia="Arial" w:hAnsi="Arial"/>
                <w:sz w:val="16"/>
                <w:szCs w:val="16"/>
                <w:color w:val="auto"/>
              </w:rPr>
              <w:t>$19,183 and $15,828, respectively</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6"/>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14,800</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15,387</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21,392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14,621</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Assets held for sale</w:t>
            </w:r>
          </w:p>
        </w:tc>
        <w:tc>
          <w:tcPr>
            <w:tcW w:w="200" w:type="dxa"/>
            <w:vAlign w:val="bottom"/>
            <w:tcBorders>
              <w:bottom w:val="single" w:sz="8" w:color="auto"/>
            </w:tcBorders>
            <w:shd w:val="clear" w:color="auto" w:fill="DDDDDD"/>
          </w:tcPr>
          <w:p>
            <w:pPr>
              <w:spacing w:after="0"/>
              <w:rPr>
                <w:sz w:val="21"/>
                <w:szCs w:val="21"/>
                <w:color w:val="auto"/>
              </w:rPr>
            </w:pPr>
          </w:p>
        </w:tc>
        <w:tc>
          <w:tcPr>
            <w:tcW w:w="14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9,332</w:t>
            </w:r>
          </w:p>
        </w:tc>
        <w:tc>
          <w:tcPr>
            <w:tcW w:w="100" w:type="dxa"/>
            <w:vAlign w:val="bottom"/>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11,939</w:t>
            </w:r>
          </w:p>
        </w:tc>
      </w:tr>
      <w:tr>
        <w:trPr>
          <w:trHeight w:val="227"/>
        </w:trPr>
        <w:tc>
          <w:tcPr>
            <w:tcW w:w="78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940,679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292,588</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Rental equipment, net</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1,908,299</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1,944,436</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142,454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147,689</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146,721</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146,698</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233,829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235,177</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126,125</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126,625</w:t>
            </w:r>
          </w:p>
        </w:tc>
      </w:tr>
      <w:tr>
        <w:trPr>
          <w:trHeight w:val="236"/>
        </w:trPr>
        <w:tc>
          <w:tcPr>
            <w:tcW w:w="7860" w:type="dxa"/>
            <w:vAlign w:val="bottom"/>
            <w:tcBorders>
              <w:bottom w:val="single" w:sz="8" w:color="DDDDDD"/>
            </w:tcBorders>
          </w:tcPr>
          <w:p>
            <w:pPr>
              <w:ind w:left="22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3,433</w:t>
            </w:r>
          </w:p>
        </w:tc>
        <w:tc>
          <w:tcPr>
            <w:tcW w:w="100" w:type="dxa"/>
            <w:vAlign w:val="bottom"/>
            <w:tcBorders>
              <w:bottom w:val="single" w:sz="8" w:color="DDDDDD"/>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4,436</w:t>
            </w:r>
          </w:p>
        </w:tc>
      </w:tr>
      <w:tr>
        <w:trPr>
          <w:trHeight w:val="243"/>
        </w:trPr>
        <w:tc>
          <w:tcPr>
            <w:tcW w:w="7860" w:type="dxa"/>
            <w:vAlign w:val="bottom"/>
            <w:shd w:val="clear" w:color="auto" w:fill="DDDDDD"/>
          </w:tcPr>
          <w:p>
            <w:pPr>
              <w:ind w:left="440"/>
              <w:spacing w:after="0"/>
              <w:rPr>
                <w:sz w:val="20"/>
                <w:szCs w:val="20"/>
                <w:color w:val="auto"/>
              </w:rPr>
            </w:pPr>
            <w:r>
              <w:rPr>
                <w:rFonts w:ascii="Arial" w:cs="Arial" w:eastAsia="Arial" w:hAnsi="Arial"/>
                <w:sz w:val="16"/>
                <w:szCs w:val="16"/>
                <w:color w:val="auto"/>
              </w:rPr>
              <w:t>Total long-term assets</w:t>
            </w:r>
          </w:p>
        </w:tc>
        <w:tc>
          <w:tcPr>
            <w:tcW w:w="200" w:type="dxa"/>
            <w:vAlign w:val="bottom"/>
            <w:tcBorders>
              <w:bottom w:val="single" w:sz="8" w:color="auto"/>
            </w:tcBorders>
            <w:shd w:val="clear" w:color="auto" w:fill="DDDDDD"/>
          </w:tcPr>
          <w:p>
            <w:pPr>
              <w:spacing w:after="0"/>
              <w:rPr>
                <w:sz w:val="21"/>
                <w:szCs w:val="21"/>
                <w:color w:val="auto"/>
              </w:rPr>
            </w:pPr>
          </w:p>
        </w:tc>
        <w:tc>
          <w:tcPr>
            <w:tcW w:w="14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2,560,861</w:t>
            </w:r>
          </w:p>
        </w:tc>
        <w:tc>
          <w:tcPr>
            <w:tcW w:w="100" w:type="dxa"/>
            <w:vAlign w:val="bottom"/>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2,605,061</w:t>
            </w:r>
          </w:p>
        </w:tc>
      </w:tr>
      <w:tr>
        <w:trPr>
          <w:trHeight w:val="230"/>
        </w:trPr>
        <w:tc>
          <w:tcPr>
            <w:tcW w:w="78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3,501,540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2,897,649</w:t>
            </w:r>
          </w:p>
        </w:tc>
      </w:tr>
      <w:tr>
        <w:trPr>
          <w:trHeight w:val="20"/>
        </w:trPr>
        <w:tc>
          <w:tcPr>
            <w:tcW w:w="7860" w:type="dxa"/>
            <w:vAlign w:val="bottom"/>
            <w:tcBorders>
              <w:bottom w:val="single" w:sz="8" w:color="DDDDD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7860" w:type="dxa"/>
            <w:vAlign w:val="bottom"/>
            <w:shd w:val="clear" w:color="auto" w:fill="DDDDDD"/>
          </w:tcPr>
          <w:p>
            <w:pPr>
              <w:ind w:left="20"/>
              <w:spacing w:after="0"/>
              <w:rPr>
                <w:sz w:val="20"/>
                <w:szCs w:val="20"/>
                <w:color w:val="auto"/>
              </w:rPr>
            </w:pPr>
            <w:r>
              <w:rPr>
                <w:rFonts w:ascii="Arial" w:cs="Arial" w:eastAsia="Arial" w:hAnsi="Arial"/>
                <w:sz w:val="16"/>
                <w:szCs w:val="16"/>
                <w:color w:val="auto"/>
              </w:rPr>
              <w:t>Liabilities and equity</w:t>
            </w:r>
          </w:p>
        </w:tc>
        <w:tc>
          <w:tcPr>
            <w:tcW w:w="200" w:type="dxa"/>
            <w:vAlign w:val="bottom"/>
            <w:shd w:val="clear" w:color="auto" w:fill="DDDDDD"/>
          </w:tcPr>
          <w:p>
            <w:pPr>
              <w:spacing w:after="0"/>
              <w:rPr>
                <w:sz w:val="18"/>
                <w:szCs w:val="18"/>
                <w:color w:val="auto"/>
              </w:rPr>
            </w:pPr>
          </w:p>
        </w:tc>
        <w:tc>
          <w:tcPr>
            <w:tcW w:w="14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240" w:type="dxa"/>
            <w:vAlign w:val="bottom"/>
            <w:shd w:val="clear" w:color="auto" w:fill="DDDDDD"/>
          </w:tcPr>
          <w:p>
            <w:pPr>
              <w:spacing w:after="0"/>
              <w:rPr>
                <w:sz w:val="18"/>
                <w:szCs w:val="18"/>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87,847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109,926</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101,212</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82,355</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16,772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16,020</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89,258</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82,978</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265,398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Operating lease liabilities - current</w:t>
            </w:r>
          </w:p>
        </w:tc>
        <w:tc>
          <w:tcPr>
            <w:tcW w:w="200" w:type="dxa"/>
            <w:vAlign w:val="bottom"/>
            <w:tcBorders>
              <w:bottom w:val="single" w:sz="8" w:color="auto"/>
            </w:tcBorders>
            <w:shd w:val="clear" w:color="auto" w:fill="DDDDDD"/>
          </w:tcPr>
          <w:p>
            <w:pPr>
              <w:spacing w:after="0"/>
              <w:rPr>
                <w:sz w:val="21"/>
                <w:szCs w:val="21"/>
                <w:color w:val="auto"/>
              </w:rPr>
            </w:pPr>
          </w:p>
        </w:tc>
        <w:tc>
          <w:tcPr>
            <w:tcW w:w="14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30,438</w:t>
            </w:r>
          </w:p>
        </w:tc>
        <w:tc>
          <w:tcPr>
            <w:tcW w:w="100" w:type="dxa"/>
            <w:vAlign w:val="bottom"/>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29,133</w:t>
            </w:r>
          </w:p>
        </w:tc>
      </w:tr>
      <w:tr>
        <w:trPr>
          <w:trHeight w:val="227"/>
        </w:trPr>
        <w:tc>
          <w:tcPr>
            <w:tcW w:w="78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590,925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320,412</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1,971,010</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1,632,589</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69,044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70,693</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12,284</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12,342</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Operating lease liabilities - non-current</w:t>
            </w:r>
          </w:p>
        </w:tc>
        <w:tc>
          <w:tcPr>
            <w:tcW w:w="20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117,159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118,429</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DDDDDD"/>
          </w:tcPr>
          <w:p>
            <w:pPr>
              <w:spacing w:after="0"/>
              <w:rPr>
                <w:sz w:val="21"/>
                <w:szCs w:val="21"/>
                <w:color w:val="auto"/>
              </w:rPr>
            </w:pPr>
          </w:p>
        </w:tc>
        <w:tc>
          <w:tcPr>
            <w:tcW w:w="14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36,028</w:t>
            </w:r>
          </w:p>
        </w:tc>
        <w:tc>
          <w:tcPr>
            <w:tcW w:w="100" w:type="dxa"/>
            <w:vAlign w:val="bottom"/>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34,229</w:t>
            </w:r>
          </w:p>
        </w:tc>
      </w:tr>
      <w:tr>
        <w:trPr>
          <w:trHeight w:val="230"/>
        </w:trPr>
        <w:tc>
          <w:tcPr>
            <w:tcW w:w="7860" w:type="dxa"/>
            <w:vAlign w:val="bottom"/>
            <w:tcBorders>
              <w:bottom w:val="single" w:sz="8" w:color="DDDDDD"/>
            </w:tcBorders>
          </w:tcPr>
          <w:p>
            <w:pPr>
              <w:ind w:left="440"/>
              <w:spacing w:after="0"/>
              <w:rPr>
                <w:sz w:val="20"/>
                <w:szCs w:val="20"/>
                <w:color w:val="auto"/>
              </w:rPr>
            </w:pPr>
            <w:r>
              <w:rPr>
                <w:rFonts w:ascii="Arial" w:cs="Arial" w:eastAsia="Arial" w:hAnsi="Arial"/>
                <w:sz w:val="16"/>
                <w:szCs w:val="16"/>
                <w:color w:val="auto"/>
              </w:rPr>
              <w:t>Long-term liabilities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2,205,525</w:t>
            </w:r>
          </w:p>
        </w:tc>
        <w:tc>
          <w:tcPr>
            <w:tcW w:w="100" w:type="dxa"/>
            <w:vAlign w:val="bottom"/>
            <w:tcBorders>
              <w:bottom w:val="single" w:sz="8" w:color="DDDDDD"/>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1,868,282</w:t>
            </w:r>
          </w:p>
        </w:tc>
      </w:tr>
      <w:tr>
        <w:trPr>
          <w:trHeight w:val="243"/>
        </w:trPr>
        <w:tc>
          <w:tcPr>
            <w:tcW w:w="7860" w:type="dxa"/>
            <w:vAlign w:val="bottom"/>
            <w:shd w:val="clear" w:color="auto" w:fill="DDDDDD"/>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2,796,450</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2,188,694</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15)</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7"/>
        </w:trPr>
        <w:tc>
          <w:tcPr>
            <w:tcW w:w="7860" w:type="dxa"/>
            <w:vAlign w:val="bottom"/>
            <w:shd w:val="clear" w:color="auto" w:fill="DDDDDD"/>
          </w:tcPr>
          <w:p>
            <w:pPr>
              <w:ind w:left="240"/>
              <w:spacing w:after="0"/>
              <w:rPr>
                <w:sz w:val="20"/>
                <w:szCs w:val="20"/>
                <w:color w:val="auto"/>
              </w:rPr>
            </w:pPr>
            <w:r>
              <w:rPr>
                <w:rFonts w:ascii="Arial" w:cs="Arial" w:eastAsia="Arial" w:hAnsi="Arial"/>
                <w:sz w:val="16"/>
                <w:szCs w:val="16"/>
                <w:color w:val="auto"/>
              </w:rPr>
              <w:t>Class A common stock: $0.0001 par, 400,000,000 shares authorized at June 30, 2020 and December 31,</w:t>
            </w:r>
          </w:p>
        </w:tc>
        <w:tc>
          <w:tcPr>
            <w:tcW w:w="200" w:type="dxa"/>
            <w:vAlign w:val="bottom"/>
            <w:shd w:val="clear" w:color="auto" w:fill="DDDDDD"/>
          </w:tcPr>
          <w:p>
            <w:pPr>
              <w:spacing w:after="0"/>
              <w:rPr>
                <w:sz w:val="16"/>
                <w:szCs w:val="16"/>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11</w:t>
            </w:r>
          </w:p>
        </w:tc>
      </w:tr>
      <w:tr>
        <w:trPr>
          <w:trHeight w:val="162"/>
        </w:trPr>
        <w:tc>
          <w:tcPr>
            <w:tcW w:w="7860" w:type="dxa"/>
            <w:vAlign w:val="bottom"/>
            <w:shd w:val="clear" w:color="auto" w:fill="DDDDDD"/>
          </w:tcPr>
          <w:p>
            <w:pPr>
              <w:ind w:left="240"/>
              <w:spacing w:after="0" w:line="162" w:lineRule="exact"/>
              <w:rPr>
                <w:sz w:val="20"/>
                <w:szCs w:val="20"/>
                <w:color w:val="auto"/>
              </w:rPr>
            </w:pPr>
            <w:r>
              <w:rPr>
                <w:rFonts w:ascii="Arial" w:cs="Arial" w:eastAsia="Arial" w:hAnsi="Arial"/>
                <w:sz w:val="16"/>
                <w:szCs w:val="16"/>
                <w:color w:val="auto"/>
              </w:rPr>
              <w:t>2019; 121,233,232 and 108,818,854 shares issued and outstanding at June 30, 2020 and December 31,</w:t>
            </w:r>
          </w:p>
        </w:tc>
        <w:tc>
          <w:tcPr>
            <w:tcW w:w="200" w:type="dxa"/>
            <w:vAlign w:val="bottom"/>
            <w:shd w:val="clear" w:color="auto" w:fill="DDDDDD"/>
          </w:tcPr>
          <w:p>
            <w:pPr>
              <w:spacing w:after="0"/>
              <w:rPr>
                <w:sz w:val="14"/>
                <w:szCs w:val="14"/>
                <w:color w:val="auto"/>
              </w:rPr>
            </w:pPr>
          </w:p>
        </w:tc>
        <w:tc>
          <w:tcPr>
            <w:tcW w:w="144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400" w:type="dxa"/>
            <w:vAlign w:val="bottom"/>
            <w:shd w:val="clear" w:color="auto" w:fill="DDDDDD"/>
          </w:tcPr>
          <w:p>
            <w:pPr>
              <w:spacing w:after="0"/>
              <w:rPr>
                <w:sz w:val="14"/>
                <w:szCs w:val="14"/>
                <w:color w:val="auto"/>
              </w:rPr>
            </w:pPr>
          </w:p>
        </w:tc>
        <w:tc>
          <w:tcPr>
            <w:tcW w:w="1240" w:type="dxa"/>
            <w:vAlign w:val="bottom"/>
            <w:shd w:val="clear" w:color="auto" w:fill="DDDDDD"/>
          </w:tcPr>
          <w:p>
            <w:pPr>
              <w:spacing w:after="0"/>
              <w:rPr>
                <w:sz w:val="14"/>
                <w:szCs w:val="14"/>
                <w:color w:val="auto"/>
              </w:rPr>
            </w:pPr>
          </w:p>
        </w:tc>
      </w:tr>
      <w:tr>
        <w:trPr>
          <w:trHeight w:val="201"/>
        </w:trPr>
        <w:tc>
          <w:tcPr>
            <w:tcW w:w="7860" w:type="dxa"/>
            <w:vAlign w:val="bottom"/>
            <w:shd w:val="clear" w:color="auto" w:fill="DDDDDD"/>
          </w:tcPr>
          <w:p>
            <w:pPr>
              <w:ind w:left="240"/>
              <w:spacing w:after="0"/>
              <w:rPr>
                <w:sz w:val="20"/>
                <w:szCs w:val="20"/>
                <w:color w:val="auto"/>
              </w:rPr>
            </w:pPr>
            <w:r>
              <w:rPr>
                <w:rFonts w:ascii="Arial" w:cs="Arial" w:eastAsia="Arial" w:hAnsi="Arial"/>
                <w:sz w:val="16"/>
                <w:szCs w:val="16"/>
                <w:color w:val="auto"/>
              </w:rPr>
              <w:t>2019, respectively</w:t>
            </w:r>
          </w:p>
        </w:tc>
        <w:tc>
          <w:tcPr>
            <w:tcW w:w="200" w:type="dxa"/>
            <w:vAlign w:val="bottom"/>
            <w:shd w:val="clear" w:color="auto" w:fill="DDDDDD"/>
          </w:tcPr>
          <w:p>
            <w:pPr>
              <w:spacing w:after="0"/>
              <w:rPr>
                <w:sz w:val="17"/>
                <w:szCs w:val="17"/>
                <w:color w:val="auto"/>
              </w:rPr>
            </w:pPr>
          </w:p>
        </w:tc>
        <w:tc>
          <w:tcPr>
            <w:tcW w:w="14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240" w:type="dxa"/>
            <w:vAlign w:val="bottom"/>
            <w:shd w:val="clear" w:color="auto" w:fill="DDDDDD"/>
          </w:tcPr>
          <w:p>
            <w:pPr>
              <w:spacing w:after="0"/>
              <w:rPr>
                <w:sz w:val="17"/>
                <w:szCs w:val="17"/>
                <w:color w:val="auto"/>
              </w:rPr>
            </w:pPr>
          </w:p>
        </w:tc>
      </w:tr>
      <w:tr>
        <w:trPr>
          <w:trHeight w:val="177"/>
        </w:trPr>
        <w:tc>
          <w:tcPr>
            <w:tcW w:w="7860" w:type="dxa"/>
            <w:vAlign w:val="bottom"/>
          </w:tcPr>
          <w:p>
            <w:pPr>
              <w:ind w:left="240"/>
              <w:spacing w:after="0" w:line="178" w:lineRule="exact"/>
              <w:rPr>
                <w:sz w:val="20"/>
                <w:szCs w:val="20"/>
                <w:color w:val="auto"/>
              </w:rPr>
            </w:pPr>
            <w:r>
              <w:rPr>
                <w:rFonts w:ascii="Arial" w:cs="Arial" w:eastAsia="Arial" w:hAnsi="Arial"/>
                <w:sz w:val="16"/>
                <w:szCs w:val="16"/>
                <w:color w:val="auto"/>
              </w:rPr>
              <w:t>Class B common stock: no shares authorized or outstanding at June 30, 2020 and $0.0001 par,</w:t>
            </w:r>
          </w:p>
        </w:tc>
        <w:tc>
          <w:tcPr>
            <w:tcW w:w="200" w:type="dxa"/>
            <w:vAlign w:val="bottom"/>
          </w:tcPr>
          <w:p>
            <w:pPr>
              <w:spacing w:after="0"/>
              <w:rPr>
                <w:sz w:val="15"/>
                <w:szCs w:val="15"/>
                <w:color w:val="auto"/>
              </w:rPr>
            </w:pPr>
          </w:p>
        </w:tc>
        <w:tc>
          <w:tcPr>
            <w:tcW w:w="154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color w:val="auto"/>
              </w:rPr>
              <w:t>1</w:t>
            </w:r>
          </w:p>
        </w:tc>
      </w:tr>
      <w:tr>
        <w:trPr>
          <w:trHeight w:val="162"/>
        </w:trPr>
        <w:tc>
          <w:tcPr>
            <w:tcW w:w="7860" w:type="dxa"/>
            <w:vAlign w:val="bottom"/>
          </w:tcPr>
          <w:p>
            <w:pPr>
              <w:ind w:left="240"/>
              <w:spacing w:after="0" w:line="162" w:lineRule="exact"/>
              <w:rPr>
                <w:sz w:val="20"/>
                <w:szCs w:val="20"/>
                <w:color w:val="auto"/>
              </w:rPr>
            </w:pPr>
            <w:r>
              <w:rPr>
                <w:rFonts w:ascii="Arial" w:cs="Arial" w:eastAsia="Arial" w:hAnsi="Arial"/>
                <w:sz w:val="16"/>
                <w:szCs w:val="16"/>
                <w:color w:val="auto"/>
              </w:rPr>
              <w:t>100,000,000 shares authorized at December 31, 2019; 8,024,419 shares issued and outstanding at</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8"/>
        </w:trPr>
        <w:tc>
          <w:tcPr>
            <w:tcW w:w="7860" w:type="dxa"/>
            <w:vAlign w:val="bottom"/>
          </w:tcPr>
          <w:p>
            <w:pPr>
              <w:ind w:left="240"/>
              <w:spacing w:after="0"/>
              <w:rPr>
                <w:sz w:val="20"/>
                <w:szCs w:val="20"/>
                <w:color w:val="auto"/>
              </w:rPr>
            </w:pPr>
            <w:r>
              <w:rPr>
                <w:rFonts w:ascii="Arial" w:cs="Arial" w:eastAsia="Arial" w:hAnsi="Arial"/>
                <w:sz w:val="16"/>
                <w:szCs w:val="16"/>
                <w:color w:val="auto"/>
              </w:rPr>
              <w:t>December 31, 2019</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6"/>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Additional paid-in-capital</w:t>
            </w:r>
          </w:p>
        </w:tc>
        <w:tc>
          <w:tcPr>
            <w:tcW w:w="200" w:type="dxa"/>
            <w:vAlign w:val="bottom"/>
            <w:shd w:val="clear" w:color="auto" w:fill="DDDDDD"/>
          </w:tcPr>
          <w:p>
            <w:pPr>
              <w:spacing w:after="0"/>
              <w:rPr>
                <w:sz w:val="21"/>
                <w:szCs w:val="21"/>
                <w:color w:val="auto"/>
              </w:rPr>
            </w:pPr>
          </w:p>
        </w:tc>
        <w:tc>
          <w:tcPr>
            <w:tcW w:w="14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2,471,312</w:t>
            </w:r>
          </w:p>
        </w:tc>
        <w:tc>
          <w:tcPr>
            <w:tcW w:w="1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2,396,501</w:t>
            </w: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(84,807)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(62,775)</w:t>
            </w:r>
          </w:p>
        </w:tc>
      </w:tr>
      <w:tr>
        <w:trPr>
          <w:trHeight w:val="253"/>
        </w:trPr>
        <w:tc>
          <w:tcPr>
            <w:tcW w:w="7860" w:type="dxa"/>
            <w:vAlign w:val="bottom"/>
            <w:shd w:val="clear" w:color="auto" w:fill="DDDDDD"/>
          </w:tcPr>
          <w:p>
            <w:pPr>
              <w:ind w:left="22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shd w:val="clear" w:color="auto" w:fill="DDDDDD"/>
          </w:tcPr>
          <w:p>
            <w:pPr>
              <w:spacing w:after="0"/>
              <w:rPr>
                <w:sz w:val="21"/>
                <w:szCs w:val="21"/>
                <w:color w:val="auto"/>
              </w:rPr>
            </w:pPr>
          </w:p>
        </w:tc>
        <w:tc>
          <w:tcPr>
            <w:tcW w:w="144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6"/>
                <w:szCs w:val="16"/>
                <w:color w:val="auto"/>
              </w:rPr>
              <w:t>(1,681,427)</w:t>
            </w:r>
          </w:p>
        </w:tc>
        <w:tc>
          <w:tcPr>
            <w:tcW w:w="100" w:type="dxa"/>
            <w:vAlign w:val="bottom"/>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6"/>
                <w:szCs w:val="16"/>
                <w:color w:val="auto"/>
              </w:rPr>
              <w:t>(1,689,373)</w:t>
            </w:r>
          </w:p>
        </w:tc>
      </w:tr>
      <w:tr>
        <w:trPr>
          <w:trHeight w:val="227"/>
        </w:trPr>
        <w:tc>
          <w:tcPr>
            <w:tcW w:w="786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20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705,090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644,365</w:t>
            </w:r>
          </w:p>
        </w:tc>
      </w:tr>
      <w:tr>
        <w:trPr>
          <w:trHeight w:val="253"/>
        </w:trPr>
        <w:tc>
          <w:tcPr>
            <w:tcW w:w="7860" w:type="dxa"/>
            <w:vAlign w:val="bottom"/>
            <w:shd w:val="clear" w:color="auto" w:fill="DDDDDD"/>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shd w:val="clear" w:color="auto" w:fill="DDDDDD"/>
          </w:tcPr>
          <w:p>
            <w:pPr>
              <w:spacing w:after="0"/>
              <w:rPr>
                <w:sz w:val="21"/>
                <w:szCs w:val="21"/>
                <w:color w:val="auto"/>
              </w:rPr>
            </w:pPr>
          </w:p>
        </w:tc>
        <w:tc>
          <w:tcPr>
            <w:tcW w:w="1540" w:type="dxa"/>
            <w:vAlign w:val="bottom"/>
            <w:gridSpan w:val="2"/>
            <w:shd w:val="clear" w:color="auto" w:fill="DDDDDD"/>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9"/>
              <w:spacing w:after="0"/>
              <w:rPr>
                <w:sz w:val="20"/>
                <w:szCs w:val="20"/>
                <w:color w:val="auto"/>
              </w:rPr>
            </w:pPr>
            <w:r>
              <w:rPr>
                <w:rFonts w:ascii="Arial" w:cs="Arial" w:eastAsia="Arial" w:hAnsi="Arial"/>
                <w:sz w:val="16"/>
                <w:szCs w:val="16"/>
                <w:color w:val="auto"/>
              </w:rPr>
              <w:t>64,590</w:t>
            </w:r>
          </w:p>
        </w:tc>
      </w:tr>
      <w:tr>
        <w:trPr>
          <w:trHeight w:val="230"/>
        </w:trPr>
        <w:tc>
          <w:tcPr>
            <w:tcW w:w="786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705,090</w:t>
            </w:r>
          </w:p>
        </w:tc>
        <w:tc>
          <w:tcPr>
            <w:tcW w:w="100" w:type="dxa"/>
            <w:vAlign w:val="bottom"/>
            <w:tcBorders>
              <w:bottom w:val="single" w:sz="8" w:color="DDDDDD"/>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708,955</w:t>
            </w:r>
          </w:p>
        </w:tc>
      </w:tr>
      <w:tr>
        <w:trPr>
          <w:trHeight w:val="261"/>
        </w:trPr>
        <w:tc>
          <w:tcPr>
            <w:tcW w:w="78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3,501,540</w:t>
            </w:r>
          </w:p>
        </w:tc>
        <w:tc>
          <w:tcPr>
            <w:tcW w:w="100" w:type="dxa"/>
            <w:vAlign w:val="bottom"/>
            <w:tcBorders>
              <w:bottom w:val="single" w:sz="8" w:color="DDDDDD"/>
            </w:tcBorders>
            <w:shd w:val="clear" w:color="auto" w:fill="DDDDDD"/>
          </w:tcPr>
          <w:p>
            <w:pPr>
              <w:spacing w:after="0"/>
              <w:rPr>
                <w:sz w:val="22"/>
                <w:szCs w:val="22"/>
                <w:color w:val="auto"/>
              </w:rPr>
            </w:pPr>
          </w:p>
        </w:tc>
        <w:tc>
          <w:tcPr>
            <w:tcW w:w="400" w:type="dxa"/>
            <w:vAlign w:val="bottom"/>
            <w:tcBorders>
              <w:bottom w:val="single" w:sz="8" w:color="auto"/>
            </w:tcBorders>
            <w:shd w:val="clear" w:color="auto" w:fill="DDDDDD"/>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DDDDD"/>
          </w:tcPr>
          <w:p>
            <w:pPr>
              <w:jc w:val="right"/>
              <w:ind w:right="79"/>
              <w:spacing w:after="0"/>
              <w:rPr>
                <w:sz w:val="20"/>
                <w:szCs w:val="20"/>
                <w:color w:val="auto"/>
              </w:rPr>
            </w:pPr>
            <w:r>
              <w:rPr>
                <w:rFonts w:ascii="Arial" w:cs="Arial" w:eastAsia="Arial" w:hAnsi="Arial"/>
                <w:sz w:val="16"/>
                <w:szCs w:val="16"/>
                <w:color w:val="auto"/>
              </w:rPr>
              <w:t>2,897,649</w:t>
            </w:r>
          </w:p>
        </w:tc>
      </w:tr>
      <w:tr>
        <w:trPr>
          <w:trHeight w:val="20"/>
        </w:trPr>
        <w:tc>
          <w:tcPr>
            <w:tcW w:w="786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4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240" w:type="dxa"/>
            <w:vAlign w:val="bottom"/>
            <w:tcBorders>
              <w:top w:val="single" w:sz="8" w:color="DDDDDD"/>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240"/>
          </w:cols>
          <w:pgMar w:left="320" w:top="591" w:right="339" w:bottom="1440" w:gutter="0" w:footer="0" w:header="0"/>
        </w:sectPr>
      </w:pP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3"/>
          <w:szCs w:val="23"/>
          <w:color w:val="1D2758"/>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3140" w:type="dxa"/>
            <w:vAlign w:val="bottom"/>
            <w:gridSpan w:val="5"/>
            <w:shd w:val="clear" w:color="auto" w:fill="1D2758"/>
          </w:tcPr>
          <w:p>
            <w:pPr>
              <w:ind w:left="540"/>
              <w:spacing w:after="0"/>
              <w:rPr>
                <w:sz w:val="20"/>
                <w:szCs w:val="20"/>
                <w:color w:val="auto"/>
              </w:rPr>
            </w:pPr>
            <w:r>
              <w:rPr>
                <w:rFonts w:ascii="Arial" w:cs="Arial" w:eastAsia="Arial" w:hAnsi="Arial"/>
                <w:sz w:val="16"/>
                <w:szCs w:val="16"/>
                <w:b w:val="1"/>
                <w:bCs w:val="1"/>
                <w:color w:val="FFFFFF"/>
              </w:rPr>
              <w:t>Three Months Ended</w:t>
            </w:r>
          </w:p>
        </w:tc>
        <w:tc>
          <w:tcPr>
            <w:tcW w:w="260" w:type="dxa"/>
            <w:vAlign w:val="bottom"/>
            <w:shd w:val="clear" w:color="auto" w:fill="1D2758"/>
          </w:tcPr>
          <w:p>
            <w:pPr>
              <w:spacing w:after="0"/>
              <w:rPr>
                <w:sz w:val="16"/>
                <w:szCs w:val="16"/>
                <w:color w:val="auto"/>
              </w:rPr>
            </w:pPr>
          </w:p>
        </w:tc>
        <w:tc>
          <w:tcPr>
            <w:tcW w:w="2740" w:type="dxa"/>
            <w:vAlign w:val="bottom"/>
            <w:gridSpan w:val="4"/>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Six Months Ended</w:t>
            </w:r>
          </w:p>
        </w:tc>
        <w:tc>
          <w:tcPr>
            <w:tcW w:w="0" w:type="dxa"/>
            <w:vAlign w:val="bottom"/>
          </w:tcPr>
          <w:p>
            <w:pPr>
              <w:spacing w:after="0"/>
              <w:rPr>
                <w:sz w:val="1"/>
                <w:szCs w:val="1"/>
                <w:color w:val="auto"/>
              </w:rPr>
            </w:pPr>
          </w:p>
        </w:tc>
      </w:tr>
      <w:tr>
        <w:trPr>
          <w:trHeight w:val="215"/>
        </w:trPr>
        <w:tc>
          <w:tcPr>
            <w:tcW w:w="476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82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June 30,</w:t>
            </w:r>
          </w:p>
        </w:tc>
        <w:tc>
          <w:tcPr>
            <w:tcW w:w="12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62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June 30,</w:t>
            </w: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40" w:type="dxa"/>
            <w:vAlign w:val="bottom"/>
            <w:shd w:val="clear" w:color="auto" w:fill="1D2758"/>
          </w:tcPr>
          <w:p>
            <w:pPr>
              <w:spacing w:after="0"/>
              <w:rPr>
                <w:sz w:val="19"/>
                <w:szCs w:val="19"/>
                <w:color w:val="auto"/>
              </w:rPr>
            </w:pPr>
          </w:p>
        </w:tc>
        <w:tc>
          <w:tcPr>
            <w:tcW w:w="1300" w:type="dxa"/>
            <w:vAlign w:val="bottom"/>
            <w:vMerge w:val="restart"/>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420" w:type="dxa"/>
            <w:vAlign w:val="bottom"/>
            <w:shd w:val="clear" w:color="auto" w:fill="1D2758"/>
          </w:tcPr>
          <w:p>
            <w:pPr>
              <w:spacing w:after="0"/>
              <w:rPr>
                <w:sz w:val="19"/>
                <w:szCs w:val="19"/>
                <w:color w:val="auto"/>
              </w:rPr>
            </w:pPr>
          </w:p>
        </w:tc>
        <w:tc>
          <w:tcPr>
            <w:tcW w:w="1220" w:type="dxa"/>
            <w:vAlign w:val="bottom"/>
            <w:vMerge w:val="restart"/>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9"/>
                <w:szCs w:val="19"/>
                <w:color w:val="auto"/>
              </w:rPr>
            </w:pPr>
          </w:p>
        </w:tc>
        <w:tc>
          <w:tcPr>
            <w:tcW w:w="260" w:type="dxa"/>
            <w:vAlign w:val="bottom"/>
            <w:shd w:val="clear" w:color="auto" w:fill="1D2758"/>
          </w:tcPr>
          <w:p>
            <w:pPr>
              <w:spacing w:after="0"/>
              <w:rPr>
                <w:sz w:val="19"/>
                <w:szCs w:val="19"/>
                <w:color w:val="auto"/>
              </w:rPr>
            </w:pPr>
          </w:p>
        </w:tc>
        <w:tc>
          <w:tcPr>
            <w:tcW w:w="118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9"/>
                <w:szCs w:val="19"/>
                <w:color w:val="auto"/>
              </w:rPr>
            </w:pPr>
          </w:p>
        </w:tc>
        <w:tc>
          <w:tcPr>
            <w:tcW w:w="320" w:type="dxa"/>
            <w:vAlign w:val="bottom"/>
            <w:shd w:val="clear" w:color="auto" w:fill="1D2758"/>
          </w:tcPr>
          <w:p>
            <w:pPr>
              <w:spacing w:after="0"/>
              <w:rPr>
                <w:sz w:val="19"/>
                <w:szCs w:val="19"/>
                <w:color w:val="auto"/>
              </w:rPr>
            </w:pPr>
          </w:p>
        </w:tc>
        <w:tc>
          <w:tcPr>
            <w:tcW w:w="112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00"/>
        </w:trPr>
        <w:tc>
          <w:tcPr>
            <w:tcW w:w="4760" w:type="dxa"/>
            <w:vAlign w:val="bottom"/>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130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420" w:type="dxa"/>
            <w:vAlign w:val="bottom"/>
            <w:shd w:val="clear" w:color="auto" w:fill="1D2758"/>
          </w:tcPr>
          <w:p>
            <w:pPr>
              <w:spacing w:after="0"/>
              <w:rPr>
                <w:sz w:val="8"/>
                <w:szCs w:val="8"/>
                <w:color w:val="auto"/>
              </w:rPr>
            </w:pPr>
          </w:p>
        </w:tc>
        <w:tc>
          <w:tcPr>
            <w:tcW w:w="12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260" w:type="dxa"/>
            <w:vAlign w:val="bottom"/>
            <w:shd w:val="clear" w:color="auto" w:fill="1D2758"/>
          </w:tcPr>
          <w:p>
            <w:pPr>
              <w:spacing w:after="0"/>
              <w:rPr>
                <w:sz w:val="8"/>
                <w:szCs w:val="8"/>
                <w:color w:val="auto"/>
              </w:rPr>
            </w:pPr>
          </w:p>
        </w:tc>
        <w:tc>
          <w:tcPr>
            <w:tcW w:w="1180" w:type="dxa"/>
            <w:vAlign w:val="bottom"/>
            <w:vMerge w:val="continue"/>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12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190,143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185,818</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378,495</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363,110</w:t>
            </w:r>
          </w:p>
        </w:tc>
        <w:tc>
          <w:tcPr>
            <w:tcW w:w="0" w:type="dxa"/>
            <w:vAlign w:val="bottom"/>
          </w:tcPr>
          <w:p>
            <w:pPr>
              <w:spacing w:after="0"/>
              <w:rPr>
                <w:sz w:val="1"/>
                <w:szCs w:val="1"/>
                <w:color w:val="auto"/>
              </w:rPr>
            </w:pPr>
          </w:p>
        </w:tc>
      </w:tr>
      <w:tr>
        <w:trPr>
          <w:trHeight w:val="233"/>
        </w:trPr>
        <w:tc>
          <w:tcPr>
            <w:tcW w:w="476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51,640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55,966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102,710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105,966</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9,763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11,507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19,376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26,348</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5,316</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10,422</w:t>
            </w:r>
          </w:p>
        </w:tc>
        <w:tc>
          <w:tcPr>
            <w:tcW w:w="10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12,102</w:t>
            </w:r>
          </w:p>
        </w:tc>
        <w:tc>
          <w:tcPr>
            <w:tcW w:w="12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21,974</w:t>
            </w:r>
          </w:p>
        </w:tc>
        <w:tc>
          <w:tcPr>
            <w:tcW w:w="0" w:type="dxa"/>
            <w:vAlign w:val="bottom"/>
          </w:tcPr>
          <w:p>
            <w:pPr>
              <w:spacing w:after="0"/>
              <w:rPr>
                <w:sz w:val="1"/>
                <w:szCs w:val="1"/>
                <w:color w:val="auto"/>
              </w:rPr>
            </w:pPr>
          </w:p>
        </w:tc>
      </w:tr>
      <w:tr>
        <w:trPr>
          <w:trHeight w:val="227"/>
        </w:trPr>
        <w:tc>
          <w:tcPr>
            <w:tcW w:w="476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256,862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263,713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512,683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517,398</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47,747</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55,073</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97,556</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102,308</w:t>
            </w:r>
          </w:p>
        </w:tc>
        <w:tc>
          <w:tcPr>
            <w:tcW w:w="0" w:type="dxa"/>
            <w:vAlign w:val="bottom"/>
          </w:tcPr>
          <w:p>
            <w:pPr>
              <w:spacing w:after="0"/>
              <w:rPr>
                <w:sz w:val="1"/>
                <w:szCs w:val="1"/>
                <w:color w:val="auto"/>
              </w:rPr>
            </w:pPr>
          </w:p>
        </w:tc>
      </w:tr>
      <w:tr>
        <w:trPr>
          <w:trHeight w:val="233"/>
        </w:trPr>
        <w:tc>
          <w:tcPr>
            <w:tcW w:w="476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43,523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48,468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87,388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91,811</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6,331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7,999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12,534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18,877</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3,803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7,609</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14,516</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45,494</w:t>
            </w:r>
          </w:p>
        </w:tc>
        <w:tc>
          <w:tcPr>
            <w:tcW w:w="10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43,968</w:t>
            </w:r>
          </w:p>
        </w:tc>
        <w:tc>
          <w:tcPr>
            <w:tcW w:w="100" w:type="dxa"/>
            <w:vAlign w:val="bottom"/>
            <w:tcBorders>
              <w:bottom w:val="single" w:sz="8" w:color="E7E7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91,442</w:t>
            </w:r>
          </w:p>
        </w:tc>
        <w:tc>
          <w:tcPr>
            <w:tcW w:w="12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85,071</w:t>
            </w:r>
          </w:p>
        </w:tc>
        <w:tc>
          <w:tcPr>
            <w:tcW w:w="0" w:type="dxa"/>
            <w:vAlign w:val="bottom"/>
          </w:tcPr>
          <w:p>
            <w:pPr>
              <w:spacing w:after="0"/>
              <w:rPr>
                <w:sz w:val="1"/>
                <w:szCs w:val="1"/>
                <w:color w:val="auto"/>
              </w:rPr>
            </w:pPr>
          </w:p>
        </w:tc>
      </w:tr>
      <w:tr>
        <w:trPr>
          <w:trHeight w:val="243"/>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109,964</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101,484</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216,154</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204,815</w:t>
            </w:r>
          </w:p>
        </w:tc>
        <w:tc>
          <w:tcPr>
            <w:tcW w:w="0" w:type="dxa"/>
            <w:vAlign w:val="bottom"/>
          </w:tcPr>
          <w:p>
            <w:pPr>
              <w:spacing w:after="0"/>
              <w:rPr>
                <w:sz w:val="1"/>
                <w:szCs w:val="1"/>
                <w:color w:val="auto"/>
              </w:rPr>
            </w:pP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65,272</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70,385</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140,240</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143,704</w:t>
            </w:r>
          </w:p>
        </w:tc>
        <w:tc>
          <w:tcPr>
            <w:tcW w:w="0" w:type="dxa"/>
            <w:vAlign w:val="bottom"/>
          </w:tcPr>
          <w:p>
            <w:pPr>
              <w:spacing w:after="0"/>
              <w:rPr>
                <w:sz w:val="1"/>
                <w:szCs w:val="1"/>
                <w:color w:val="auto"/>
              </w:rPr>
            </w:pPr>
          </w:p>
        </w:tc>
      </w:tr>
      <w:tr>
        <w:trPr>
          <w:trHeight w:val="233"/>
        </w:trPr>
        <w:tc>
          <w:tcPr>
            <w:tcW w:w="476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2,949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5,957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40" w:type="dxa"/>
            <w:vAlign w:val="bottom"/>
            <w:shd w:val="clear" w:color="auto" w:fill="E7E7E8"/>
          </w:tcPr>
          <w:p>
            <w:pPr>
              <w:spacing w:after="0"/>
              <w:rPr>
                <w:sz w:val="21"/>
                <w:szCs w:val="21"/>
                <w:color w:val="auto"/>
              </w:rPr>
            </w:pPr>
          </w:p>
        </w:tc>
        <w:tc>
          <w:tcPr>
            <w:tcW w:w="14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33"/>
        </w:trPr>
        <w:tc>
          <w:tcPr>
            <w:tcW w:w="476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4,605</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689</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33"/>
        </w:trPr>
        <w:tc>
          <w:tcPr>
            <w:tcW w:w="476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3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E7E7E8"/>
          </w:tcPr>
          <w:p>
            <w:pPr>
              <w:spacing w:after="0"/>
              <w:rPr>
                <w:sz w:val="21"/>
                <w:szCs w:val="21"/>
                <w:color w:val="auto"/>
              </w:rPr>
            </w:pPr>
          </w:p>
        </w:tc>
        <w:tc>
          <w:tcPr>
            <w:tcW w:w="26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27"/>
        </w:trPr>
        <w:tc>
          <w:tcPr>
            <w:tcW w:w="476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41,067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66,440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47,758</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28,519</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31,668</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56,776</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62,783</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43"/>
        </w:trPr>
        <w:tc>
          <w:tcPr>
            <w:tcW w:w="4760" w:type="dxa"/>
            <w:vAlign w:val="bottom"/>
            <w:tcBorders>
              <w:top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Income (loss) from operations before income tax</w:t>
            </w:r>
          </w:p>
        </w:tc>
        <w:tc>
          <w:tcPr>
            <w:tcW w:w="340" w:type="dxa"/>
            <w:vAlign w:val="bottom"/>
            <w:tcBorders>
              <w:top w:val="single" w:sz="8" w:color="auto"/>
            </w:tcBorders>
            <w:shd w:val="clear" w:color="auto" w:fill="E7E7E8"/>
          </w:tcPr>
          <w:p>
            <w:pPr>
              <w:spacing w:after="0"/>
              <w:rPr>
                <w:sz w:val="21"/>
                <w:szCs w:val="21"/>
                <w:color w:val="auto"/>
              </w:rPr>
            </w:pPr>
          </w:p>
        </w:tc>
        <w:tc>
          <w:tcPr>
            <w:tcW w:w="130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12,548</w:t>
            </w:r>
          </w:p>
        </w:tc>
        <w:tc>
          <w:tcPr>
            <w:tcW w:w="100" w:type="dxa"/>
            <w:vAlign w:val="bottom"/>
            <w:tcBorders>
              <w:top w:val="single" w:sz="8" w:color="E7E7E8"/>
            </w:tcBorders>
            <w:shd w:val="clear" w:color="auto" w:fill="E7E7E8"/>
          </w:tcPr>
          <w:p>
            <w:pPr>
              <w:spacing w:after="0"/>
              <w:rPr>
                <w:sz w:val="21"/>
                <w:szCs w:val="21"/>
                <w:color w:val="auto"/>
              </w:rPr>
            </w:pPr>
          </w:p>
        </w:tc>
        <w:tc>
          <w:tcPr>
            <w:tcW w:w="420" w:type="dxa"/>
            <w:vAlign w:val="bottom"/>
            <w:tcBorders>
              <w:top w:val="single" w:sz="8" w:color="auto"/>
            </w:tcBorders>
            <w:shd w:val="clear" w:color="auto" w:fill="E7E7E8"/>
          </w:tcPr>
          <w:p>
            <w:pPr>
              <w:spacing w:after="0"/>
              <w:rPr>
                <w:sz w:val="21"/>
                <w:szCs w:val="21"/>
                <w:color w:val="auto"/>
              </w:rPr>
            </w:pPr>
          </w:p>
        </w:tc>
        <w:tc>
          <w:tcPr>
            <w:tcW w:w="122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(12,618)</w:t>
            </w:r>
          </w:p>
        </w:tc>
        <w:tc>
          <w:tcPr>
            <w:tcW w:w="100" w:type="dxa"/>
            <w:vAlign w:val="bottom"/>
            <w:tcBorders>
              <w:top w:val="single" w:sz="8" w:color="E7E7E8"/>
            </w:tcBorders>
            <w:shd w:val="clear" w:color="auto" w:fill="E7E7E8"/>
          </w:tcPr>
          <w:p>
            <w:pPr>
              <w:spacing w:after="0"/>
              <w:rPr>
                <w:sz w:val="21"/>
                <w:szCs w:val="21"/>
                <w:color w:val="auto"/>
              </w:rPr>
            </w:pPr>
          </w:p>
        </w:tc>
        <w:tc>
          <w:tcPr>
            <w:tcW w:w="260" w:type="dxa"/>
            <w:vAlign w:val="bottom"/>
            <w:tcBorders>
              <w:top w:val="single" w:sz="8" w:color="auto"/>
            </w:tcBorders>
            <w:shd w:val="clear" w:color="auto" w:fill="E7E7E8"/>
          </w:tcPr>
          <w:p>
            <w:pPr>
              <w:spacing w:after="0"/>
              <w:rPr>
                <w:sz w:val="21"/>
                <w:szCs w:val="21"/>
                <w:color w:val="auto"/>
              </w:rPr>
            </w:pPr>
          </w:p>
        </w:tc>
        <w:tc>
          <w:tcPr>
            <w:tcW w:w="118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9,664</w:t>
            </w:r>
          </w:p>
        </w:tc>
        <w:tc>
          <w:tcPr>
            <w:tcW w:w="120" w:type="dxa"/>
            <w:vAlign w:val="bottom"/>
            <w:tcBorders>
              <w:top w:val="single" w:sz="8" w:color="E7E7E8"/>
            </w:tcBorders>
            <w:shd w:val="clear" w:color="auto" w:fill="E7E7E8"/>
          </w:tcPr>
          <w:p>
            <w:pPr>
              <w:spacing w:after="0"/>
              <w:rPr>
                <w:sz w:val="21"/>
                <w:szCs w:val="21"/>
                <w:color w:val="auto"/>
              </w:rPr>
            </w:pPr>
          </w:p>
        </w:tc>
        <w:tc>
          <w:tcPr>
            <w:tcW w:w="320" w:type="dxa"/>
            <w:vAlign w:val="bottom"/>
            <w:tcBorders>
              <w:top w:val="single" w:sz="8" w:color="auto"/>
            </w:tcBorders>
            <w:shd w:val="clear" w:color="auto" w:fill="E7E7E8"/>
          </w:tcPr>
          <w:p>
            <w:pPr>
              <w:spacing w:after="0"/>
              <w:rPr>
                <w:sz w:val="21"/>
                <w:szCs w:val="21"/>
                <w:color w:val="auto"/>
              </w:rPr>
            </w:pPr>
          </w:p>
        </w:tc>
        <w:tc>
          <w:tcPr>
            <w:tcW w:w="112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(22,269)</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E7E7E8"/>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43"/>
        </w:trPr>
        <w:tc>
          <w:tcPr>
            <w:tcW w:w="47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12,833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(11,438)</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9,159</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(21,467)</w:t>
            </w: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 net of</w:t>
            </w:r>
          </w:p>
        </w:tc>
        <w:tc>
          <w:tcPr>
            <w:tcW w:w="3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208"/>
        </w:trPr>
        <w:tc>
          <w:tcPr>
            <w:tcW w:w="47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tax</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E7E7E8"/>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760" w:type="dxa"/>
            <w:vAlign w:val="bottom"/>
            <w:tcBorders>
              <w:bottom w:val="single" w:sz="8" w:color="E7E7E8"/>
            </w:tcBorders>
            <w:shd w:val="clear" w:color="auto" w:fill="E7E7E8"/>
          </w:tcPr>
          <w:p>
            <w:pPr>
              <w:ind w:left="440"/>
              <w:spacing w:after="0"/>
              <w:rPr>
                <w:sz w:val="20"/>
                <w:szCs w:val="20"/>
                <w:color w:val="auto"/>
              </w:rPr>
            </w:pPr>
            <w:r>
              <w:rPr>
                <w:rFonts w:ascii="Arial" w:cs="Arial" w:eastAsia="Arial" w:hAnsi="Arial"/>
                <w:sz w:val="16"/>
                <w:szCs w:val="16"/>
                <w:color w:val="auto"/>
              </w:rPr>
              <w:t>Net Income (loss) attributable to WillScot</w:t>
            </w: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11,490</w:t>
            </w:r>
          </w:p>
        </w:tc>
        <w:tc>
          <w:tcPr>
            <w:tcW w:w="100" w:type="dxa"/>
            <w:vAlign w:val="bottom"/>
            <w:tcBorders>
              <w:bottom w:val="single" w:sz="8" w:color="E7E7E8"/>
            </w:tcBorders>
            <w:shd w:val="clear" w:color="auto" w:fill="E7E7E8"/>
          </w:tcPr>
          <w:p>
            <w:pPr>
              <w:spacing w:after="0"/>
              <w:rPr>
                <w:sz w:val="22"/>
                <w:szCs w:val="22"/>
                <w:color w:val="auto"/>
              </w:rPr>
            </w:pPr>
          </w:p>
        </w:tc>
        <w:tc>
          <w:tcPr>
            <w:tcW w:w="42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(10,606)</w:t>
            </w:r>
          </w:p>
        </w:tc>
        <w:tc>
          <w:tcPr>
            <w:tcW w:w="100" w:type="dxa"/>
            <w:vAlign w:val="bottom"/>
            <w:tcBorders>
              <w:bottom w:val="single" w:sz="8" w:color="E7E7E8"/>
            </w:tcBorders>
            <w:shd w:val="clear" w:color="auto" w:fill="E7E7E8"/>
          </w:tcPr>
          <w:p>
            <w:pPr>
              <w:spacing w:after="0"/>
              <w:rPr>
                <w:sz w:val="22"/>
                <w:szCs w:val="22"/>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7,946</w:t>
            </w:r>
          </w:p>
        </w:tc>
        <w:tc>
          <w:tcPr>
            <w:tcW w:w="120" w:type="dxa"/>
            <w:vAlign w:val="bottom"/>
            <w:tcBorders>
              <w:bottom w:val="single" w:sz="8" w:color="E7E7E8"/>
            </w:tcBorders>
            <w:shd w:val="clear" w:color="auto" w:fill="E7E7E8"/>
          </w:tcPr>
          <w:p>
            <w:pPr>
              <w:spacing w:after="0"/>
              <w:rPr>
                <w:sz w:val="22"/>
                <w:szCs w:val="22"/>
                <w:color w:val="auto"/>
              </w:rPr>
            </w:pPr>
          </w:p>
        </w:tc>
        <w:tc>
          <w:tcPr>
            <w:tcW w:w="3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(19,877)</w:t>
            </w:r>
          </w:p>
        </w:tc>
        <w:tc>
          <w:tcPr>
            <w:tcW w:w="0" w:type="dxa"/>
            <w:vAlign w:val="bottom"/>
          </w:tcPr>
          <w:p>
            <w:pPr>
              <w:spacing w:after="0"/>
              <w:rPr>
                <w:sz w:val="1"/>
                <w:szCs w:val="1"/>
                <w:color w:val="auto"/>
              </w:rPr>
            </w:pPr>
          </w:p>
        </w:tc>
      </w:tr>
      <w:tr>
        <w:trPr>
          <w:trHeight w:val="20"/>
        </w:trPr>
        <w:tc>
          <w:tcPr>
            <w:tcW w:w="476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2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1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Earnings (loss) per share attributable to WillScot</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Weighted average shares: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110,692,426</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108,693,924</w:t>
            </w:r>
          </w:p>
        </w:tc>
        <w:tc>
          <w:tcPr>
            <w:tcW w:w="100" w:type="dxa"/>
            <w:vAlign w:val="bottom"/>
            <w:shd w:val="clear" w:color="auto" w:fill="E7E7E8"/>
          </w:tcPr>
          <w:p>
            <w:pPr>
              <w:spacing w:after="0"/>
              <w:rPr>
                <w:sz w:val="21"/>
                <w:szCs w:val="21"/>
                <w:color w:val="auto"/>
              </w:rPr>
            </w:pPr>
          </w:p>
        </w:tc>
        <w:tc>
          <w:tcPr>
            <w:tcW w:w="26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110,174,536</w:t>
            </w:r>
          </w:p>
        </w:tc>
        <w:tc>
          <w:tcPr>
            <w:tcW w:w="12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108,609,068</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111,432,963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108,693,924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112,209,212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108,609,068</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3"/>
          <w:szCs w:val="23"/>
          <w:color w:val="1D2758"/>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3700" w:type="dxa"/>
            <w:vAlign w:val="bottom"/>
            <w:gridSpan w:val="5"/>
            <w:shd w:val="clear" w:color="auto" w:fill="1D2758"/>
          </w:tcPr>
          <w:p>
            <w:pPr>
              <w:ind w:left="440"/>
              <w:spacing w:after="0"/>
              <w:rPr>
                <w:sz w:val="20"/>
                <w:szCs w:val="20"/>
                <w:color w:val="auto"/>
              </w:rPr>
            </w:pPr>
            <w:r>
              <w:rPr>
                <w:rFonts w:ascii="Arial" w:cs="Arial" w:eastAsia="Arial" w:hAnsi="Arial"/>
                <w:sz w:val="16"/>
                <w:szCs w:val="16"/>
                <w:b w:val="1"/>
                <w:bCs w:val="1"/>
                <w:color w:val="FFFFFF"/>
              </w:rPr>
              <w:t>Three Months Ended</w:t>
            </w:r>
          </w:p>
        </w:tc>
        <w:tc>
          <w:tcPr>
            <w:tcW w:w="300" w:type="dxa"/>
            <w:vAlign w:val="bottom"/>
            <w:shd w:val="clear" w:color="auto" w:fill="1D2758"/>
          </w:tcPr>
          <w:p>
            <w:pPr>
              <w:spacing w:after="0"/>
              <w:rPr>
                <w:sz w:val="16"/>
                <w:szCs w:val="16"/>
                <w:color w:val="auto"/>
              </w:rPr>
            </w:pPr>
          </w:p>
        </w:tc>
        <w:tc>
          <w:tcPr>
            <w:tcW w:w="2520" w:type="dxa"/>
            <w:vAlign w:val="bottom"/>
            <w:gridSpan w:val="4"/>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Six Months Ended</w:t>
            </w:r>
          </w:p>
        </w:tc>
        <w:tc>
          <w:tcPr>
            <w:tcW w:w="0" w:type="dxa"/>
            <w:vAlign w:val="bottom"/>
          </w:tcPr>
          <w:p>
            <w:pPr>
              <w:spacing w:after="0"/>
              <w:rPr>
                <w:sz w:val="1"/>
                <w:szCs w:val="1"/>
                <w:color w:val="auto"/>
              </w:rPr>
            </w:pPr>
          </w:p>
        </w:tc>
      </w:tr>
      <w:tr>
        <w:trPr>
          <w:trHeight w:val="215"/>
        </w:trPr>
        <w:tc>
          <w:tcPr>
            <w:tcW w:w="438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June 30,</w:t>
            </w:r>
          </w:p>
        </w:tc>
        <w:tc>
          <w:tcPr>
            <w:tcW w:w="1080" w:type="dxa"/>
            <w:vAlign w:val="bottom"/>
            <w:shd w:val="clear" w:color="auto" w:fill="1D2758"/>
          </w:tcPr>
          <w:p>
            <w:pPr>
              <w:spacing w:after="0"/>
              <w:rPr>
                <w:sz w:val="18"/>
                <w:szCs w:val="18"/>
                <w:color w:val="auto"/>
              </w:rPr>
            </w:pPr>
          </w:p>
        </w:tc>
        <w:tc>
          <w:tcPr>
            <w:tcW w:w="90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540" w:type="dxa"/>
            <w:vAlign w:val="bottom"/>
            <w:gridSpan w:val="3"/>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June 30,</w:t>
            </w: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9"/>
                <w:szCs w:val="19"/>
                <w:color w:val="auto"/>
              </w:rPr>
            </w:pPr>
          </w:p>
        </w:tc>
        <w:tc>
          <w:tcPr>
            <w:tcW w:w="11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440" w:type="dxa"/>
            <w:vAlign w:val="bottom"/>
            <w:shd w:val="clear" w:color="auto" w:fill="1D2758"/>
          </w:tcPr>
          <w:p>
            <w:pPr>
              <w:spacing w:after="0"/>
              <w:rPr>
                <w:sz w:val="19"/>
                <w:szCs w:val="19"/>
                <w:color w:val="auto"/>
              </w:rPr>
            </w:pPr>
          </w:p>
        </w:tc>
        <w:tc>
          <w:tcPr>
            <w:tcW w:w="10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900" w:type="dxa"/>
            <w:vAlign w:val="bottom"/>
            <w:shd w:val="clear" w:color="auto" w:fill="1D2758"/>
          </w:tcPr>
          <w:p>
            <w:pPr>
              <w:spacing w:after="0"/>
              <w:rPr>
                <w:sz w:val="19"/>
                <w:szCs w:val="19"/>
                <w:color w:val="auto"/>
              </w:rPr>
            </w:pPr>
          </w:p>
        </w:tc>
        <w:tc>
          <w:tcPr>
            <w:tcW w:w="300" w:type="dxa"/>
            <w:vAlign w:val="bottom"/>
            <w:shd w:val="clear" w:color="auto" w:fill="1D2758"/>
          </w:tcPr>
          <w:p>
            <w:pPr>
              <w:spacing w:after="0"/>
              <w:rPr>
                <w:sz w:val="19"/>
                <w:szCs w:val="19"/>
                <w:color w:val="auto"/>
              </w:rPr>
            </w:pPr>
          </w:p>
        </w:tc>
        <w:tc>
          <w:tcPr>
            <w:tcW w:w="106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380" w:type="dxa"/>
            <w:vAlign w:val="bottom"/>
            <w:shd w:val="clear" w:color="auto" w:fill="1D2758"/>
          </w:tcPr>
          <w:p>
            <w:pPr>
              <w:spacing w:after="0"/>
              <w:rPr>
                <w:sz w:val="19"/>
                <w:szCs w:val="19"/>
                <w:color w:val="auto"/>
              </w:rPr>
            </w:pPr>
          </w:p>
        </w:tc>
        <w:tc>
          <w:tcPr>
            <w:tcW w:w="98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81"/>
        </w:trPr>
        <w:tc>
          <w:tcPr>
            <w:tcW w:w="4380" w:type="dxa"/>
            <w:vAlign w:val="bottom"/>
            <w:shd w:val="clear" w:color="auto" w:fill="1D2758"/>
          </w:tcPr>
          <w:p>
            <w:pPr>
              <w:spacing w:after="0"/>
              <w:rPr>
                <w:sz w:val="15"/>
                <w:szCs w:val="15"/>
                <w:color w:val="auto"/>
              </w:rPr>
            </w:pPr>
          </w:p>
        </w:tc>
        <w:tc>
          <w:tcPr>
            <w:tcW w:w="340" w:type="dxa"/>
            <w:vAlign w:val="bottom"/>
            <w:shd w:val="clear" w:color="auto" w:fill="1D2758"/>
          </w:tcPr>
          <w:p>
            <w:pPr>
              <w:spacing w:after="0"/>
              <w:rPr>
                <w:sz w:val="15"/>
                <w:szCs w:val="15"/>
                <w:color w:val="auto"/>
              </w:rPr>
            </w:pPr>
          </w:p>
        </w:tc>
        <w:tc>
          <w:tcPr>
            <w:tcW w:w="1180" w:type="dxa"/>
            <w:vAlign w:val="bottom"/>
            <w:vMerge w:val="continue"/>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440" w:type="dxa"/>
            <w:vAlign w:val="bottom"/>
            <w:shd w:val="clear" w:color="auto" w:fill="1D2758"/>
          </w:tcPr>
          <w:p>
            <w:pPr>
              <w:spacing w:after="0"/>
              <w:rPr>
                <w:sz w:val="15"/>
                <w:szCs w:val="15"/>
                <w:color w:val="auto"/>
              </w:rPr>
            </w:pPr>
          </w:p>
        </w:tc>
        <w:tc>
          <w:tcPr>
            <w:tcW w:w="1080" w:type="dxa"/>
            <w:vAlign w:val="bottom"/>
            <w:vMerge w:val="continue"/>
            <w:shd w:val="clear" w:color="auto" w:fill="1D2758"/>
          </w:tcPr>
          <w:p>
            <w:pPr>
              <w:spacing w:after="0"/>
              <w:rPr>
                <w:sz w:val="15"/>
                <w:szCs w:val="15"/>
                <w:color w:val="auto"/>
              </w:rPr>
            </w:pPr>
          </w:p>
        </w:tc>
        <w:tc>
          <w:tcPr>
            <w:tcW w:w="900" w:type="dxa"/>
            <w:vAlign w:val="bottom"/>
            <w:shd w:val="clear" w:color="auto" w:fill="1D2758"/>
          </w:tcPr>
          <w:p>
            <w:pPr>
              <w:spacing w:after="0"/>
              <w:rPr>
                <w:sz w:val="15"/>
                <w:szCs w:val="15"/>
                <w:color w:val="auto"/>
              </w:rPr>
            </w:pPr>
          </w:p>
        </w:tc>
        <w:tc>
          <w:tcPr>
            <w:tcW w:w="300" w:type="dxa"/>
            <w:vAlign w:val="bottom"/>
            <w:shd w:val="clear" w:color="auto" w:fill="1D2758"/>
          </w:tcPr>
          <w:p>
            <w:pPr>
              <w:spacing w:after="0"/>
              <w:rPr>
                <w:sz w:val="15"/>
                <w:szCs w:val="15"/>
                <w:color w:val="auto"/>
              </w:rPr>
            </w:pPr>
          </w:p>
        </w:tc>
        <w:tc>
          <w:tcPr>
            <w:tcW w:w="1060" w:type="dxa"/>
            <w:vAlign w:val="bottom"/>
            <w:vMerge w:val="continue"/>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98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12,833</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(11,438)</w:t>
            </w:r>
          </w:p>
        </w:tc>
        <w:tc>
          <w:tcPr>
            <w:tcW w:w="900" w:type="dxa"/>
            <w:vAlign w:val="bottom"/>
            <w:shd w:val="clear" w:color="auto" w:fill="E7E7E8"/>
          </w:tcPr>
          <w:p>
            <w:pPr>
              <w:spacing w:after="0"/>
              <w:rPr>
                <w:sz w:val="21"/>
                <w:szCs w:val="21"/>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9,159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(21,467)</w:t>
            </w:r>
          </w:p>
        </w:tc>
        <w:tc>
          <w:tcPr>
            <w:tcW w:w="0" w:type="dxa"/>
            <w:vAlign w:val="bottom"/>
          </w:tcPr>
          <w:p>
            <w:pPr>
              <w:spacing w:after="0"/>
              <w:rPr>
                <w:sz w:val="1"/>
                <w:szCs w:val="1"/>
                <w:color w:val="auto"/>
              </w:rPr>
            </w:pPr>
          </w:p>
        </w:tc>
      </w:tr>
      <w:tr>
        <w:trPr>
          <w:trHeight w:val="233"/>
        </w:trPr>
        <w:tc>
          <w:tcPr>
            <w:tcW w:w="43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Foreign currency translation adjustment, net of income</w:t>
            </w:r>
          </w:p>
        </w:tc>
        <w:tc>
          <w:tcPr>
            <w:tcW w:w="340" w:type="dxa"/>
            <w:vAlign w:val="bottom"/>
            <w:shd w:val="clear" w:color="auto" w:fill="E7E7E8"/>
          </w:tcPr>
          <w:p>
            <w:pPr>
              <w:spacing w:after="0"/>
              <w:rPr>
                <w:sz w:val="16"/>
                <w:szCs w:val="16"/>
                <w:color w:val="auto"/>
              </w:rPr>
            </w:pPr>
          </w:p>
        </w:tc>
        <w:tc>
          <w:tcPr>
            <w:tcW w:w="11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4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80" w:type="dxa"/>
            <w:vAlign w:val="bottom"/>
            <w:shd w:val="clear" w:color="auto" w:fill="E7E7E8"/>
          </w:tcPr>
          <w:p>
            <w:pPr>
              <w:ind w:left="240"/>
              <w:spacing w:after="0" w:line="162" w:lineRule="exact"/>
              <w:rPr>
                <w:sz w:val="20"/>
                <w:szCs w:val="20"/>
                <w:color w:val="auto"/>
              </w:rPr>
            </w:pPr>
            <w:r>
              <w:rPr>
                <w:rFonts w:ascii="Arial" w:cs="Arial" w:eastAsia="Arial" w:hAnsi="Arial"/>
                <w:sz w:val="16"/>
                <w:szCs w:val="16"/>
                <w:color w:val="auto"/>
              </w:rPr>
              <w:t>tax expense of $0 for the three and six months ended</w:t>
            </w:r>
          </w:p>
        </w:tc>
        <w:tc>
          <w:tcPr>
            <w:tcW w:w="340" w:type="dxa"/>
            <w:vAlign w:val="bottom"/>
            <w:shd w:val="clear" w:color="auto" w:fill="E7E7E8"/>
          </w:tcPr>
          <w:p>
            <w:pPr>
              <w:spacing w:after="0"/>
              <w:rPr>
                <w:sz w:val="14"/>
                <w:szCs w:val="14"/>
                <w:color w:val="auto"/>
              </w:rPr>
            </w:pPr>
          </w:p>
        </w:tc>
        <w:tc>
          <w:tcPr>
            <w:tcW w:w="118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7,982</w:t>
            </w:r>
          </w:p>
        </w:tc>
        <w:tc>
          <w:tcPr>
            <w:tcW w:w="100" w:type="dxa"/>
            <w:vAlign w:val="bottom"/>
            <w:shd w:val="clear" w:color="auto" w:fill="E7E7E8"/>
          </w:tcPr>
          <w:p>
            <w:pPr>
              <w:spacing w:after="0"/>
              <w:rPr>
                <w:sz w:val="14"/>
                <w:szCs w:val="14"/>
                <w:color w:val="auto"/>
              </w:rPr>
            </w:pPr>
          </w:p>
        </w:tc>
        <w:tc>
          <w:tcPr>
            <w:tcW w:w="440" w:type="dxa"/>
            <w:vAlign w:val="bottom"/>
            <w:shd w:val="clear" w:color="auto" w:fill="E7E7E8"/>
          </w:tcPr>
          <w:p>
            <w:pPr>
              <w:spacing w:after="0"/>
              <w:rPr>
                <w:sz w:val="14"/>
                <w:szCs w:val="14"/>
                <w:color w:val="auto"/>
              </w:rPr>
            </w:pPr>
          </w:p>
        </w:tc>
        <w:tc>
          <w:tcPr>
            <w:tcW w:w="108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4,321</w:t>
            </w:r>
          </w:p>
        </w:tc>
        <w:tc>
          <w:tcPr>
            <w:tcW w:w="90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10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(13,162)</w:t>
            </w:r>
          </w:p>
        </w:tc>
        <w:tc>
          <w:tcPr>
            <w:tcW w:w="10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80" w:type="dxa"/>
            <w:vAlign w:val="bottom"/>
            <w:vMerge w:val="restart"/>
            <w:shd w:val="clear" w:color="auto" w:fill="E7E7E8"/>
          </w:tcPr>
          <w:p>
            <w:pPr>
              <w:jc w:val="right"/>
              <w:ind w:right="79"/>
              <w:spacing w:after="0"/>
              <w:rPr>
                <w:sz w:val="20"/>
                <w:szCs w:val="20"/>
                <w:color w:val="auto"/>
              </w:rPr>
            </w:pPr>
            <w:r>
              <w:rPr>
                <w:rFonts w:ascii="Arial" w:cs="Arial" w:eastAsia="Arial" w:hAnsi="Arial"/>
                <w:sz w:val="16"/>
                <w:szCs w:val="16"/>
                <w:color w:val="auto"/>
              </w:rPr>
              <w:t>8,436</w:t>
            </w:r>
          </w:p>
        </w:tc>
        <w:tc>
          <w:tcPr>
            <w:tcW w:w="0" w:type="dxa"/>
            <w:vAlign w:val="bottom"/>
          </w:tcPr>
          <w:p>
            <w:pPr>
              <w:spacing w:after="0"/>
              <w:rPr>
                <w:sz w:val="1"/>
                <w:szCs w:val="1"/>
                <w:color w:val="auto"/>
              </w:rPr>
            </w:pPr>
          </w:p>
        </w:tc>
      </w:tr>
      <w:tr>
        <w:trPr>
          <w:trHeight w:val="201"/>
        </w:trPr>
        <w:tc>
          <w:tcPr>
            <w:tcW w:w="43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June 30, 2020 and 2019</w:t>
            </w:r>
          </w:p>
        </w:tc>
        <w:tc>
          <w:tcPr>
            <w:tcW w:w="340" w:type="dxa"/>
            <w:vAlign w:val="bottom"/>
            <w:shd w:val="clear" w:color="auto" w:fill="E7E7E8"/>
          </w:tcPr>
          <w:p>
            <w:pPr>
              <w:spacing w:after="0"/>
              <w:rPr>
                <w:sz w:val="17"/>
                <w:szCs w:val="17"/>
                <w:color w:val="auto"/>
              </w:rPr>
            </w:pPr>
          </w:p>
        </w:tc>
        <w:tc>
          <w:tcPr>
            <w:tcW w:w="1180" w:type="dxa"/>
            <w:vAlign w:val="bottom"/>
            <w:vMerge w:val="continue"/>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080" w:type="dxa"/>
            <w:vAlign w:val="bottom"/>
            <w:vMerge w:val="continue"/>
            <w:shd w:val="clear" w:color="auto" w:fill="E7E7E8"/>
          </w:tcPr>
          <w:p>
            <w:pPr>
              <w:spacing w:after="0"/>
              <w:rPr>
                <w:sz w:val="17"/>
                <w:szCs w:val="17"/>
                <w:color w:val="auto"/>
              </w:rPr>
            </w:pPr>
          </w:p>
        </w:tc>
        <w:tc>
          <w:tcPr>
            <w:tcW w:w="900" w:type="dxa"/>
            <w:vAlign w:val="bottom"/>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vMerge w:val="continue"/>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980" w:type="dxa"/>
            <w:vAlign w:val="bottom"/>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380" w:type="dxa"/>
            <w:vAlign w:val="bottom"/>
          </w:tcPr>
          <w:p>
            <w:pPr>
              <w:ind w:left="240"/>
              <w:spacing w:after="0" w:line="178" w:lineRule="exact"/>
              <w:rPr>
                <w:sz w:val="20"/>
                <w:szCs w:val="20"/>
                <w:color w:val="auto"/>
              </w:rPr>
            </w:pPr>
            <w:r>
              <w:rPr>
                <w:rFonts w:ascii="Arial" w:cs="Arial" w:eastAsia="Arial" w:hAnsi="Arial"/>
                <w:sz w:val="16"/>
                <w:szCs w:val="16"/>
                <w:color w:val="auto"/>
              </w:rPr>
              <w:t>Net gain (loss) on derivatives, net of income tax benefit</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240"/>
              <w:spacing w:after="0" w:line="162" w:lineRule="exact"/>
              <w:rPr>
                <w:sz w:val="20"/>
                <w:szCs w:val="20"/>
                <w:color w:val="auto"/>
              </w:rPr>
            </w:pPr>
            <w:r>
              <w:rPr>
                <w:rFonts w:ascii="Arial" w:cs="Arial" w:eastAsia="Arial" w:hAnsi="Arial"/>
                <w:sz w:val="16"/>
                <w:szCs w:val="16"/>
                <w:color w:val="auto"/>
              </w:rPr>
              <w:t>of $0, $1,190 for the three months ended June 30, 2020</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240"/>
              <w:spacing w:after="0" w:line="162" w:lineRule="exact"/>
              <w:rPr>
                <w:sz w:val="20"/>
                <w:szCs w:val="20"/>
                <w:color w:val="auto"/>
              </w:rPr>
            </w:pPr>
            <w:r>
              <w:rPr>
                <w:rFonts w:ascii="Arial" w:cs="Arial" w:eastAsia="Arial" w:hAnsi="Arial"/>
                <w:sz w:val="16"/>
                <w:szCs w:val="16"/>
                <w:color w:val="auto"/>
              </w:rPr>
              <w:t>and 2019, respectively and $0, and $1,863 for the six</w:t>
            </w:r>
          </w:p>
        </w:tc>
        <w:tc>
          <w:tcPr>
            <w:tcW w:w="340" w:type="dxa"/>
            <w:vAlign w:val="bottom"/>
          </w:tcPr>
          <w:p>
            <w:pPr>
              <w:spacing w:after="0"/>
              <w:rPr>
                <w:sz w:val="14"/>
                <w:szCs w:val="14"/>
                <w:color w:val="auto"/>
              </w:rPr>
            </w:pP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(3,887)</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(7,783)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(6,088)</w:t>
            </w:r>
          </w:p>
        </w:tc>
        <w:tc>
          <w:tcPr>
            <w:tcW w:w="0" w:type="dxa"/>
            <w:vAlign w:val="bottom"/>
          </w:tcPr>
          <w:p>
            <w:pPr>
              <w:spacing w:after="0"/>
              <w:rPr>
                <w:sz w:val="1"/>
                <w:szCs w:val="1"/>
                <w:color w:val="auto"/>
              </w:rPr>
            </w:pPr>
          </w:p>
        </w:tc>
      </w:tr>
      <w:tr>
        <w:trPr>
          <w:trHeight w:val="198"/>
        </w:trPr>
        <w:tc>
          <w:tcPr>
            <w:tcW w:w="4380" w:type="dxa"/>
            <w:vAlign w:val="bottom"/>
            <w:tcBorders>
              <w:bottom w:val="single" w:sz="8" w:color="E7E7E8"/>
            </w:tcBorders>
          </w:tcPr>
          <w:p>
            <w:pPr>
              <w:ind w:left="240"/>
              <w:spacing w:after="0"/>
              <w:rPr>
                <w:sz w:val="20"/>
                <w:szCs w:val="20"/>
                <w:color w:val="auto"/>
              </w:rPr>
            </w:pPr>
            <w:r>
              <w:rPr>
                <w:rFonts w:ascii="Arial" w:cs="Arial" w:eastAsia="Arial" w:hAnsi="Arial"/>
                <w:sz w:val="16"/>
                <w:szCs w:val="16"/>
                <w:color w:val="auto"/>
              </w:rPr>
              <w:t>months ended June 30, 2020 and 2019, respectively</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7E7E8"/>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E7E7E8"/>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E7E7E8"/>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Comprehensive income (loss)</w:t>
            </w:r>
          </w:p>
        </w:tc>
        <w:tc>
          <w:tcPr>
            <w:tcW w:w="340" w:type="dxa"/>
            <w:vAlign w:val="bottom"/>
            <w:shd w:val="clear" w:color="auto" w:fill="E7E7E8"/>
          </w:tcPr>
          <w:p>
            <w:pPr>
              <w:spacing w:after="0"/>
              <w:rPr>
                <w:sz w:val="20"/>
                <w:szCs w:val="20"/>
                <w:color w:val="auto"/>
              </w:rPr>
            </w:pPr>
          </w:p>
        </w:tc>
        <w:tc>
          <w:tcPr>
            <w:tcW w:w="11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21,790</w:t>
            </w:r>
          </w:p>
        </w:tc>
        <w:tc>
          <w:tcPr>
            <w:tcW w:w="100" w:type="dxa"/>
            <w:vAlign w:val="bottom"/>
            <w:shd w:val="clear" w:color="auto" w:fill="E7E7E8"/>
          </w:tcPr>
          <w:p>
            <w:pPr>
              <w:spacing w:after="0"/>
              <w:rPr>
                <w:sz w:val="20"/>
                <w:szCs w:val="20"/>
                <w:color w:val="auto"/>
              </w:rPr>
            </w:pPr>
          </w:p>
        </w:tc>
        <w:tc>
          <w:tcPr>
            <w:tcW w:w="440" w:type="dxa"/>
            <w:vAlign w:val="bottom"/>
            <w:shd w:val="clear" w:color="auto" w:fill="E7E7E8"/>
          </w:tcPr>
          <w:p>
            <w:pPr>
              <w:spacing w:after="0"/>
              <w:rPr>
                <w:sz w:val="20"/>
                <w:szCs w:val="20"/>
                <w:color w:val="auto"/>
              </w:rPr>
            </w:pP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(11,004)</w:t>
            </w:r>
          </w:p>
        </w:tc>
        <w:tc>
          <w:tcPr>
            <w:tcW w:w="900" w:type="dxa"/>
            <w:vAlign w:val="bottom"/>
            <w:shd w:val="clear" w:color="auto" w:fill="E7E7E8"/>
          </w:tcPr>
          <w:p>
            <w:pPr>
              <w:spacing w:after="0"/>
              <w:rPr>
                <w:sz w:val="20"/>
                <w:szCs w:val="20"/>
                <w:color w:val="auto"/>
              </w:rPr>
            </w:pPr>
          </w:p>
        </w:tc>
        <w:tc>
          <w:tcPr>
            <w:tcW w:w="300" w:type="dxa"/>
            <w:vAlign w:val="bottom"/>
            <w:shd w:val="clear" w:color="auto" w:fill="E7E7E8"/>
          </w:tcPr>
          <w:p>
            <w:pPr>
              <w:spacing w:after="0"/>
              <w:rPr>
                <w:sz w:val="20"/>
                <w:szCs w:val="20"/>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(11,786)</w:t>
            </w: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(19,119)</w:t>
            </w:r>
          </w:p>
        </w:tc>
        <w:tc>
          <w:tcPr>
            <w:tcW w:w="0" w:type="dxa"/>
            <w:vAlign w:val="bottom"/>
          </w:tcPr>
          <w:p>
            <w:pPr>
              <w:spacing w:after="0"/>
              <w:rPr>
                <w:sz w:val="1"/>
                <w:szCs w:val="1"/>
                <w:color w:val="auto"/>
              </w:rPr>
            </w:pPr>
          </w:p>
        </w:tc>
      </w:tr>
      <w:tr>
        <w:trPr>
          <w:trHeight w:val="218"/>
        </w:trPr>
        <w:tc>
          <w:tcPr>
            <w:tcW w:w="4380" w:type="dxa"/>
            <w:vAlign w:val="bottom"/>
          </w:tcPr>
          <w:p>
            <w:pPr>
              <w:ind w:left="220"/>
              <w:spacing w:after="0"/>
              <w:rPr>
                <w:sz w:val="20"/>
                <w:szCs w:val="20"/>
                <w:color w:val="auto"/>
              </w:rPr>
            </w:pPr>
            <w:r>
              <w:rPr>
                <w:rFonts w:ascii="Arial" w:cs="Arial" w:eastAsia="Arial" w:hAnsi="Arial"/>
                <w:sz w:val="16"/>
                <w:szCs w:val="16"/>
                <w:color w:val="auto"/>
              </w:rPr>
              <w:t>Comprehensive income (loss) attributable to non-</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controlling interest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2,161</w:t>
            </w:r>
          </w:p>
        </w:tc>
        <w:tc>
          <w:tcPr>
            <w:tcW w:w="100" w:type="dxa"/>
            <w:vAlign w:val="bottom"/>
            <w:tcBorders>
              <w:bottom w:val="single" w:sz="8" w:color="E7E7E8"/>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(786)</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68"/>
        </w:trPr>
        <w:tc>
          <w:tcPr>
            <w:tcW w:w="43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comprehensive income (loss) attributable to WillScot</w:t>
            </w: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19,629</w:t>
            </w:r>
          </w:p>
        </w:tc>
        <w:tc>
          <w:tcPr>
            <w:tcW w:w="100" w:type="dxa"/>
            <w:vAlign w:val="bottom"/>
            <w:tcBorders>
              <w:bottom w:val="single" w:sz="8" w:color="E7E7E8"/>
            </w:tcBorders>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(10,218)</w:t>
            </w:r>
          </w:p>
        </w:tc>
        <w:tc>
          <w:tcPr>
            <w:tcW w:w="900" w:type="dxa"/>
            <w:vAlign w:val="bottom"/>
            <w:tcBorders>
              <w:bottom w:val="single" w:sz="8" w:color="auto"/>
            </w:tcBorders>
            <w:shd w:val="clear" w:color="auto" w:fill="E7E7E8"/>
          </w:tcPr>
          <w:p>
            <w:pPr>
              <w:spacing w:after="0"/>
              <w:rPr>
                <w:sz w:val="22"/>
                <w:szCs w:val="22"/>
                <w:color w:val="auto"/>
              </w:rPr>
            </w:pPr>
          </w:p>
        </w:tc>
        <w:tc>
          <w:tcPr>
            <w:tcW w:w="3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(11,114)</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(17,741)</w:t>
            </w:r>
          </w:p>
        </w:tc>
        <w:tc>
          <w:tcPr>
            <w:tcW w:w="0" w:type="dxa"/>
            <w:vAlign w:val="bottom"/>
          </w:tcPr>
          <w:p>
            <w:pPr>
              <w:spacing w:after="0"/>
              <w:rPr>
                <w:sz w:val="1"/>
                <w:szCs w:val="1"/>
                <w:color w:val="auto"/>
              </w:rPr>
            </w:pPr>
          </w:p>
        </w:tc>
      </w:tr>
      <w:tr>
        <w:trPr>
          <w:trHeight w:val="20"/>
        </w:trPr>
        <w:tc>
          <w:tcPr>
            <w:tcW w:w="438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1080" w:type="dxa"/>
            <w:vAlign w:val="bottom"/>
            <w:tcBorders>
              <w:top w:val="single" w:sz="8" w:color="E7E7E8"/>
              <w:bottom w:val="single" w:sz="8" w:color="auto"/>
            </w:tcBorders>
          </w:tcPr>
          <w:p>
            <w:pPr>
              <w:spacing w:after="0" w:line="20" w:lineRule="exact"/>
              <w:rPr>
                <w:sz w:val="1"/>
                <w:szCs w:val="1"/>
                <w:color w:val="auto"/>
              </w:rPr>
            </w:pPr>
          </w:p>
        </w:tc>
        <w:tc>
          <w:tcPr>
            <w:tcW w:w="900" w:type="dxa"/>
            <w:vAlign w:val="bottom"/>
            <w:tcBorders>
              <w:top w:val="single" w:sz="8" w:color="E7E7E8"/>
              <w:bottom w:val="single" w:sz="8" w:color="auto"/>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3"/>
          <w:szCs w:val="23"/>
          <w:color w:val="1D2758"/>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Condensed Consolidated Statements of Changes in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Six Months Ended June 30,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1D2758"/>
          </w:tcPr>
          <w:p>
            <w:pPr>
              <w:spacing w:after="0"/>
              <w:rPr>
                <w:sz w:val="13"/>
                <w:szCs w:val="13"/>
                <w:color w:val="auto"/>
              </w:rPr>
            </w:pPr>
          </w:p>
        </w:tc>
        <w:tc>
          <w:tcPr>
            <w:tcW w:w="1760" w:type="dxa"/>
            <w:vAlign w:val="bottom"/>
            <w:gridSpan w:val="3"/>
            <w:vMerge w:val="restart"/>
            <w:shd w:val="clear" w:color="auto" w:fill="1D2758"/>
          </w:tcPr>
          <w:p>
            <w:pPr>
              <w:jc w:val="right"/>
              <w:ind w:right="89"/>
              <w:spacing w:after="0"/>
              <w:rPr>
                <w:sz w:val="20"/>
                <w:szCs w:val="20"/>
                <w:color w:val="auto"/>
              </w:rPr>
            </w:pPr>
            <w:r>
              <w:rPr>
                <w:rFonts w:ascii="Arial" w:cs="Arial" w:eastAsia="Arial" w:hAnsi="Arial"/>
                <w:sz w:val="13"/>
                <w:szCs w:val="13"/>
                <w:b w:val="1"/>
                <w:bCs w:val="1"/>
                <w:color w:val="FFFFFF"/>
              </w:rPr>
              <w:t>Class A Common Stock</w:t>
            </w:r>
          </w:p>
        </w:tc>
        <w:tc>
          <w:tcPr>
            <w:tcW w:w="1740" w:type="dxa"/>
            <w:vAlign w:val="bottom"/>
            <w:gridSpan w:val="3"/>
            <w:vMerge w:val="restart"/>
            <w:shd w:val="clear" w:color="auto" w:fill="1D2758"/>
          </w:tcPr>
          <w:p>
            <w:pPr>
              <w:jc w:val="right"/>
              <w:ind w:right="89"/>
              <w:spacing w:after="0"/>
              <w:rPr>
                <w:sz w:val="20"/>
                <w:szCs w:val="20"/>
                <w:color w:val="auto"/>
              </w:rPr>
            </w:pPr>
            <w:r>
              <w:rPr>
                <w:rFonts w:ascii="Arial" w:cs="Arial" w:eastAsia="Arial" w:hAnsi="Arial"/>
                <w:sz w:val="13"/>
                <w:szCs w:val="13"/>
                <w:b w:val="1"/>
                <w:bCs w:val="1"/>
                <w:color w:val="FFFFFF"/>
              </w:rPr>
              <w:t>Class B Common Stock</w:t>
            </w:r>
          </w:p>
        </w:tc>
        <w:tc>
          <w:tcPr>
            <w:tcW w:w="14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880" w:type="dxa"/>
            <w:vAlign w:val="bottom"/>
            <w:shd w:val="clear" w:color="auto" w:fill="1D2758"/>
          </w:tcPr>
          <w:p>
            <w:pPr>
              <w:jc w:val="center"/>
              <w:ind w:right="30"/>
              <w:spacing w:after="0"/>
              <w:rPr>
                <w:sz w:val="20"/>
                <w:szCs w:val="20"/>
                <w:color w:val="auto"/>
              </w:rPr>
            </w:pPr>
            <w:r>
              <w:rPr>
                <w:rFonts w:ascii="Arial" w:cs="Arial" w:eastAsia="Arial" w:hAnsi="Arial"/>
                <w:sz w:val="13"/>
                <w:szCs w:val="13"/>
                <w:b w:val="1"/>
                <w:bCs w:val="1"/>
                <w:color w:val="FFFFFF"/>
                <w:w w:val="95"/>
              </w:rPr>
              <w:t>Accumulated</w:t>
            </w:r>
          </w:p>
        </w:tc>
        <w:tc>
          <w:tcPr>
            <w:tcW w:w="940" w:type="dxa"/>
            <w:vAlign w:val="bottom"/>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7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640" w:type="dxa"/>
            <w:vAlign w:val="bottom"/>
            <w:shd w:val="clear" w:color="auto" w:fill="1D2758"/>
          </w:tcPr>
          <w:p>
            <w:pPr>
              <w:spacing w:after="0"/>
              <w:rPr>
                <w:sz w:val="13"/>
                <w:szCs w:val="13"/>
                <w:color w:val="auto"/>
              </w:rPr>
            </w:pPr>
          </w:p>
        </w:tc>
        <w:tc>
          <w:tcPr>
            <w:tcW w:w="8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1D2758"/>
          </w:tcPr>
          <w:p>
            <w:pPr>
              <w:spacing w:after="0"/>
              <w:rPr>
                <w:sz w:val="11"/>
                <w:szCs w:val="11"/>
                <w:color w:val="auto"/>
              </w:rPr>
            </w:pPr>
          </w:p>
        </w:tc>
        <w:tc>
          <w:tcPr>
            <w:tcW w:w="1760" w:type="dxa"/>
            <w:vAlign w:val="bottom"/>
            <w:gridSpan w:val="3"/>
            <w:vMerge w:val="continue"/>
            <w:shd w:val="clear" w:color="auto" w:fill="1D2758"/>
          </w:tcPr>
          <w:p>
            <w:pPr>
              <w:spacing w:after="0"/>
              <w:rPr>
                <w:sz w:val="11"/>
                <w:szCs w:val="11"/>
                <w:color w:val="auto"/>
              </w:rPr>
            </w:pPr>
          </w:p>
        </w:tc>
        <w:tc>
          <w:tcPr>
            <w:tcW w:w="1740" w:type="dxa"/>
            <w:vAlign w:val="bottom"/>
            <w:gridSpan w:val="3"/>
            <w:vMerge w:val="continue"/>
            <w:shd w:val="clear" w:color="auto" w:fill="1D2758"/>
          </w:tcPr>
          <w:p>
            <w:pPr>
              <w:spacing w:after="0"/>
              <w:rPr>
                <w:sz w:val="11"/>
                <w:szCs w:val="11"/>
                <w:color w:val="auto"/>
              </w:rPr>
            </w:pPr>
          </w:p>
        </w:tc>
        <w:tc>
          <w:tcPr>
            <w:tcW w:w="140" w:type="dxa"/>
            <w:vAlign w:val="bottom"/>
            <w:shd w:val="clear" w:color="auto" w:fill="1D2758"/>
          </w:tcPr>
          <w:p>
            <w:pPr>
              <w:spacing w:after="0"/>
              <w:rPr>
                <w:sz w:val="11"/>
                <w:szCs w:val="11"/>
                <w:color w:val="auto"/>
              </w:rPr>
            </w:pPr>
          </w:p>
        </w:tc>
        <w:tc>
          <w:tcPr>
            <w:tcW w:w="82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880" w:type="dxa"/>
            <w:vAlign w:val="bottom"/>
            <w:shd w:val="clear" w:color="auto" w:fill="1D2758"/>
          </w:tcPr>
          <w:p>
            <w:pPr>
              <w:jc w:val="center"/>
              <w:ind w:right="30"/>
              <w:spacing w:after="0" w:line="135" w:lineRule="exact"/>
              <w:rPr>
                <w:sz w:val="20"/>
                <w:szCs w:val="20"/>
                <w:color w:val="auto"/>
              </w:rPr>
            </w:pPr>
            <w:r>
              <w:rPr>
                <w:rFonts w:ascii="Arial" w:cs="Arial" w:eastAsia="Arial" w:hAnsi="Arial"/>
                <w:sz w:val="13"/>
                <w:szCs w:val="13"/>
                <w:b w:val="1"/>
                <w:bCs w:val="1"/>
                <w:color w:val="FFFFFF"/>
                <w:w w:val="97"/>
              </w:rPr>
              <w:t>Other</w:t>
            </w:r>
          </w:p>
        </w:tc>
        <w:tc>
          <w:tcPr>
            <w:tcW w:w="94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720" w:type="dxa"/>
            <w:vAlign w:val="bottom"/>
            <w:shd w:val="clear" w:color="auto" w:fill="1D2758"/>
          </w:tcPr>
          <w:p>
            <w:pPr>
              <w:jc w:val="right"/>
              <w:ind w:right="229"/>
              <w:spacing w:after="0" w:line="135" w:lineRule="exact"/>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1D2758"/>
          </w:tcPr>
          <w:p>
            <w:pPr>
              <w:spacing w:after="0"/>
              <w:rPr>
                <w:sz w:val="11"/>
                <w:szCs w:val="11"/>
                <w:color w:val="auto"/>
              </w:rPr>
            </w:pPr>
          </w:p>
        </w:tc>
        <w:tc>
          <w:tcPr>
            <w:tcW w:w="640" w:type="dxa"/>
            <w:vAlign w:val="bottom"/>
            <w:shd w:val="clear" w:color="auto" w:fill="1D2758"/>
          </w:tcPr>
          <w:p>
            <w:pPr>
              <w:jc w:val="center"/>
              <w:ind w:right="49"/>
              <w:spacing w:after="0" w:line="135" w:lineRule="exact"/>
              <w:rPr>
                <w:sz w:val="20"/>
                <w:szCs w:val="20"/>
                <w:color w:val="auto"/>
              </w:rPr>
            </w:pPr>
            <w:r>
              <w:rPr>
                <w:rFonts w:ascii="Arial" w:cs="Arial" w:eastAsia="Arial" w:hAnsi="Arial"/>
                <w:sz w:val="13"/>
                <w:szCs w:val="13"/>
                <w:b w:val="1"/>
                <w:bCs w:val="1"/>
                <w:color w:val="FFFFFF"/>
                <w:w w:val="94"/>
              </w:rPr>
              <w:t>Non-</w:t>
            </w:r>
          </w:p>
        </w:tc>
        <w:tc>
          <w:tcPr>
            <w:tcW w:w="86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1D2758"/>
          </w:tcPr>
          <w:p>
            <w:pPr>
              <w:spacing w:after="0"/>
              <w:rPr>
                <w:sz w:val="11"/>
                <w:szCs w:val="11"/>
                <w:color w:val="auto"/>
              </w:rPr>
            </w:pPr>
          </w:p>
        </w:tc>
        <w:tc>
          <w:tcPr>
            <w:tcW w:w="800" w:type="dxa"/>
            <w:vAlign w:val="bottom"/>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740" w:type="dxa"/>
            <w:vAlign w:val="bottom"/>
            <w:shd w:val="clear" w:color="auto" w:fill="1D2758"/>
          </w:tcPr>
          <w:p>
            <w:pPr>
              <w:spacing w:after="0"/>
              <w:rPr>
                <w:sz w:val="11"/>
                <w:szCs w:val="11"/>
                <w:color w:val="auto"/>
              </w:rPr>
            </w:pPr>
          </w:p>
        </w:tc>
        <w:tc>
          <w:tcPr>
            <w:tcW w:w="820" w:type="dxa"/>
            <w:vAlign w:val="bottom"/>
            <w:shd w:val="clear" w:color="auto" w:fill="1D2758"/>
          </w:tcPr>
          <w:p>
            <w:pPr>
              <w:spacing w:after="0"/>
              <w:rPr>
                <w:sz w:val="11"/>
                <w:szCs w:val="11"/>
                <w:color w:val="auto"/>
              </w:rPr>
            </w:pPr>
          </w:p>
        </w:tc>
        <w:tc>
          <w:tcPr>
            <w:tcW w:w="180" w:type="dxa"/>
            <w:vAlign w:val="bottom"/>
            <w:shd w:val="clear" w:color="auto" w:fill="1D2758"/>
          </w:tcPr>
          <w:p>
            <w:pPr>
              <w:spacing w:after="0"/>
              <w:rPr>
                <w:sz w:val="11"/>
                <w:szCs w:val="11"/>
                <w:color w:val="auto"/>
              </w:rPr>
            </w:pPr>
          </w:p>
        </w:tc>
        <w:tc>
          <w:tcPr>
            <w:tcW w:w="740" w:type="dxa"/>
            <w:vAlign w:val="bottom"/>
            <w:shd w:val="clear" w:color="auto" w:fill="1D2758"/>
          </w:tcPr>
          <w:p>
            <w:pPr>
              <w:spacing w:after="0"/>
              <w:rPr>
                <w:sz w:val="11"/>
                <w:szCs w:val="11"/>
                <w:color w:val="auto"/>
              </w:rPr>
            </w:pPr>
          </w:p>
        </w:tc>
        <w:tc>
          <w:tcPr>
            <w:tcW w:w="140" w:type="dxa"/>
            <w:vAlign w:val="bottom"/>
            <w:shd w:val="clear" w:color="auto" w:fill="1D2758"/>
          </w:tcPr>
          <w:p>
            <w:pPr>
              <w:spacing w:after="0"/>
              <w:rPr>
                <w:sz w:val="11"/>
                <w:szCs w:val="11"/>
                <w:color w:val="auto"/>
              </w:rPr>
            </w:pPr>
          </w:p>
        </w:tc>
        <w:tc>
          <w:tcPr>
            <w:tcW w:w="820" w:type="dxa"/>
            <w:vAlign w:val="bottom"/>
            <w:shd w:val="clear" w:color="auto" w:fill="1D2758"/>
          </w:tcPr>
          <w:p>
            <w:pPr>
              <w:jc w:val="right"/>
              <w:ind w:right="89"/>
              <w:spacing w:after="0" w:line="135" w:lineRule="exact"/>
              <w:rPr>
                <w:sz w:val="20"/>
                <w:szCs w:val="20"/>
                <w:color w:val="auto"/>
              </w:rPr>
            </w:pPr>
            <w:r>
              <w:rPr>
                <w:rFonts w:ascii="Arial" w:cs="Arial" w:eastAsia="Arial" w:hAnsi="Arial"/>
                <w:sz w:val="13"/>
                <w:szCs w:val="13"/>
                <w:b w:val="1"/>
                <w:bCs w:val="1"/>
                <w:color w:val="FFFFFF"/>
              </w:rPr>
              <w:t>Additional</w:t>
            </w:r>
          </w:p>
        </w:tc>
        <w:tc>
          <w:tcPr>
            <w:tcW w:w="1000" w:type="dxa"/>
            <w:vAlign w:val="bottom"/>
            <w:gridSpan w:val="2"/>
            <w:shd w:val="clear" w:color="auto" w:fill="1D2758"/>
          </w:tcPr>
          <w:p>
            <w:pPr>
              <w:ind w:left="40"/>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40" w:type="dxa"/>
            <w:vAlign w:val="bottom"/>
            <w:shd w:val="clear" w:color="auto" w:fill="1D2758"/>
          </w:tcPr>
          <w:p>
            <w:pPr>
              <w:jc w:val="right"/>
              <w:spacing w:after="0" w:line="135" w:lineRule="exact"/>
              <w:rPr>
                <w:sz w:val="20"/>
                <w:szCs w:val="20"/>
                <w:color w:val="auto"/>
              </w:rPr>
            </w:pPr>
            <w:r>
              <w:rPr>
                <w:rFonts w:ascii="Arial" w:cs="Arial" w:eastAsia="Arial" w:hAnsi="Arial"/>
                <w:sz w:val="13"/>
                <w:szCs w:val="13"/>
                <w:b w:val="1"/>
                <w:bCs w:val="1"/>
                <w:color w:val="FFFFFF"/>
              </w:rPr>
              <w:t>Accumulated</w:t>
            </w:r>
          </w:p>
        </w:tc>
        <w:tc>
          <w:tcPr>
            <w:tcW w:w="920" w:type="dxa"/>
            <w:vAlign w:val="bottom"/>
            <w:gridSpan w:val="2"/>
            <w:shd w:val="clear" w:color="auto" w:fill="1D2758"/>
          </w:tcPr>
          <w:p>
            <w:pPr>
              <w:ind w:left="6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780" w:type="dxa"/>
            <w:vAlign w:val="bottom"/>
            <w:gridSpan w:val="2"/>
            <w:shd w:val="clear" w:color="auto" w:fill="1D2758"/>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86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1D2758"/>
          </w:tcPr>
          <w:p>
            <w:pPr>
              <w:jc w:val="right"/>
              <w:ind w:right="69"/>
              <w:spacing w:after="0"/>
              <w:rPr>
                <w:sz w:val="20"/>
                <w:szCs w:val="20"/>
                <w:color w:val="auto"/>
              </w:rPr>
            </w:pPr>
            <w:r>
              <w:rPr>
                <w:rFonts w:ascii="Arial" w:cs="Arial" w:eastAsia="Arial" w:hAnsi="Arial"/>
                <w:sz w:val="13"/>
                <w:szCs w:val="13"/>
                <w:b w:val="1"/>
                <w:bCs w:val="1"/>
                <w:color w:val="FFFFFF"/>
              </w:rPr>
              <w:t>Shares</w:t>
            </w:r>
          </w:p>
        </w:tc>
        <w:tc>
          <w:tcPr>
            <w:tcW w:w="220" w:type="dxa"/>
            <w:vAlign w:val="bottom"/>
            <w:shd w:val="clear" w:color="auto" w:fill="1D2758"/>
          </w:tcPr>
          <w:p>
            <w:pPr>
              <w:spacing w:after="0"/>
              <w:rPr>
                <w:sz w:val="16"/>
                <w:szCs w:val="16"/>
                <w:color w:val="auto"/>
              </w:rPr>
            </w:pPr>
          </w:p>
        </w:tc>
        <w:tc>
          <w:tcPr>
            <w:tcW w:w="740" w:type="dxa"/>
            <w:vAlign w:val="bottom"/>
            <w:shd w:val="clear" w:color="auto" w:fill="1D2758"/>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820" w:type="dxa"/>
            <w:vAlign w:val="bottom"/>
            <w:shd w:val="clear" w:color="auto" w:fill="1D2758"/>
          </w:tcPr>
          <w:p>
            <w:pPr>
              <w:jc w:val="right"/>
              <w:ind w:right="109"/>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1D2758"/>
          </w:tcPr>
          <w:p>
            <w:pPr>
              <w:spacing w:after="0"/>
              <w:rPr>
                <w:sz w:val="16"/>
                <w:szCs w:val="16"/>
                <w:color w:val="auto"/>
              </w:rPr>
            </w:pPr>
          </w:p>
        </w:tc>
        <w:tc>
          <w:tcPr>
            <w:tcW w:w="740" w:type="dxa"/>
            <w:vAlign w:val="bottom"/>
            <w:shd w:val="clear" w:color="auto" w:fill="1D2758"/>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96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w w:val="98"/>
              </w:rPr>
              <w:t>Paid-in-Capital</w:t>
            </w:r>
          </w:p>
        </w:tc>
        <w:tc>
          <w:tcPr>
            <w:tcW w:w="120" w:type="dxa"/>
            <w:vAlign w:val="bottom"/>
            <w:shd w:val="clear" w:color="auto" w:fill="1D2758"/>
          </w:tcPr>
          <w:p>
            <w:pPr>
              <w:spacing w:after="0"/>
              <w:rPr>
                <w:sz w:val="16"/>
                <w:szCs w:val="16"/>
                <w:color w:val="auto"/>
              </w:rPr>
            </w:pPr>
          </w:p>
        </w:tc>
        <w:tc>
          <w:tcPr>
            <w:tcW w:w="880" w:type="dxa"/>
            <w:vAlign w:val="bottom"/>
            <w:shd w:val="clear" w:color="auto" w:fill="1D2758"/>
          </w:tcPr>
          <w:p>
            <w:pPr>
              <w:jc w:val="center"/>
              <w:ind w:right="30"/>
              <w:spacing w:after="0"/>
              <w:rPr>
                <w:sz w:val="20"/>
                <w:szCs w:val="20"/>
                <w:color w:val="auto"/>
              </w:rPr>
            </w:pPr>
            <w:r>
              <w:rPr>
                <w:rFonts w:ascii="Arial" w:cs="Arial" w:eastAsia="Arial" w:hAnsi="Arial"/>
                <w:sz w:val="13"/>
                <w:szCs w:val="13"/>
                <w:b w:val="1"/>
                <w:bCs w:val="1"/>
                <w:color w:val="FFFFFF"/>
                <w:w w:val="98"/>
              </w:rPr>
              <w:t>Loss</w:t>
            </w:r>
          </w:p>
        </w:tc>
        <w:tc>
          <w:tcPr>
            <w:tcW w:w="940" w:type="dxa"/>
            <w:vAlign w:val="bottom"/>
            <w:shd w:val="clear" w:color="auto" w:fill="1D2758"/>
          </w:tcPr>
          <w:p>
            <w:pPr>
              <w:jc w:val="right"/>
              <w:ind w:right="189"/>
              <w:spacing w:after="0"/>
              <w:rPr>
                <w:sz w:val="20"/>
                <w:szCs w:val="20"/>
                <w:color w:val="auto"/>
              </w:rPr>
            </w:pPr>
            <w:r>
              <w:rPr>
                <w:rFonts w:ascii="Arial" w:cs="Arial" w:eastAsia="Arial" w:hAnsi="Arial"/>
                <w:sz w:val="13"/>
                <w:szCs w:val="13"/>
                <w:b w:val="1"/>
                <w:bCs w:val="1"/>
                <w:color w:val="FFFFFF"/>
              </w:rPr>
              <w:t>Deficit</w:t>
            </w:r>
          </w:p>
        </w:tc>
        <w:tc>
          <w:tcPr>
            <w:tcW w:w="200" w:type="dxa"/>
            <w:vAlign w:val="bottom"/>
            <w:shd w:val="clear" w:color="auto" w:fill="1D2758"/>
          </w:tcPr>
          <w:p>
            <w:pPr>
              <w:spacing w:after="0"/>
              <w:rPr>
                <w:sz w:val="16"/>
                <w:szCs w:val="16"/>
                <w:color w:val="auto"/>
              </w:rPr>
            </w:pPr>
          </w:p>
        </w:tc>
        <w:tc>
          <w:tcPr>
            <w:tcW w:w="720" w:type="dxa"/>
            <w:vAlign w:val="bottom"/>
            <w:shd w:val="clear" w:color="auto" w:fill="1D2758"/>
          </w:tcPr>
          <w:p>
            <w:pPr>
              <w:jc w:val="right"/>
              <w:ind w:right="169"/>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1D2758"/>
          </w:tcPr>
          <w:p>
            <w:pPr>
              <w:spacing w:after="0"/>
              <w:rPr>
                <w:sz w:val="16"/>
                <w:szCs w:val="16"/>
                <w:color w:val="auto"/>
              </w:rPr>
            </w:pPr>
          </w:p>
        </w:tc>
        <w:tc>
          <w:tcPr>
            <w:tcW w:w="640" w:type="dxa"/>
            <w:vAlign w:val="bottom"/>
            <w:shd w:val="clear" w:color="auto" w:fill="1D2758"/>
          </w:tcPr>
          <w:p>
            <w:pPr>
              <w:jc w:val="center"/>
              <w:ind w:right="29"/>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216"/>
        </w:trPr>
        <w:tc>
          <w:tcPr>
            <w:tcW w:w="2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2019</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108,819</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11</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8,024</w:t>
            </w:r>
          </w:p>
        </w:tc>
        <w:tc>
          <w:tcPr>
            <w:tcW w:w="18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2,396,501</w:t>
            </w:r>
          </w:p>
        </w:tc>
        <w:tc>
          <w:tcPr>
            <w:tcW w:w="120" w:type="dxa"/>
            <w:vAlign w:val="bottom"/>
            <w:shd w:val="clear" w:color="auto" w:fill="E7E7E8"/>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(62,775)</w:t>
            </w:r>
          </w:p>
        </w:tc>
        <w:tc>
          <w:tcPr>
            <w:tcW w:w="9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(1,689,373)</w:t>
            </w:r>
          </w:p>
        </w:tc>
        <w:tc>
          <w:tcPr>
            <w:tcW w:w="20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644,365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64,590</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$ 708,955</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(3,544)</w:t>
            </w:r>
          </w:p>
        </w:tc>
        <w:tc>
          <w:tcPr>
            <w:tcW w:w="20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(3,544)</w:t>
            </w:r>
          </w:p>
        </w:tc>
        <w:tc>
          <w:tcPr>
            <w:tcW w:w="1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(130)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(3,674)</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(27,199)</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(27,199)</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(2,703)</w:t>
            </w:r>
          </w:p>
        </w:tc>
        <w:tc>
          <w:tcPr>
            <w:tcW w:w="86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(29,902)</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239</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1,114</w:t>
            </w:r>
          </w:p>
        </w:tc>
        <w:tc>
          <w:tcPr>
            <w:tcW w:w="140" w:type="dxa"/>
            <w:vAlign w:val="bottom"/>
          </w:tcPr>
          <w:p>
            <w:pPr>
              <w:spacing w:after="0"/>
              <w:rPr>
                <w:sz w:val="18"/>
                <w:szCs w:val="18"/>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200"/>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Common stock issued in</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1,497</w:t>
            </w:r>
          </w:p>
        </w:tc>
        <w:tc>
          <w:tcPr>
            <w:tcW w:w="22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4,580</w:t>
            </w:r>
          </w:p>
        </w:tc>
        <w:tc>
          <w:tcPr>
            <w:tcW w:w="12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7"/>
                <w:szCs w:val="17"/>
                <w:color w:val="auto"/>
              </w:rPr>
            </w:pP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4,580</w:t>
            </w:r>
          </w:p>
        </w:tc>
        <w:tc>
          <w:tcPr>
            <w:tcW w:w="140" w:type="dxa"/>
            <w:vAlign w:val="bottom"/>
            <w:shd w:val="clear" w:color="auto" w:fill="E7E7E8"/>
          </w:tcPr>
          <w:p>
            <w:pPr>
              <w:spacing w:after="0"/>
              <w:rPr>
                <w:sz w:val="17"/>
                <w:szCs w:val="17"/>
                <w:color w:val="auto"/>
              </w:rPr>
            </w:pP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6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warrant exercises and</w:t>
            </w:r>
          </w:p>
        </w:tc>
        <w:tc>
          <w:tcPr>
            <w:tcW w:w="80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redemptions</w:t>
            </w:r>
          </w:p>
        </w:tc>
        <w:tc>
          <w:tcPr>
            <w:tcW w:w="800" w:type="dxa"/>
            <w:vAlign w:val="bottom"/>
            <w:tcBorders>
              <w:bottom w:val="single" w:sz="8" w:color="auto"/>
            </w:tcBorders>
            <w:shd w:val="clear" w:color="auto" w:fill="E7E7E8"/>
          </w:tcPr>
          <w:p>
            <w:pPr>
              <w:spacing w:after="0"/>
              <w:rPr>
                <w:sz w:val="16"/>
                <w:szCs w:val="16"/>
                <w:color w:val="auto"/>
              </w:rPr>
            </w:pPr>
          </w:p>
        </w:tc>
        <w:tc>
          <w:tcPr>
            <w:tcW w:w="22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18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120" w:type="dxa"/>
            <w:vAlign w:val="bottom"/>
            <w:tcBorders>
              <w:bottom w:val="single" w:sz="8" w:color="auto"/>
            </w:tcBorders>
            <w:shd w:val="clear" w:color="auto" w:fill="E7E7E8"/>
          </w:tcPr>
          <w:p>
            <w:pPr>
              <w:spacing w:after="0"/>
              <w:rPr>
                <w:sz w:val="16"/>
                <w:szCs w:val="16"/>
                <w:color w:val="auto"/>
              </w:rPr>
            </w:pPr>
          </w:p>
        </w:tc>
        <w:tc>
          <w:tcPr>
            <w:tcW w:w="880" w:type="dxa"/>
            <w:vAlign w:val="bottom"/>
            <w:tcBorders>
              <w:bottom w:val="single" w:sz="8" w:color="auto"/>
            </w:tcBorders>
            <w:shd w:val="clear" w:color="auto" w:fill="E7E7E8"/>
          </w:tcPr>
          <w:p>
            <w:pPr>
              <w:spacing w:after="0"/>
              <w:rPr>
                <w:sz w:val="16"/>
                <w:szCs w:val="16"/>
                <w:color w:val="auto"/>
              </w:rPr>
            </w:pPr>
          </w:p>
        </w:tc>
        <w:tc>
          <w:tcPr>
            <w:tcW w:w="940" w:type="dxa"/>
            <w:vAlign w:val="bottom"/>
            <w:tcBorders>
              <w:bottom w:val="single" w:sz="8" w:color="auto"/>
            </w:tcBorders>
            <w:shd w:val="clear" w:color="auto" w:fill="E7E7E8"/>
          </w:tcPr>
          <w:p>
            <w:pPr>
              <w:spacing w:after="0"/>
              <w:rPr>
                <w:sz w:val="16"/>
                <w:szCs w:val="16"/>
                <w:color w:val="auto"/>
              </w:rPr>
            </w:pPr>
          </w:p>
        </w:tc>
        <w:tc>
          <w:tcPr>
            <w:tcW w:w="200" w:type="dxa"/>
            <w:vAlign w:val="bottom"/>
            <w:tcBorders>
              <w:bottom w:val="single" w:sz="8" w:color="auto"/>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640" w:type="dxa"/>
            <w:vAlign w:val="bottom"/>
            <w:tcBorders>
              <w:bottom w:val="single" w:sz="8" w:color="auto"/>
            </w:tcBorders>
            <w:shd w:val="clear" w:color="auto" w:fill="E7E7E8"/>
          </w:tcPr>
          <w:p>
            <w:pPr>
              <w:spacing w:after="0"/>
              <w:rPr>
                <w:sz w:val="16"/>
                <w:szCs w:val="16"/>
                <w:color w:val="auto"/>
              </w:rPr>
            </w:pPr>
          </w:p>
        </w:tc>
        <w:tc>
          <w:tcPr>
            <w:tcW w:w="860" w:type="dxa"/>
            <w:vAlign w:val="bottom"/>
            <w:tcBorders>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110,555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8,024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2,402,195</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(89,974)</w:t>
            </w:r>
          </w:p>
        </w:tc>
        <w:tc>
          <w:tcPr>
            <w:tcW w:w="940" w:type="dxa"/>
            <w:vAlign w:val="bottom"/>
          </w:tcPr>
          <w:p>
            <w:pPr>
              <w:jc w:val="right"/>
              <w:spacing w:after="0"/>
              <w:rPr>
                <w:sz w:val="20"/>
                <w:szCs w:val="20"/>
                <w:color w:val="auto"/>
              </w:rPr>
            </w:pPr>
            <w:r>
              <w:rPr>
                <w:rFonts w:ascii="Arial" w:cs="Arial" w:eastAsia="Arial" w:hAnsi="Arial"/>
                <w:sz w:val="14"/>
                <w:szCs w:val="14"/>
                <w:color w:val="auto"/>
              </w:rPr>
              <w:t>$ (1,692,917)</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619,316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61,757</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$ 681,073</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11,490</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11,490</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1,343</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12,833</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8,139</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8,139</w:t>
            </w:r>
          </w:p>
        </w:tc>
        <w:tc>
          <w:tcPr>
            <w:tcW w:w="140" w:type="dxa"/>
            <w:vAlign w:val="bottom"/>
          </w:tcPr>
          <w:p>
            <w:pPr>
              <w:spacing w:after="0"/>
              <w:rPr>
                <w:sz w:val="18"/>
                <w:szCs w:val="18"/>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818</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8,957</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2,227</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94"/>
        </w:trPr>
        <w:tc>
          <w:tcPr>
            <w:tcW w:w="2280" w:type="dxa"/>
            <w:vAlign w:val="bottom"/>
          </w:tcPr>
          <w:p>
            <w:pPr>
              <w:ind w:left="220"/>
              <w:spacing w:after="0"/>
              <w:rPr>
                <w:sz w:val="20"/>
                <w:szCs w:val="20"/>
                <w:color w:val="auto"/>
              </w:rPr>
            </w:pPr>
            <w:r>
              <w:rPr>
                <w:rFonts w:ascii="Arial" w:cs="Arial" w:eastAsia="Arial" w:hAnsi="Arial"/>
                <w:sz w:val="14"/>
                <w:szCs w:val="14"/>
                <w:color w:val="auto"/>
              </w:rPr>
              <w:t>Sapphire Exchange - see Note</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80" w:type="dxa"/>
            <w:vAlign w:val="bottom"/>
          </w:tcPr>
          <w:p>
            <w:pPr>
              <w:ind w:left="220"/>
              <w:spacing w:after="0"/>
              <w:rPr>
                <w:sz w:val="20"/>
                <w:szCs w:val="20"/>
                <w:color w:val="auto"/>
              </w:rPr>
            </w:pPr>
            <w:r>
              <w:rPr>
                <w:rFonts w:ascii="Arial" w:cs="Arial" w:eastAsia="Arial" w:hAnsi="Arial"/>
                <w:sz w:val="14"/>
                <w:szCs w:val="14"/>
                <w:color w:val="auto"/>
              </w:rPr>
              <w:t>10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10,641</w:t>
            </w:r>
          </w:p>
        </w:tc>
        <w:tc>
          <w:tcPr>
            <w:tcW w:w="220" w:type="dxa"/>
            <w:vAlign w:val="bottom"/>
          </w:tcPr>
          <w:p>
            <w:pPr>
              <w:spacing w:after="0"/>
              <w:rPr>
                <w:sz w:val="15"/>
                <w:szCs w:val="15"/>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(8,024)</w:t>
            </w:r>
          </w:p>
        </w:tc>
        <w:tc>
          <w:tcPr>
            <w:tcW w:w="18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66,890</w:t>
            </w:r>
          </w:p>
        </w:tc>
        <w:tc>
          <w:tcPr>
            <w:tcW w:w="12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(2,972)</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63,918</w:t>
            </w:r>
          </w:p>
        </w:tc>
        <w:tc>
          <w:tcPr>
            <w:tcW w:w="14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(63,918)</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Common stock issued in</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37</w:t>
            </w:r>
          </w:p>
        </w:tc>
        <w:tc>
          <w:tcPr>
            <w:tcW w:w="22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7E8"/>
          </w:tcPr>
          <w:p>
            <w:pPr>
              <w:spacing w:after="0"/>
              <w:rPr>
                <w:sz w:val="17"/>
                <w:szCs w:val="17"/>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7"/>
                <w:szCs w:val="17"/>
                <w:color w:val="auto"/>
              </w:rPr>
            </w:pPr>
          </w:p>
        </w:tc>
        <w:tc>
          <w:tcPr>
            <w:tcW w:w="88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7"/>
                <w:szCs w:val="17"/>
                <w:color w:val="auto"/>
              </w:rPr>
            </w:pP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7"/>
                <w:szCs w:val="17"/>
                <w:color w:val="auto"/>
              </w:rPr>
            </w:pP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warrant exercises and</w:t>
            </w:r>
          </w:p>
        </w:tc>
        <w:tc>
          <w:tcPr>
            <w:tcW w:w="80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redemptions</w:t>
            </w:r>
          </w:p>
        </w:tc>
        <w:tc>
          <w:tcPr>
            <w:tcW w:w="800" w:type="dxa"/>
            <w:vAlign w:val="bottom"/>
            <w:tcBorders>
              <w:bottom w:val="single" w:sz="8" w:color="auto"/>
            </w:tcBorders>
            <w:shd w:val="clear" w:color="auto" w:fill="E7E7E8"/>
          </w:tcPr>
          <w:p>
            <w:pPr>
              <w:spacing w:after="0"/>
              <w:rPr>
                <w:sz w:val="16"/>
                <w:szCs w:val="16"/>
                <w:color w:val="auto"/>
              </w:rPr>
            </w:pPr>
          </w:p>
        </w:tc>
        <w:tc>
          <w:tcPr>
            <w:tcW w:w="22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180" w:type="dxa"/>
            <w:vAlign w:val="bottom"/>
            <w:tcBorders>
              <w:bottom w:val="single" w:sz="8" w:color="auto"/>
            </w:tcBorders>
            <w:shd w:val="clear" w:color="auto" w:fill="E7E7E8"/>
          </w:tcPr>
          <w:p>
            <w:pPr>
              <w:spacing w:after="0"/>
              <w:rPr>
                <w:sz w:val="16"/>
                <w:szCs w:val="16"/>
                <w:color w:val="auto"/>
              </w:rPr>
            </w:pPr>
          </w:p>
        </w:tc>
        <w:tc>
          <w:tcPr>
            <w:tcW w:w="74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820" w:type="dxa"/>
            <w:vAlign w:val="bottom"/>
            <w:tcBorders>
              <w:bottom w:val="single" w:sz="8" w:color="auto"/>
            </w:tcBorders>
            <w:shd w:val="clear" w:color="auto" w:fill="E7E7E8"/>
          </w:tcPr>
          <w:p>
            <w:pPr>
              <w:spacing w:after="0"/>
              <w:rPr>
                <w:sz w:val="16"/>
                <w:szCs w:val="16"/>
                <w:color w:val="auto"/>
              </w:rPr>
            </w:pPr>
          </w:p>
        </w:tc>
        <w:tc>
          <w:tcPr>
            <w:tcW w:w="120" w:type="dxa"/>
            <w:vAlign w:val="bottom"/>
            <w:tcBorders>
              <w:bottom w:val="single" w:sz="8" w:color="auto"/>
            </w:tcBorders>
            <w:shd w:val="clear" w:color="auto" w:fill="E7E7E8"/>
          </w:tcPr>
          <w:p>
            <w:pPr>
              <w:spacing w:after="0"/>
              <w:rPr>
                <w:sz w:val="16"/>
                <w:szCs w:val="16"/>
                <w:color w:val="auto"/>
              </w:rPr>
            </w:pPr>
          </w:p>
        </w:tc>
        <w:tc>
          <w:tcPr>
            <w:tcW w:w="880" w:type="dxa"/>
            <w:vAlign w:val="bottom"/>
            <w:tcBorders>
              <w:bottom w:val="single" w:sz="8" w:color="auto"/>
            </w:tcBorders>
            <w:shd w:val="clear" w:color="auto" w:fill="E7E7E8"/>
          </w:tcPr>
          <w:p>
            <w:pPr>
              <w:spacing w:after="0"/>
              <w:rPr>
                <w:sz w:val="16"/>
                <w:szCs w:val="16"/>
                <w:color w:val="auto"/>
              </w:rPr>
            </w:pPr>
          </w:p>
        </w:tc>
        <w:tc>
          <w:tcPr>
            <w:tcW w:w="940" w:type="dxa"/>
            <w:vAlign w:val="bottom"/>
            <w:tcBorders>
              <w:bottom w:val="single" w:sz="8" w:color="auto"/>
            </w:tcBorders>
            <w:shd w:val="clear" w:color="auto" w:fill="E7E7E8"/>
          </w:tcPr>
          <w:p>
            <w:pPr>
              <w:spacing w:after="0"/>
              <w:rPr>
                <w:sz w:val="16"/>
                <w:szCs w:val="16"/>
                <w:color w:val="auto"/>
              </w:rPr>
            </w:pPr>
          </w:p>
        </w:tc>
        <w:tc>
          <w:tcPr>
            <w:tcW w:w="200" w:type="dxa"/>
            <w:vAlign w:val="bottom"/>
            <w:tcBorders>
              <w:bottom w:val="single" w:sz="8" w:color="auto"/>
            </w:tcBorders>
            <w:shd w:val="clear" w:color="auto" w:fill="E7E7E8"/>
          </w:tcPr>
          <w:p>
            <w:pPr>
              <w:spacing w:after="0"/>
              <w:rPr>
                <w:sz w:val="16"/>
                <w:szCs w:val="16"/>
                <w:color w:val="auto"/>
              </w:rPr>
            </w:pPr>
          </w:p>
        </w:tc>
        <w:tc>
          <w:tcPr>
            <w:tcW w:w="720" w:type="dxa"/>
            <w:vAlign w:val="bottom"/>
            <w:tcBorders>
              <w:bottom w:val="single" w:sz="8" w:color="auto"/>
            </w:tcBorders>
            <w:shd w:val="clear" w:color="auto" w:fill="E7E7E8"/>
          </w:tcPr>
          <w:p>
            <w:pPr>
              <w:spacing w:after="0"/>
              <w:rPr>
                <w:sz w:val="16"/>
                <w:szCs w:val="16"/>
                <w:color w:val="auto"/>
              </w:rPr>
            </w:pPr>
          </w:p>
        </w:tc>
        <w:tc>
          <w:tcPr>
            <w:tcW w:w="140" w:type="dxa"/>
            <w:vAlign w:val="bottom"/>
            <w:tcBorders>
              <w:bottom w:val="single" w:sz="8" w:color="auto"/>
            </w:tcBorders>
            <w:shd w:val="clear" w:color="auto" w:fill="E7E7E8"/>
          </w:tcPr>
          <w:p>
            <w:pPr>
              <w:spacing w:after="0"/>
              <w:rPr>
                <w:sz w:val="16"/>
                <w:szCs w:val="16"/>
                <w:color w:val="auto"/>
              </w:rPr>
            </w:pPr>
          </w:p>
        </w:tc>
        <w:tc>
          <w:tcPr>
            <w:tcW w:w="640" w:type="dxa"/>
            <w:vAlign w:val="bottom"/>
            <w:tcBorders>
              <w:bottom w:val="single" w:sz="8" w:color="auto"/>
            </w:tcBorders>
            <w:shd w:val="clear" w:color="auto" w:fill="E7E7E8"/>
          </w:tcPr>
          <w:p>
            <w:pPr>
              <w:spacing w:after="0"/>
              <w:rPr>
                <w:sz w:val="16"/>
                <w:szCs w:val="16"/>
                <w:color w:val="auto"/>
              </w:rPr>
            </w:pPr>
          </w:p>
        </w:tc>
        <w:tc>
          <w:tcPr>
            <w:tcW w:w="860" w:type="dxa"/>
            <w:vAlign w:val="bottom"/>
            <w:tcBorders>
              <w:bottom w:val="single" w:sz="8" w:color="auto"/>
            </w:tcBorders>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121,233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2,471,312</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(84,807)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(1,681,427)</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705,090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$ 705,090</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Six Months Ended June 30,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shd w:val="clear" w:color="auto" w:fill="1D2758"/>
          </w:tcPr>
          <w:p>
            <w:pPr>
              <w:spacing w:after="0"/>
              <w:rPr>
                <w:sz w:val="13"/>
                <w:szCs w:val="13"/>
                <w:color w:val="auto"/>
              </w:rPr>
            </w:pPr>
          </w:p>
        </w:tc>
        <w:tc>
          <w:tcPr>
            <w:tcW w:w="1760" w:type="dxa"/>
            <w:vAlign w:val="bottom"/>
            <w:gridSpan w:val="3"/>
            <w:vMerge w:val="restart"/>
            <w:shd w:val="clear" w:color="auto" w:fill="1D2758"/>
          </w:tcPr>
          <w:p>
            <w:pPr>
              <w:jc w:val="right"/>
              <w:ind w:right="89"/>
              <w:spacing w:after="0"/>
              <w:rPr>
                <w:sz w:val="20"/>
                <w:szCs w:val="20"/>
                <w:color w:val="auto"/>
              </w:rPr>
            </w:pPr>
            <w:r>
              <w:rPr>
                <w:rFonts w:ascii="Arial" w:cs="Arial" w:eastAsia="Arial" w:hAnsi="Arial"/>
                <w:sz w:val="13"/>
                <w:szCs w:val="13"/>
                <w:b w:val="1"/>
                <w:bCs w:val="1"/>
                <w:color w:val="FFFFFF"/>
              </w:rPr>
              <w:t>Class A Common Stock</w:t>
            </w:r>
          </w:p>
        </w:tc>
        <w:tc>
          <w:tcPr>
            <w:tcW w:w="1740" w:type="dxa"/>
            <w:vAlign w:val="bottom"/>
            <w:gridSpan w:val="3"/>
            <w:vMerge w:val="restart"/>
            <w:shd w:val="clear" w:color="auto" w:fill="1D2758"/>
          </w:tcPr>
          <w:p>
            <w:pPr>
              <w:jc w:val="right"/>
              <w:ind w:right="89"/>
              <w:spacing w:after="0"/>
              <w:rPr>
                <w:sz w:val="20"/>
                <w:szCs w:val="20"/>
                <w:color w:val="auto"/>
              </w:rPr>
            </w:pPr>
            <w:r>
              <w:rPr>
                <w:rFonts w:ascii="Arial" w:cs="Arial" w:eastAsia="Arial" w:hAnsi="Arial"/>
                <w:sz w:val="13"/>
                <w:szCs w:val="13"/>
                <w:b w:val="1"/>
                <w:bCs w:val="1"/>
                <w:color w:val="FFFFFF"/>
              </w:rPr>
              <w:t>Class B Common Stock</w:t>
            </w:r>
          </w:p>
        </w:tc>
        <w:tc>
          <w:tcPr>
            <w:tcW w:w="140" w:type="dxa"/>
            <w:vAlign w:val="bottom"/>
            <w:shd w:val="clear" w:color="auto" w:fill="1D2758"/>
          </w:tcPr>
          <w:p>
            <w:pPr>
              <w:spacing w:after="0"/>
              <w:rPr>
                <w:sz w:val="13"/>
                <w:szCs w:val="13"/>
                <w:color w:val="auto"/>
              </w:rPr>
            </w:pPr>
          </w:p>
        </w:tc>
        <w:tc>
          <w:tcPr>
            <w:tcW w:w="82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880" w:type="dxa"/>
            <w:vAlign w:val="bottom"/>
            <w:shd w:val="clear" w:color="auto" w:fill="1D2758"/>
          </w:tcPr>
          <w:p>
            <w:pPr>
              <w:jc w:val="center"/>
              <w:ind w:right="30"/>
              <w:spacing w:after="0"/>
              <w:rPr>
                <w:sz w:val="20"/>
                <w:szCs w:val="20"/>
                <w:color w:val="auto"/>
              </w:rPr>
            </w:pPr>
            <w:r>
              <w:rPr>
                <w:rFonts w:ascii="Arial" w:cs="Arial" w:eastAsia="Arial" w:hAnsi="Arial"/>
                <w:sz w:val="13"/>
                <w:szCs w:val="13"/>
                <w:b w:val="1"/>
                <w:bCs w:val="1"/>
                <w:color w:val="FFFFFF"/>
                <w:w w:val="95"/>
              </w:rPr>
              <w:t>Accumulated</w:t>
            </w:r>
          </w:p>
        </w:tc>
        <w:tc>
          <w:tcPr>
            <w:tcW w:w="940" w:type="dxa"/>
            <w:vAlign w:val="bottom"/>
            <w:shd w:val="clear" w:color="auto" w:fill="1D2758"/>
          </w:tcPr>
          <w:p>
            <w:pPr>
              <w:spacing w:after="0"/>
              <w:rPr>
                <w:sz w:val="13"/>
                <w:szCs w:val="13"/>
                <w:color w:val="auto"/>
              </w:rPr>
            </w:pPr>
          </w:p>
        </w:tc>
        <w:tc>
          <w:tcPr>
            <w:tcW w:w="200" w:type="dxa"/>
            <w:vAlign w:val="bottom"/>
            <w:shd w:val="clear" w:color="auto" w:fill="1D2758"/>
          </w:tcPr>
          <w:p>
            <w:pPr>
              <w:spacing w:after="0"/>
              <w:rPr>
                <w:sz w:val="13"/>
                <w:szCs w:val="13"/>
                <w:color w:val="auto"/>
              </w:rPr>
            </w:pPr>
          </w:p>
        </w:tc>
        <w:tc>
          <w:tcPr>
            <w:tcW w:w="72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640" w:type="dxa"/>
            <w:vAlign w:val="bottom"/>
            <w:shd w:val="clear" w:color="auto" w:fill="1D2758"/>
          </w:tcPr>
          <w:p>
            <w:pPr>
              <w:spacing w:after="0"/>
              <w:rPr>
                <w:sz w:val="13"/>
                <w:szCs w:val="13"/>
                <w:color w:val="auto"/>
              </w:rPr>
            </w:pPr>
          </w:p>
        </w:tc>
        <w:tc>
          <w:tcPr>
            <w:tcW w:w="86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1D2758"/>
          </w:tcPr>
          <w:p>
            <w:pPr>
              <w:spacing w:after="0"/>
              <w:rPr>
                <w:sz w:val="11"/>
                <w:szCs w:val="11"/>
                <w:color w:val="auto"/>
              </w:rPr>
            </w:pPr>
          </w:p>
        </w:tc>
        <w:tc>
          <w:tcPr>
            <w:tcW w:w="1760" w:type="dxa"/>
            <w:vAlign w:val="bottom"/>
            <w:gridSpan w:val="3"/>
            <w:vMerge w:val="continue"/>
            <w:shd w:val="clear" w:color="auto" w:fill="1D2758"/>
          </w:tcPr>
          <w:p>
            <w:pPr>
              <w:spacing w:after="0"/>
              <w:rPr>
                <w:sz w:val="11"/>
                <w:szCs w:val="11"/>
                <w:color w:val="auto"/>
              </w:rPr>
            </w:pPr>
          </w:p>
        </w:tc>
        <w:tc>
          <w:tcPr>
            <w:tcW w:w="1740" w:type="dxa"/>
            <w:vAlign w:val="bottom"/>
            <w:gridSpan w:val="3"/>
            <w:vMerge w:val="continue"/>
            <w:shd w:val="clear" w:color="auto" w:fill="1D2758"/>
          </w:tcPr>
          <w:p>
            <w:pPr>
              <w:spacing w:after="0"/>
              <w:rPr>
                <w:sz w:val="11"/>
                <w:szCs w:val="11"/>
                <w:color w:val="auto"/>
              </w:rPr>
            </w:pPr>
          </w:p>
        </w:tc>
        <w:tc>
          <w:tcPr>
            <w:tcW w:w="140" w:type="dxa"/>
            <w:vAlign w:val="bottom"/>
            <w:shd w:val="clear" w:color="auto" w:fill="1D2758"/>
          </w:tcPr>
          <w:p>
            <w:pPr>
              <w:spacing w:after="0"/>
              <w:rPr>
                <w:sz w:val="11"/>
                <w:szCs w:val="11"/>
                <w:color w:val="auto"/>
              </w:rPr>
            </w:pPr>
          </w:p>
        </w:tc>
        <w:tc>
          <w:tcPr>
            <w:tcW w:w="820" w:type="dxa"/>
            <w:vAlign w:val="bottom"/>
            <w:shd w:val="clear" w:color="auto" w:fill="1D2758"/>
          </w:tcPr>
          <w:p>
            <w:pPr>
              <w:spacing w:after="0"/>
              <w:rPr>
                <w:sz w:val="11"/>
                <w:szCs w:val="11"/>
                <w:color w:val="auto"/>
              </w:rPr>
            </w:pPr>
          </w:p>
        </w:tc>
        <w:tc>
          <w:tcPr>
            <w:tcW w:w="120" w:type="dxa"/>
            <w:vAlign w:val="bottom"/>
            <w:shd w:val="clear" w:color="auto" w:fill="1D2758"/>
          </w:tcPr>
          <w:p>
            <w:pPr>
              <w:spacing w:after="0"/>
              <w:rPr>
                <w:sz w:val="11"/>
                <w:szCs w:val="11"/>
                <w:color w:val="auto"/>
              </w:rPr>
            </w:pPr>
          </w:p>
        </w:tc>
        <w:tc>
          <w:tcPr>
            <w:tcW w:w="880" w:type="dxa"/>
            <w:vAlign w:val="bottom"/>
            <w:shd w:val="clear" w:color="auto" w:fill="1D2758"/>
          </w:tcPr>
          <w:p>
            <w:pPr>
              <w:jc w:val="center"/>
              <w:ind w:right="30"/>
              <w:spacing w:after="0" w:line="135" w:lineRule="exact"/>
              <w:rPr>
                <w:sz w:val="20"/>
                <w:szCs w:val="20"/>
                <w:color w:val="auto"/>
              </w:rPr>
            </w:pPr>
            <w:r>
              <w:rPr>
                <w:rFonts w:ascii="Arial" w:cs="Arial" w:eastAsia="Arial" w:hAnsi="Arial"/>
                <w:sz w:val="13"/>
                <w:szCs w:val="13"/>
                <w:b w:val="1"/>
                <w:bCs w:val="1"/>
                <w:color w:val="FFFFFF"/>
                <w:w w:val="97"/>
              </w:rPr>
              <w:t>Other</w:t>
            </w:r>
          </w:p>
        </w:tc>
        <w:tc>
          <w:tcPr>
            <w:tcW w:w="94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720" w:type="dxa"/>
            <w:vAlign w:val="bottom"/>
            <w:shd w:val="clear" w:color="auto" w:fill="1D2758"/>
          </w:tcPr>
          <w:p>
            <w:pPr>
              <w:jc w:val="right"/>
              <w:ind w:right="229"/>
              <w:spacing w:after="0" w:line="135" w:lineRule="exact"/>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1D2758"/>
          </w:tcPr>
          <w:p>
            <w:pPr>
              <w:spacing w:after="0"/>
              <w:rPr>
                <w:sz w:val="11"/>
                <w:szCs w:val="11"/>
                <w:color w:val="auto"/>
              </w:rPr>
            </w:pPr>
          </w:p>
        </w:tc>
        <w:tc>
          <w:tcPr>
            <w:tcW w:w="640" w:type="dxa"/>
            <w:vAlign w:val="bottom"/>
            <w:shd w:val="clear" w:color="auto" w:fill="1D2758"/>
          </w:tcPr>
          <w:p>
            <w:pPr>
              <w:jc w:val="center"/>
              <w:ind w:right="49"/>
              <w:spacing w:after="0" w:line="135" w:lineRule="exact"/>
              <w:rPr>
                <w:sz w:val="20"/>
                <w:szCs w:val="20"/>
                <w:color w:val="auto"/>
              </w:rPr>
            </w:pPr>
            <w:r>
              <w:rPr>
                <w:rFonts w:ascii="Arial" w:cs="Arial" w:eastAsia="Arial" w:hAnsi="Arial"/>
                <w:sz w:val="13"/>
                <w:szCs w:val="13"/>
                <w:b w:val="1"/>
                <w:bCs w:val="1"/>
                <w:color w:val="FFFFFF"/>
                <w:w w:val="94"/>
              </w:rPr>
              <w:t>Non-</w:t>
            </w:r>
          </w:p>
        </w:tc>
        <w:tc>
          <w:tcPr>
            <w:tcW w:w="86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1D2758"/>
          </w:tcPr>
          <w:p>
            <w:pPr>
              <w:spacing w:after="0"/>
              <w:rPr>
                <w:sz w:val="11"/>
                <w:szCs w:val="11"/>
                <w:color w:val="auto"/>
              </w:rPr>
            </w:pPr>
          </w:p>
        </w:tc>
        <w:tc>
          <w:tcPr>
            <w:tcW w:w="800" w:type="dxa"/>
            <w:vAlign w:val="bottom"/>
            <w:shd w:val="clear" w:color="auto" w:fill="1D2758"/>
          </w:tcPr>
          <w:p>
            <w:pPr>
              <w:spacing w:after="0"/>
              <w:rPr>
                <w:sz w:val="11"/>
                <w:szCs w:val="11"/>
                <w:color w:val="auto"/>
              </w:rPr>
            </w:pPr>
          </w:p>
        </w:tc>
        <w:tc>
          <w:tcPr>
            <w:tcW w:w="220" w:type="dxa"/>
            <w:vAlign w:val="bottom"/>
            <w:shd w:val="clear" w:color="auto" w:fill="1D2758"/>
          </w:tcPr>
          <w:p>
            <w:pPr>
              <w:spacing w:after="0"/>
              <w:rPr>
                <w:sz w:val="11"/>
                <w:szCs w:val="11"/>
                <w:color w:val="auto"/>
              </w:rPr>
            </w:pPr>
          </w:p>
        </w:tc>
        <w:tc>
          <w:tcPr>
            <w:tcW w:w="740" w:type="dxa"/>
            <w:vAlign w:val="bottom"/>
            <w:shd w:val="clear" w:color="auto" w:fill="1D2758"/>
          </w:tcPr>
          <w:p>
            <w:pPr>
              <w:spacing w:after="0"/>
              <w:rPr>
                <w:sz w:val="11"/>
                <w:szCs w:val="11"/>
                <w:color w:val="auto"/>
              </w:rPr>
            </w:pPr>
          </w:p>
        </w:tc>
        <w:tc>
          <w:tcPr>
            <w:tcW w:w="800" w:type="dxa"/>
            <w:vAlign w:val="bottom"/>
            <w:shd w:val="clear" w:color="auto" w:fill="1D2758"/>
          </w:tcPr>
          <w:p>
            <w:pPr>
              <w:spacing w:after="0"/>
              <w:rPr>
                <w:sz w:val="11"/>
                <w:szCs w:val="11"/>
                <w:color w:val="auto"/>
              </w:rPr>
            </w:pPr>
          </w:p>
        </w:tc>
        <w:tc>
          <w:tcPr>
            <w:tcW w:w="200" w:type="dxa"/>
            <w:vAlign w:val="bottom"/>
            <w:shd w:val="clear" w:color="auto" w:fill="1D2758"/>
          </w:tcPr>
          <w:p>
            <w:pPr>
              <w:spacing w:after="0"/>
              <w:rPr>
                <w:sz w:val="11"/>
                <w:szCs w:val="11"/>
                <w:color w:val="auto"/>
              </w:rPr>
            </w:pPr>
          </w:p>
        </w:tc>
        <w:tc>
          <w:tcPr>
            <w:tcW w:w="740" w:type="dxa"/>
            <w:vAlign w:val="bottom"/>
            <w:shd w:val="clear" w:color="auto" w:fill="1D2758"/>
          </w:tcPr>
          <w:p>
            <w:pPr>
              <w:spacing w:after="0"/>
              <w:rPr>
                <w:sz w:val="11"/>
                <w:szCs w:val="11"/>
                <w:color w:val="auto"/>
              </w:rPr>
            </w:pPr>
          </w:p>
        </w:tc>
        <w:tc>
          <w:tcPr>
            <w:tcW w:w="140" w:type="dxa"/>
            <w:vAlign w:val="bottom"/>
            <w:shd w:val="clear" w:color="auto" w:fill="1D2758"/>
          </w:tcPr>
          <w:p>
            <w:pPr>
              <w:spacing w:after="0"/>
              <w:rPr>
                <w:sz w:val="11"/>
                <w:szCs w:val="11"/>
                <w:color w:val="auto"/>
              </w:rPr>
            </w:pPr>
          </w:p>
        </w:tc>
        <w:tc>
          <w:tcPr>
            <w:tcW w:w="820" w:type="dxa"/>
            <w:vAlign w:val="bottom"/>
            <w:shd w:val="clear" w:color="auto" w:fill="1D2758"/>
          </w:tcPr>
          <w:p>
            <w:pPr>
              <w:jc w:val="right"/>
              <w:ind w:right="89"/>
              <w:spacing w:after="0" w:line="135" w:lineRule="exact"/>
              <w:rPr>
                <w:sz w:val="20"/>
                <w:szCs w:val="20"/>
                <w:color w:val="auto"/>
              </w:rPr>
            </w:pPr>
            <w:r>
              <w:rPr>
                <w:rFonts w:ascii="Arial" w:cs="Arial" w:eastAsia="Arial" w:hAnsi="Arial"/>
                <w:sz w:val="13"/>
                <w:szCs w:val="13"/>
                <w:b w:val="1"/>
                <w:bCs w:val="1"/>
                <w:color w:val="FFFFFF"/>
              </w:rPr>
              <w:t>Additional</w:t>
            </w:r>
          </w:p>
        </w:tc>
        <w:tc>
          <w:tcPr>
            <w:tcW w:w="1000" w:type="dxa"/>
            <w:vAlign w:val="bottom"/>
            <w:gridSpan w:val="2"/>
            <w:shd w:val="clear" w:color="auto" w:fill="1D2758"/>
          </w:tcPr>
          <w:p>
            <w:pPr>
              <w:ind w:left="40"/>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940" w:type="dxa"/>
            <w:vAlign w:val="bottom"/>
            <w:shd w:val="clear" w:color="auto" w:fill="1D2758"/>
          </w:tcPr>
          <w:p>
            <w:pPr>
              <w:jc w:val="right"/>
              <w:spacing w:after="0" w:line="135" w:lineRule="exact"/>
              <w:rPr>
                <w:sz w:val="20"/>
                <w:szCs w:val="20"/>
                <w:color w:val="auto"/>
              </w:rPr>
            </w:pPr>
            <w:r>
              <w:rPr>
                <w:rFonts w:ascii="Arial" w:cs="Arial" w:eastAsia="Arial" w:hAnsi="Arial"/>
                <w:sz w:val="13"/>
                <w:szCs w:val="13"/>
                <w:b w:val="1"/>
                <w:bCs w:val="1"/>
                <w:color w:val="FFFFFF"/>
              </w:rPr>
              <w:t>Accumulated</w:t>
            </w:r>
          </w:p>
        </w:tc>
        <w:tc>
          <w:tcPr>
            <w:tcW w:w="920" w:type="dxa"/>
            <w:vAlign w:val="bottom"/>
            <w:gridSpan w:val="2"/>
            <w:shd w:val="clear" w:color="auto" w:fill="1D2758"/>
          </w:tcPr>
          <w:p>
            <w:pPr>
              <w:ind w:left="6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780" w:type="dxa"/>
            <w:vAlign w:val="bottom"/>
            <w:gridSpan w:val="2"/>
            <w:shd w:val="clear" w:color="auto" w:fill="1D2758"/>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86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00" w:type="dxa"/>
            <w:vAlign w:val="bottom"/>
            <w:shd w:val="clear" w:color="auto" w:fill="1D2758"/>
          </w:tcPr>
          <w:p>
            <w:pPr>
              <w:jc w:val="right"/>
              <w:ind w:right="69"/>
              <w:spacing w:after="0"/>
              <w:rPr>
                <w:sz w:val="20"/>
                <w:szCs w:val="20"/>
                <w:color w:val="auto"/>
              </w:rPr>
            </w:pPr>
            <w:r>
              <w:rPr>
                <w:rFonts w:ascii="Arial" w:cs="Arial" w:eastAsia="Arial" w:hAnsi="Arial"/>
                <w:sz w:val="13"/>
                <w:szCs w:val="13"/>
                <w:b w:val="1"/>
                <w:bCs w:val="1"/>
                <w:color w:val="FFFFFF"/>
              </w:rPr>
              <w:t>Shares</w:t>
            </w:r>
          </w:p>
        </w:tc>
        <w:tc>
          <w:tcPr>
            <w:tcW w:w="220" w:type="dxa"/>
            <w:vAlign w:val="bottom"/>
            <w:shd w:val="clear" w:color="auto" w:fill="1D2758"/>
          </w:tcPr>
          <w:p>
            <w:pPr>
              <w:spacing w:after="0"/>
              <w:rPr>
                <w:sz w:val="16"/>
                <w:szCs w:val="16"/>
                <w:color w:val="auto"/>
              </w:rPr>
            </w:pPr>
          </w:p>
        </w:tc>
        <w:tc>
          <w:tcPr>
            <w:tcW w:w="740" w:type="dxa"/>
            <w:vAlign w:val="bottom"/>
            <w:shd w:val="clear" w:color="auto" w:fill="1D2758"/>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800" w:type="dxa"/>
            <w:vAlign w:val="bottom"/>
            <w:shd w:val="clear" w:color="auto" w:fill="1D2758"/>
          </w:tcPr>
          <w:p>
            <w:pPr>
              <w:jc w:val="right"/>
              <w:ind w:right="89"/>
              <w:spacing w:after="0"/>
              <w:rPr>
                <w:sz w:val="20"/>
                <w:szCs w:val="20"/>
                <w:color w:val="auto"/>
              </w:rPr>
            </w:pPr>
            <w:r>
              <w:rPr>
                <w:rFonts w:ascii="Arial" w:cs="Arial" w:eastAsia="Arial" w:hAnsi="Arial"/>
                <w:sz w:val="13"/>
                <w:szCs w:val="13"/>
                <w:b w:val="1"/>
                <w:bCs w:val="1"/>
                <w:color w:val="FFFFFF"/>
              </w:rPr>
              <w:t>Shares</w:t>
            </w:r>
          </w:p>
        </w:tc>
        <w:tc>
          <w:tcPr>
            <w:tcW w:w="200" w:type="dxa"/>
            <w:vAlign w:val="bottom"/>
            <w:shd w:val="clear" w:color="auto" w:fill="1D2758"/>
          </w:tcPr>
          <w:p>
            <w:pPr>
              <w:spacing w:after="0"/>
              <w:rPr>
                <w:sz w:val="16"/>
                <w:szCs w:val="16"/>
                <w:color w:val="auto"/>
              </w:rPr>
            </w:pPr>
          </w:p>
        </w:tc>
        <w:tc>
          <w:tcPr>
            <w:tcW w:w="740" w:type="dxa"/>
            <w:vAlign w:val="bottom"/>
            <w:shd w:val="clear" w:color="auto" w:fill="1D2758"/>
          </w:tcPr>
          <w:p>
            <w:pPr>
              <w:jc w:val="right"/>
              <w:ind w:right="129"/>
              <w:spacing w:after="0"/>
              <w:rPr>
                <w:sz w:val="20"/>
                <w:szCs w:val="20"/>
                <w:color w:val="auto"/>
              </w:rPr>
            </w:pPr>
            <w:r>
              <w:rPr>
                <w:rFonts w:ascii="Arial" w:cs="Arial" w:eastAsia="Arial" w:hAnsi="Arial"/>
                <w:sz w:val="13"/>
                <w:szCs w:val="13"/>
                <w:b w:val="1"/>
                <w:bCs w:val="1"/>
                <w:color w:val="FFFFFF"/>
              </w:rPr>
              <w:t>Amount</w:t>
            </w:r>
          </w:p>
        </w:tc>
        <w:tc>
          <w:tcPr>
            <w:tcW w:w="96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w w:val="98"/>
              </w:rPr>
              <w:t>Paid-in-Capital</w:t>
            </w:r>
          </w:p>
        </w:tc>
        <w:tc>
          <w:tcPr>
            <w:tcW w:w="120" w:type="dxa"/>
            <w:vAlign w:val="bottom"/>
            <w:shd w:val="clear" w:color="auto" w:fill="1D2758"/>
          </w:tcPr>
          <w:p>
            <w:pPr>
              <w:spacing w:after="0"/>
              <w:rPr>
                <w:sz w:val="16"/>
                <w:szCs w:val="16"/>
                <w:color w:val="auto"/>
              </w:rPr>
            </w:pPr>
          </w:p>
        </w:tc>
        <w:tc>
          <w:tcPr>
            <w:tcW w:w="880" w:type="dxa"/>
            <w:vAlign w:val="bottom"/>
            <w:shd w:val="clear" w:color="auto" w:fill="1D2758"/>
          </w:tcPr>
          <w:p>
            <w:pPr>
              <w:jc w:val="center"/>
              <w:ind w:right="30"/>
              <w:spacing w:after="0"/>
              <w:rPr>
                <w:sz w:val="20"/>
                <w:szCs w:val="20"/>
                <w:color w:val="auto"/>
              </w:rPr>
            </w:pPr>
            <w:r>
              <w:rPr>
                <w:rFonts w:ascii="Arial" w:cs="Arial" w:eastAsia="Arial" w:hAnsi="Arial"/>
                <w:sz w:val="13"/>
                <w:szCs w:val="13"/>
                <w:b w:val="1"/>
                <w:bCs w:val="1"/>
                <w:color w:val="FFFFFF"/>
                <w:w w:val="98"/>
              </w:rPr>
              <w:t>Loss</w:t>
            </w:r>
          </w:p>
        </w:tc>
        <w:tc>
          <w:tcPr>
            <w:tcW w:w="940" w:type="dxa"/>
            <w:vAlign w:val="bottom"/>
            <w:shd w:val="clear" w:color="auto" w:fill="1D2758"/>
          </w:tcPr>
          <w:p>
            <w:pPr>
              <w:jc w:val="right"/>
              <w:ind w:right="189"/>
              <w:spacing w:after="0"/>
              <w:rPr>
                <w:sz w:val="20"/>
                <w:szCs w:val="20"/>
                <w:color w:val="auto"/>
              </w:rPr>
            </w:pPr>
            <w:r>
              <w:rPr>
                <w:rFonts w:ascii="Arial" w:cs="Arial" w:eastAsia="Arial" w:hAnsi="Arial"/>
                <w:sz w:val="13"/>
                <w:szCs w:val="13"/>
                <w:b w:val="1"/>
                <w:bCs w:val="1"/>
                <w:color w:val="FFFFFF"/>
              </w:rPr>
              <w:t>Deficit</w:t>
            </w:r>
          </w:p>
        </w:tc>
        <w:tc>
          <w:tcPr>
            <w:tcW w:w="200" w:type="dxa"/>
            <w:vAlign w:val="bottom"/>
            <w:shd w:val="clear" w:color="auto" w:fill="1D2758"/>
          </w:tcPr>
          <w:p>
            <w:pPr>
              <w:spacing w:after="0"/>
              <w:rPr>
                <w:sz w:val="16"/>
                <w:szCs w:val="16"/>
                <w:color w:val="auto"/>
              </w:rPr>
            </w:pPr>
          </w:p>
        </w:tc>
        <w:tc>
          <w:tcPr>
            <w:tcW w:w="720" w:type="dxa"/>
            <w:vAlign w:val="bottom"/>
            <w:shd w:val="clear" w:color="auto" w:fill="1D2758"/>
          </w:tcPr>
          <w:p>
            <w:pPr>
              <w:jc w:val="right"/>
              <w:ind w:right="169"/>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1D2758"/>
          </w:tcPr>
          <w:p>
            <w:pPr>
              <w:spacing w:after="0"/>
              <w:rPr>
                <w:sz w:val="16"/>
                <w:szCs w:val="16"/>
                <w:color w:val="auto"/>
              </w:rPr>
            </w:pPr>
          </w:p>
        </w:tc>
        <w:tc>
          <w:tcPr>
            <w:tcW w:w="640" w:type="dxa"/>
            <w:vAlign w:val="bottom"/>
            <w:shd w:val="clear" w:color="auto" w:fill="1D2758"/>
          </w:tcPr>
          <w:p>
            <w:pPr>
              <w:jc w:val="center"/>
              <w:ind w:right="29"/>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shd w:val="clear" w:color="auto" w:fill="1D2758"/>
          </w:tcPr>
          <w:p>
            <w:pPr>
              <w:jc w:val="right"/>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216"/>
        </w:trPr>
        <w:tc>
          <w:tcPr>
            <w:tcW w:w="2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2018</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108,509</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11</w:t>
            </w:r>
          </w:p>
        </w:tc>
        <w:tc>
          <w:tcPr>
            <w:tcW w:w="8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8,024</w:t>
            </w:r>
          </w:p>
        </w:tc>
        <w:tc>
          <w:tcPr>
            <w:tcW w:w="2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2,389,548</w:t>
            </w:r>
          </w:p>
        </w:tc>
        <w:tc>
          <w:tcPr>
            <w:tcW w:w="120" w:type="dxa"/>
            <w:vAlign w:val="bottom"/>
            <w:shd w:val="clear" w:color="auto" w:fill="E7E7E8"/>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(68,026)</w:t>
            </w:r>
          </w:p>
        </w:tc>
        <w:tc>
          <w:tcPr>
            <w:tcW w:w="9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(1,683,319)</w:t>
            </w:r>
          </w:p>
        </w:tc>
        <w:tc>
          <w:tcPr>
            <w:tcW w:w="20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638,215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63,982</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$ 702,197</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(9,271)</w:t>
            </w:r>
          </w:p>
        </w:tc>
        <w:tc>
          <w:tcPr>
            <w:tcW w:w="20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(9,271)</w:t>
            </w:r>
          </w:p>
        </w:tc>
        <w:tc>
          <w:tcPr>
            <w:tcW w:w="1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(758)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(10,029)</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1,748</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1,748</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166</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Adoption of ASC 842</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4,723</w:t>
            </w:r>
          </w:p>
        </w:tc>
        <w:tc>
          <w:tcPr>
            <w:tcW w:w="20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4,723</w:t>
            </w:r>
          </w:p>
        </w:tc>
        <w:tc>
          <w:tcPr>
            <w:tcW w:w="140" w:type="dxa"/>
            <w:vAlign w:val="bottom"/>
          </w:tcPr>
          <w:p>
            <w:pPr>
              <w:spacing w:after="0"/>
              <w:rPr>
                <w:sz w:val="18"/>
                <w:szCs w:val="18"/>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503</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5,226</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Adoption of ASC 606</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345</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345</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10"/>
        </w:trPr>
        <w:tc>
          <w:tcPr>
            <w:tcW w:w="228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184</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636</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16"/>
        </w:trPr>
        <w:tc>
          <w:tcPr>
            <w:tcW w:w="228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March 31, 2019</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108,693</w:t>
            </w:r>
          </w:p>
        </w:tc>
        <w:tc>
          <w:tcPr>
            <w:tcW w:w="2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11</w:t>
            </w:r>
          </w:p>
        </w:tc>
        <w:tc>
          <w:tcPr>
            <w:tcW w:w="8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8,024</w:t>
            </w:r>
          </w:p>
        </w:tc>
        <w:tc>
          <w:tcPr>
            <w:tcW w:w="2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2,390,184</w:t>
            </w:r>
          </w:p>
        </w:tc>
        <w:tc>
          <w:tcPr>
            <w:tcW w:w="120" w:type="dxa"/>
            <w:vAlign w:val="bottom"/>
            <w:shd w:val="clear" w:color="auto" w:fill="E7E7E8"/>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(66,278)</w:t>
            </w:r>
          </w:p>
        </w:tc>
        <w:tc>
          <w:tcPr>
            <w:tcW w:w="9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 (1,687,522)</w:t>
            </w:r>
          </w:p>
        </w:tc>
        <w:tc>
          <w:tcPr>
            <w:tcW w:w="200" w:type="dxa"/>
            <w:vAlign w:val="bottom"/>
            <w:shd w:val="clear" w:color="auto" w:fill="E7E7E8"/>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636,396</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63,893</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$ 700,289</w:t>
            </w:r>
          </w:p>
        </w:tc>
        <w:tc>
          <w:tcPr>
            <w:tcW w:w="0" w:type="dxa"/>
            <w:vAlign w:val="bottom"/>
          </w:tcPr>
          <w:p>
            <w:pPr>
              <w:spacing w:after="0"/>
              <w:rPr>
                <w:sz w:val="1"/>
                <w:szCs w:val="1"/>
                <w:color w:val="auto"/>
              </w:rPr>
            </w:pPr>
          </w:p>
        </w:tc>
      </w:tr>
      <w:tr>
        <w:trPr>
          <w:trHeight w:val="210"/>
        </w:trPr>
        <w:tc>
          <w:tcPr>
            <w:tcW w:w="22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(10,606)</w:t>
            </w:r>
          </w:p>
        </w:tc>
        <w:tc>
          <w:tcPr>
            <w:tcW w:w="20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(10,606)</w:t>
            </w:r>
          </w:p>
        </w:tc>
        <w:tc>
          <w:tcPr>
            <w:tcW w:w="1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(832)</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(11,438)</w:t>
            </w:r>
          </w:p>
        </w:tc>
        <w:tc>
          <w:tcPr>
            <w:tcW w:w="0" w:type="dxa"/>
            <w:vAlign w:val="bottom"/>
          </w:tcPr>
          <w:p>
            <w:pPr>
              <w:spacing w:after="0"/>
              <w:rPr>
                <w:sz w:val="1"/>
                <w:szCs w:val="1"/>
                <w:color w:val="auto"/>
              </w:rPr>
            </w:pPr>
          </w:p>
        </w:tc>
      </w:tr>
      <w:tr>
        <w:trPr>
          <w:trHeight w:val="222"/>
        </w:trPr>
        <w:tc>
          <w:tcPr>
            <w:tcW w:w="2280" w:type="dxa"/>
            <w:vAlign w:val="bottom"/>
            <w:shd w:val="clear" w:color="auto" w:fill="E7E7E8"/>
          </w:tcPr>
          <w:p>
            <w:pPr>
              <w:ind w:left="220"/>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4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shd w:val="clear" w:color="auto" w:fill="E7E7E8"/>
          </w:tcPr>
          <w:p>
            <w:pPr>
              <w:spacing w:after="0"/>
              <w:rPr>
                <w:sz w:val="19"/>
                <w:szCs w:val="19"/>
                <w:color w:val="auto"/>
              </w:rPr>
            </w:pPr>
          </w:p>
        </w:tc>
        <w:tc>
          <w:tcPr>
            <w:tcW w:w="82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88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388</w:t>
            </w:r>
          </w:p>
        </w:tc>
        <w:tc>
          <w:tcPr>
            <w:tcW w:w="94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E7E7E8"/>
          </w:tcPr>
          <w:p>
            <w:pPr>
              <w:spacing w:after="0"/>
              <w:rPr>
                <w:sz w:val="19"/>
                <w:szCs w:val="19"/>
                <w:color w:val="auto"/>
              </w:rPr>
            </w:pPr>
          </w:p>
        </w:tc>
        <w:tc>
          <w:tcPr>
            <w:tcW w:w="720" w:type="dxa"/>
            <w:vAlign w:val="bottom"/>
            <w:shd w:val="clear" w:color="auto" w:fill="E7E7E8"/>
          </w:tcPr>
          <w:p>
            <w:pPr>
              <w:jc w:val="right"/>
              <w:ind w:right="89"/>
              <w:spacing w:after="0"/>
              <w:rPr>
                <w:sz w:val="20"/>
                <w:szCs w:val="20"/>
                <w:color w:val="auto"/>
              </w:rPr>
            </w:pPr>
            <w:r>
              <w:rPr>
                <w:rFonts w:ascii="Arial" w:cs="Arial" w:eastAsia="Arial" w:hAnsi="Arial"/>
                <w:sz w:val="14"/>
                <w:szCs w:val="14"/>
                <w:color w:val="auto"/>
              </w:rPr>
              <w:t>388</w:t>
            </w:r>
          </w:p>
        </w:tc>
        <w:tc>
          <w:tcPr>
            <w:tcW w:w="140" w:type="dxa"/>
            <w:vAlign w:val="bottom"/>
            <w:shd w:val="clear" w:color="auto" w:fill="E7E7E8"/>
          </w:tcPr>
          <w:p>
            <w:pPr>
              <w:spacing w:after="0"/>
              <w:rPr>
                <w:sz w:val="19"/>
                <w:szCs w:val="19"/>
                <w:color w:val="auto"/>
              </w:rPr>
            </w:pPr>
          </w:p>
        </w:tc>
        <w:tc>
          <w:tcPr>
            <w:tcW w:w="640" w:type="dxa"/>
            <w:vAlign w:val="bottom"/>
            <w:shd w:val="clear" w:color="auto" w:fill="E7E7E8"/>
          </w:tcPr>
          <w:p>
            <w:pPr>
              <w:jc w:val="right"/>
              <w:ind w:right="49"/>
              <w:spacing w:after="0"/>
              <w:rPr>
                <w:sz w:val="20"/>
                <w:szCs w:val="20"/>
                <w:color w:val="auto"/>
              </w:rPr>
            </w:pPr>
            <w:r>
              <w:rPr>
                <w:rFonts w:ascii="Arial" w:cs="Arial" w:eastAsia="Arial" w:hAnsi="Arial"/>
                <w:sz w:val="14"/>
                <w:szCs w:val="14"/>
                <w:color w:val="auto"/>
              </w:rPr>
              <w:t>46</w:t>
            </w:r>
          </w:p>
        </w:tc>
        <w:tc>
          <w:tcPr>
            <w:tcW w:w="860" w:type="dxa"/>
            <w:vAlign w:val="bottom"/>
            <w:shd w:val="clear" w:color="auto" w:fill="E7E7E8"/>
          </w:tcPr>
          <w:p>
            <w:pPr>
              <w:jc w:val="right"/>
              <w:ind w:right="69"/>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210"/>
        </w:trPr>
        <w:tc>
          <w:tcPr>
            <w:tcW w:w="2280" w:type="dxa"/>
            <w:vAlign w:val="bottom"/>
            <w:tcBorders>
              <w:bottom w:val="single" w:sz="8" w:color="E7E7E8"/>
            </w:tcBorders>
          </w:tcPr>
          <w:p>
            <w:pPr>
              <w:ind w:left="220"/>
              <w:spacing w:after="0"/>
              <w:rPr>
                <w:sz w:val="20"/>
                <w:szCs w:val="20"/>
                <w:color w:val="auto"/>
              </w:rPr>
            </w:pPr>
            <w:r>
              <w:rPr>
                <w:rFonts w:ascii="Arial" w:cs="Arial" w:eastAsia="Arial" w:hAnsi="Arial"/>
                <w:sz w:val="14"/>
                <w:szCs w:val="14"/>
                <w:color w:val="auto"/>
              </w:rPr>
              <w:t>Stock-based compensation</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1,901</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1,901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Balance at June 30, 2019</w:t>
            </w:r>
          </w:p>
        </w:tc>
        <w:tc>
          <w:tcPr>
            <w:tcW w:w="80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108,699</w:t>
            </w:r>
          </w:p>
        </w:tc>
        <w:tc>
          <w:tcPr>
            <w:tcW w:w="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7E7E8"/>
          </w:tcPr>
          <w:p>
            <w:pPr>
              <w:jc w:val="right"/>
              <w:ind w:right="89"/>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8,024</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7E7E8"/>
          </w:tcPr>
          <w:p>
            <w:pPr>
              <w:jc w:val="right"/>
              <w:ind w:right="89"/>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2,392,085</w:t>
            </w:r>
          </w:p>
        </w:tc>
        <w:tc>
          <w:tcPr>
            <w:tcW w:w="12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E7E7E8"/>
          </w:tcPr>
          <w:p>
            <w:pPr>
              <w:jc w:val="right"/>
              <w:ind w:right="30"/>
              <w:spacing w:after="0"/>
              <w:rPr>
                <w:sz w:val="20"/>
                <w:szCs w:val="20"/>
                <w:color w:val="auto"/>
              </w:rPr>
            </w:pPr>
            <w:r>
              <w:rPr>
                <w:rFonts w:ascii="Arial" w:cs="Arial" w:eastAsia="Arial" w:hAnsi="Arial"/>
                <w:sz w:val="14"/>
                <w:szCs w:val="14"/>
                <w:color w:val="auto"/>
              </w:rPr>
              <w:t>(65,890)</w:t>
            </w:r>
          </w:p>
        </w:tc>
        <w:tc>
          <w:tcPr>
            <w:tcW w:w="9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 (1,698,128)</w:t>
            </w:r>
          </w:p>
        </w:tc>
        <w:tc>
          <w:tcPr>
            <w:tcW w:w="20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7E7E8"/>
          </w:tcPr>
          <w:p>
            <w:pPr>
              <w:jc w:val="right"/>
              <w:ind w:right="89"/>
              <w:spacing w:after="0"/>
              <w:rPr>
                <w:sz w:val="20"/>
                <w:szCs w:val="20"/>
                <w:color w:val="auto"/>
              </w:rPr>
            </w:pPr>
            <w:r>
              <w:rPr>
                <w:rFonts w:ascii="Arial" w:cs="Arial" w:eastAsia="Arial" w:hAnsi="Arial"/>
                <w:sz w:val="14"/>
                <w:szCs w:val="14"/>
                <w:color w:val="auto"/>
              </w:rPr>
              <w:t>628,079</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7E7E8"/>
          </w:tcPr>
          <w:p>
            <w:pPr>
              <w:jc w:val="right"/>
              <w:ind w:right="49"/>
              <w:spacing w:after="0"/>
              <w:rPr>
                <w:sz w:val="20"/>
                <w:szCs w:val="20"/>
                <w:color w:val="auto"/>
              </w:rPr>
            </w:pPr>
            <w:r>
              <w:rPr>
                <w:rFonts w:ascii="Arial" w:cs="Arial" w:eastAsia="Arial" w:hAnsi="Arial"/>
                <w:sz w:val="14"/>
                <w:szCs w:val="14"/>
                <w:color w:val="auto"/>
              </w:rPr>
              <w:t>63,107</w:t>
            </w:r>
          </w:p>
        </w:tc>
        <w:tc>
          <w:tcPr>
            <w:tcW w:w="86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$ 691,186</w:t>
            </w:r>
          </w:p>
        </w:tc>
        <w:tc>
          <w:tcPr>
            <w:tcW w:w="0" w:type="dxa"/>
            <w:vAlign w:val="bottom"/>
          </w:tcPr>
          <w:p>
            <w:pPr>
              <w:spacing w:after="0"/>
              <w:rPr>
                <w:sz w:val="1"/>
                <w:szCs w:val="1"/>
                <w:color w:val="auto"/>
              </w:rPr>
            </w:pPr>
          </w:p>
        </w:tc>
      </w:tr>
      <w:tr>
        <w:trPr>
          <w:trHeight w:val="20"/>
        </w:trPr>
        <w:tc>
          <w:tcPr>
            <w:tcW w:w="2280" w:type="dxa"/>
            <w:vAlign w:val="bottom"/>
            <w:tcBorders>
              <w:top w:val="single" w:sz="8" w:color="E7E7E8"/>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740" w:type="dxa"/>
            <w:vAlign w:val="bottom"/>
            <w:tcBorders>
              <w:top w:val="single" w:sz="8" w:color="E7E7E8"/>
              <w:bottom w:val="single" w:sz="8" w:color="auto"/>
            </w:tcBorders>
          </w:tcPr>
          <w:p>
            <w:pPr>
              <w:spacing w:after="0" w:line="20" w:lineRule="exact"/>
              <w:rPr>
                <w:sz w:val="1"/>
                <w:szCs w:val="1"/>
                <w:color w:val="auto"/>
              </w:rPr>
            </w:pPr>
          </w:p>
        </w:tc>
        <w:tc>
          <w:tcPr>
            <w:tcW w:w="80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40" w:type="dxa"/>
            <w:vAlign w:val="bottom"/>
            <w:tcBorders>
              <w:top w:val="single" w:sz="8" w:color="E7E7E8"/>
              <w:bottom w:val="single" w:sz="8" w:color="auto"/>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82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880" w:type="dxa"/>
            <w:vAlign w:val="bottom"/>
            <w:tcBorders>
              <w:top w:val="single" w:sz="8" w:color="E7E7E8"/>
              <w:bottom w:val="single" w:sz="8" w:color="auto"/>
            </w:tcBorders>
          </w:tcPr>
          <w:p>
            <w:pPr>
              <w:spacing w:after="0" w:line="20" w:lineRule="exact"/>
              <w:rPr>
                <w:sz w:val="1"/>
                <w:szCs w:val="1"/>
                <w:color w:val="auto"/>
              </w:rPr>
            </w:pPr>
          </w:p>
        </w:tc>
        <w:tc>
          <w:tcPr>
            <w:tcW w:w="94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720" w:type="dxa"/>
            <w:vAlign w:val="bottom"/>
            <w:tcBorders>
              <w:top w:val="single" w:sz="8" w:color="E7E7E8"/>
              <w:bottom w:val="single" w:sz="8" w:color="auto"/>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1D2758"/>
        </w:rPr>
        <w:t>WillScot Corporation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1D2758"/>
        </w:rPr>
        <w:t>Condensed Consolidated Statements of Cash Flows (Unaudited)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shd w:val="clear" w:color="auto" w:fill="1D2758"/>
          </w:tcPr>
          <w:p>
            <w:pPr>
              <w:spacing w:after="0"/>
              <w:rPr>
                <w:sz w:val="16"/>
                <w:szCs w:val="16"/>
                <w:color w:val="auto"/>
              </w:rPr>
            </w:pPr>
          </w:p>
        </w:tc>
        <w:tc>
          <w:tcPr>
            <w:tcW w:w="320" w:type="dxa"/>
            <w:vAlign w:val="bottom"/>
            <w:shd w:val="clear" w:color="auto" w:fill="1D2758"/>
          </w:tcPr>
          <w:p>
            <w:pPr>
              <w:spacing w:after="0"/>
              <w:rPr>
                <w:sz w:val="16"/>
                <w:szCs w:val="16"/>
                <w:color w:val="auto"/>
              </w:rPr>
            </w:pPr>
          </w:p>
        </w:tc>
        <w:tc>
          <w:tcPr>
            <w:tcW w:w="2760" w:type="dxa"/>
            <w:vAlign w:val="bottom"/>
            <w:gridSpan w:val="4"/>
            <w:shd w:val="clear" w:color="auto" w:fill="1D2758"/>
          </w:tcPr>
          <w:p>
            <w:pPr>
              <w:jc w:val="right"/>
              <w:ind w:right="779"/>
              <w:spacing w:after="0"/>
              <w:rPr>
                <w:sz w:val="20"/>
                <w:szCs w:val="20"/>
                <w:color w:val="auto"/>
              </w:rPr>
            </w:pPr>
            <w:r>
              <w:rPr>
                <w:rFonts w:ascii="Arial" w:cs="Arial" w:eastAsia="Arial" w:hAnsi="Arial"/>
                <w:sz w:val="16"/>
                <w:szCs w:val="16"/>
                <w:b w:val="1"/>
                <w:bCs w:val="1"/>
                <w:color w:val="FFFFFF"/>
              </w:rPr>
              <w:t>Six Months Ended</w:t>
            </w:r>
          </w:p>
        </w:tc>
        <w:tc>
          <w:tcPr>
            <w:tcW w:w="0" w:type="dxa"/>
            <w:vAlign w:val="bottom"/>
          </w:tcPr>
          <w:p>
            <w:pPr>
              <w:spacing w:after="0"/>
              <w:rPr>
                <w:sz w:val="1"/>
                <w:szCs w:val="1"/>
                <w:color w:val="auto"/>
              </w:rPr>
            </w:pPr>
          </w:p>
        </w:tc>
      </w:tr>
      <w:tr>
        <w:trPr>
          <w:trHeight w:val="215"/>
        </w:trPr>
        <w:tc>
          <w:tcPr>
            <w:tcW w:w="786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68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June 30,</w:t>
            </w:r>
          </w:p>
        </w:tc>
        <w:tc>
          <w:tcPr>
            <w:tcW w:w="10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1D2758"/>
          </w:tcPr>
          <w:p>
            <w:pPr>
              <w:spacing w:after="0"/>
              <w:rPr>
                <w:sz w:val="19"/>
                <w:szCs w:val="19"/>
                <w:color w:val="auto"/>
              </w:rPr>
            </w:pPr>
          </w:p>
        </w:tc>
        <w:tc>
          <w:tcPr>
            <w:tcW w:w="116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420" w:type="dxa"/>
            <w:vAlign w:val="bottom"/>
            <w:shd w:val="clear" w:color="auto" w:fill="1D2758"/>
          </w:tcPr>
          <w:p>
            <w:pPr>
              <w:spacing w:after="0"/>
              <w:rPr>
                <w:sz w:val="19"/>
                <w:szCs w:val="19"/>
                <w:color w:val="auto"/>
              </w:rPr>
            </w:pPr>
          </w:p>
        </w:tc>
        <w:tc>
          <w:tcPr>
            <w:tcW w:w="108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81"/>
        </w:trPr>
        <w:tc>
          <w:tcPr>
            <w:tcW w:w="7860" w:type="dxa"/>
            <w:vAlign w:val="bottom"/>
            <w:shd w:val="clear" w:color="auto" w:fill="1D2758"/>
          </w:tcPr>
          <w:p>
            <w:pPr>
              <w:spacing w:after="0"/>
              <w:rPr>
                <w:sz w:val="15"/>
                <w:szCs w:val="15"/>
                <w:color w:val="auto"/>
              </w:rPr>
            </w:pPr>
          </w:p>
        </w:tc>
        <w:tc>
          <w:tcPr>
            <w:tcW w:w="320" w:type="dxa"/>
            <w:vAlign w:val="bottom"/>
            <w:shd w:val="clear" w:color="auto" w:fill="1D2758"/>
          </w:tcPr>
          <w:p>
            <w:pPr>
              <w:spacing w:after="0"/>
              <w:rPr>
                <w:sz w:val="15"/>
                <w:szCs w:val="15"/>
                <w:color w:val="auto"/>
              </w:rPr>
            </w:pPr>
          </w:p>
        </w:tc>
        <w:tc>
          <w:tcPr>
            <w:tcW w:w="1160" w:type="dxa"/>
            <w:vAlign w:val="bottom"/>
            <w:vMerge w:val="continue"/>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108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9,159</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(21,467)</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98,917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91,808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9,122</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6,297</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Impairment losses on long-lived assets</w:t>
            </w: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Impairment on right of use assets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(5,359)</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Amortization of debt discounts and debt issuance costs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5,899</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5,646</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4,014</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Deferred income tax benefit (provision)</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Unrealized currency (gains) losses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Trade receivables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5,709</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(44,492)</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Prepaid and other assets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(6,620)</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Operating lease assets and liabilities</w:t>
            </w: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Accrued interest</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(4,092)</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Accounts payable and other accrued liabilities</w:t>
            </w: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(17,767)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246"/>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Deferred revenue and customer deposits</w:t>
            </w:r>
          </w:p>
        </w:tc>
        <w:tc>
          <w:tcPr>
            <w:tcW w:w="3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6,691</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13,699</w:t>
            </w:r>
          </w:p>
        </w:tc>
        <w:tc>
          <w:tcPr>
            <w:tcW w:w="0" w:type="dxa"/>
            <w:vAlign w:val="bottom"/>
          </w:tcPr>
          <w:p>
            <w:pPr>
              <w:spacing w:after="0"/>
              <w:rPr>
                <w:sz w:val="1"/>
                <w:szCs w:val="1"/>
                <w:color w:val="auto"/>
              </w:rPr>
            </w:pPr>
          </w:p>
        </w:tc>
      </w:tr>
      <w:tr>
        <w:trPr>
          <w:trHeight w:val="233"/>
        </w:trPr>
        <w:tc>
          <w:tcPr>
            <w:tcW w:w="7860" w:type="dxa"/>
            <w:vAlign w:val="bottom"/>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113,727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60,054</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Proceeds from sale of rental equipment</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12,102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23,083</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Purchase of rental equipment and refurbishments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(79,682)</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(113,088)</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Proceeds from the sale of property, plant and equipment</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3,843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8,891</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Purchase of property, plant and equipment</w:t>
            </w:r>
          </w:p>
        </w:tc>
        <w:tc>
          <w:tcPr>
            <w:tcW w:w="3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(3,186)</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(3,899)</w:t>
            </w:r>
          </w:p>
        </w:tc>
        <w:tc>
          <w:tcPr>
            <w:tcW w:w="0" w:type="dxa"/>
            <w:vAlign w:val="bottom"/>
          </w:tcPr>
          <w:p>
            <w:pPr>
              <w:spacing w:after="0"/>
              <w:rPr>
                <w:sz w:val="1"/>
                <w:szCs w:val="1"/>
                <w:color w:val="auto"/>
              </w:rPr>
            </w:pPr>
          </w:p>
        </w:tc>
      </w:tr>
      <w:tr>
        <w:trPr>
          <w:trHeight w:val="227"/>
        </w:trPr>
        <w:tc>
          <w:tcPr>
            <w:tcW w:w="7860" w:type="dxa"/>
            <w:vAlign w:val="bottom"/>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(66,923)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(85,013)</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Receipts from issuance of common stock</w:t>
            </w:r>
          </w:p>
        </w:tc>
        <w:tc>
          <w:tcPr>
            <w:tcW w:w="3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4,580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Receipts from borrowings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704,293</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461,203</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Payment of financing costs</w:t>
            </w: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Repayment of borrowings</w:t>
            </w:r>
          </w:p>
        </w:tc>
        <w:tc>
          <w:tcPr>
            <w:tcW w:w="32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(92,282)</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(430,260)</w:t>
            </w:r>
          </w:p>
        </w:tc>
        <w:tc>
          <w:tcPr>
            <w:tcW w:w="0" w:type="dxa"/>
            <w:vAlign w:val="bottom"/>
          </w:tcPr>
          <w:p>
            <w:pPr>
              <w:spacing w:after="0"/>
              <w:rPr>
                <w:sz w:val="1"/>
                <w:szCs w:val="1"/>
                <w:color w:val="auto"/>
              </w:rPr>
            </w:pPr>
          </w:p>
        </w:tc>
      </w:tr>
      <w:tr>
        <w:trPr>
          <w:trHeight w:val="233"/>
        </w:trPr>
        <w:tc>
          <w:tcPr>
            <w:tcW w:w="7860" w:type="dxa"/>
            <w:vAlign w:val="bottom"/>
          </w:tcPr>
          <w:p>
            <w:pPr>
              <w:ind w:left="440"/>
              <w:spacing w:after="0"/>
              <w:rPr>
                <w:sz w:val="20"/>
                <w:szCs w:val="20"/>
                <w:color w:val="auto"/>
              </w:rPr>
            </w:pPr>
            <w:r>
              <w:rPr>
                <w:rFonts w:ascii="Arial" w:cs="Arial" w:eastAsia="Arial" w:hAnsi="Arial"/>
                <w:sz w:val="16"/>
                <w:szCs w:val="16"/>
                <w:color w:val="auto"/>
              </w:rPr>
              <w:t>Other financing activities</w:t>
            </w:r>
          </w:p>
        </w:tc>
        <w:tc>
          <w:tcPr>
            <w:tcW w:w="3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440"/>
              <w:spacing w:after="0"/>
              <w:rPr>
                <w:sz w:val="20"/>
                <w:szCs w:val="20"/>
                <w:color w:val="auto"/>
              </w:rPr>
            </w:pPr>
            <w:r>
              <w:rPr>
                <w:rFonts w:ascii="Arial" w:cs="Arial" w:eastAsia="Arial" w:hAnsi="Arial"/>
                <w:sz w:val="16"/>
                <w:szCs w:val="16"/>
                <w:color w:val="auto"/>
              </w:rPr>
              <w:t>Payment of debt extinguishment premium costs</w:t>
            </w:r>
          </w:p>
        </w:tc>
        <w:tc>
          <w:tcPr>
            <w:tcW w:w="320" w:type="dxa"/>
            <w:vAlign w:val="bottom"/>
            <w:shd w:val="clear" w:color="auto" w:fill="E7E7E8"/>
          </w:tcPr>
          <w:p>
            <w:pPr>
              <w:spacing w:after="0"/>
              <w:rPr>
                <w:sz w:val="21"/>
                <w:szCs w:val="21"/>
                <w:color w:val="auto"/>
              </w:rPr>
            </w:pPr>
          </w:p>
        </w:tc>
        <w:tc>
          <w:tcPr>
            <w:tcW w:w="12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(6,252)</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614,693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21,351</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27"/>
        </w:trPr>
        <w:tc>
          <w:tcPr>
            <w:tcW w:w="7860" w:type="dxa"/>
            <w:vAlign w:val="bottom"/>
          </w:tcPr>
          <w:p>
            <w:pPr>
              <w:ind w:left="220"/>
              <w:spacing w:after="0"/>
              <w:rPr>
                <w:sz w:val="20"/>
                <w:szCs w:val="20"/>
                <w:color w:val="auto"/>
              </w:rPr>
            </w:pPr>
            <w:r>
              <w:rPr>
                <w:rFonts w:ascii="Arial" w:cs="Arial" w:eastAsia="Arial" w:hAnsi="Arial"/>
                <w:sz w:val="16"/>
                <w:szCs w:val="16"/>
                <w:color w:val="auto"/>
              </w:rPr>
              <w:t>Net change in cash, cash equivalents, and restricted cash</w:t>
            </w:r>
          </w:p>
        </w:tc>
        <w:tc>
          <w:tcPr>
            <w:tcW w:w="32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661,103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(3,468)</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32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auto"/>
            </w:tcBorders>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0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664,148</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5,490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E7E7E8"/>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60" w:type="dxa"/>
            <w:vAlign w:val="bottom"/>
          </w:tcPr>
          <w:p>
            <w:pPr>
              <w:ind w:left="220"/>
              <w:spacing w:after="0"/>
              <w:rPr>
                <w:sz w:val="20"/>
                <w:szCs w:val="20"/>
                <w:color w:val="auto"/>
              </w:rPr>
            </w:pPr>
            <w:r>
              <w:rPr>
                <w:rFonts w:ascii="Arial" w:cs="Arial" w:eastAsia="Arial" w:hAnsi="Arial"/>
                <w:sz w:val="16"/>
                <w:szCs w:val="16"/>
                <w:color w:val="auto"/>
              </w:rPr>
              <w:t>Interest paid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46,058</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63,502</w:t>
            </w:r>
          </w:p>
        </w:tc>
        <w:tc>
          <w:tcPr>
            <w:tcW w:w="0" w:type="dxa"/>
            <w:vAlign w:val="bottom"/>
          </w:tcPr>
          <w:p>
            <w:pPr>
              <w:spacing w:after="0"/>
              <w:rPr>
                <w:sz w:val="1"/>
                <w:szCs w:val="1"/>
                <w:color w:val="auto"/>
              </w:rPr>
            </w:pPr>
          </w:p>
        </w:tc>
      </w:tr>
      <w:tr>
        <w:trPr>
          <w:trHeight w:val="253"/>
        </w:trPr>
        <w:tc>
          <w:tcPr>
            <w:tcW w:w="78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Income taxes (refunded) paid, net</w:t>
            </w: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E7E7E8"/>
          </w:tcPr>
          <w:p>
            <w:pPr>
              <w:spacing w:after="0"/>
              <w:rPr>
                <w:sz w:val="21"/>
                <w:szCs w:val="21"/>
                <w:color w:val="auto"/>
              </w:rPr>
            </w:pP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24"/>
        </w:trPr>
        <w:tc>
          <w:tcPr>
            <w:tcW w:w="7860" w:type="dxa"/>
            <w:vAlign w:val="bottom"/>
          </w:tcPr>
          <w:p>
            <w:pPr>
              <w:ind w:left="220"/>
              <w:spacing w:after="0"/>
              <w:rPr>
                <w:sz w:val="20"/>
                <w:szCs w:val="20"/>
                <w:color w:val="auto"/>
              </w:rPr>
            </w:pPr>
            <w:r>
              <w:rPr>
                <w:rFonts w:ascii="Arial" w:cs="Arial" w:eastAsia="Arial" w:hAnsi="Arial"/>
                <w:sz w:val="16"/>
                <w:szCs w:val="16"/>
                <w:color w:val="auto"/>
              </w:rPr>
              <w:t>Capital expenditures accrued or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18,742</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24,348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0940"/>
          </w:cols>
          <w:pgMar w:left="480" w:top="63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236220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630" w:right="4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3"/>
          <w:szCs w:val="23"/>
          <w:color w:val="1D2758"/>
        </w:rPr>
        <w:t>WillScot Corporation</w:t>
      </w:r>
    </w:p>
    <w:p>
      <w:pPr>
        <w:spacing w:after="0" w:line="6" w:lineRule="exact"/>
        <w:rPr>
          <w:sz w:val="20"/>
          <w:szCs w:val="20"/>
          <w:color w:val="auto"/>
        </w:rPr>
      </w:pPr>
    </w:p>
    <w:p>
      <w:pPr>
        <w:ind w:right="1880" w:firstLine="1871"/>
        <w:spacing w:after="0" w:line="306" w:lineRule="auto"/>
        <w:rPr>
          <w:sz w:val="20"/>
          <w:szCs w:val="20"/>
          <w:color w:val="auto"/>
        </w:rPr>
      </w:pPr>
      <w:r>
        <w:rPr>
          <w:rFonts w:ascii="Arial" w:cs="Arial" w:eastAsia="Arial" w:hAnsi="Arial"/>
          <w:sz w:val="23"/>
          <w:szCs w:val="23"/>
          <w:color w:val="1D2758"/>
        </w:rPr>
        <w:t>Notes to the Condensed Consolidated Financial Statements (Unaudited) NOTE 1 - Summary of Significant Accounting Policies</w:t>
      </w: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Corporation (“WillScot” and, together with its subsidiaries, the “Company”) is a leading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29, 2017, Double Eagle Acquisition Corporation ("Double Eagle") indirectly acquired Williams Scotsman International, Inc. (“WSII”) from Algeco Scotsman Global S.à r.l. (together with its subsidiaries, the “Algeco Group”), which was majority owned by an investment fund managed by TDR Capital LLP ("TDR Capital"). As part of the transaction, Double Eagle domesticated to Delaware and changed its name to WillScot Corporation.</w:t>
      </w:r>
    </w:p>
    <w:p>
      <w:pPr>
        <w:spacing w:after="0" w:line="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Immediately following the Merger with Mobile Mini Inc. as defined and discussed in Note 2 – Acquisitions and Relating Financing Transactions, on July 1, 2020, WillScot changed its name to “WillScot Mobile Mini Holdings Corp.” (“WillScot Mobile Mini”) and filed an amended and restated certificate of incorporation, which reclassified all outstanding shares of the Class A common stock and converted such shares into shares of common stock, par value $0.0001 per share, of WillScot Mobile Mini (the “Common Stock”). On June 30, 2020, TDR Capital exercised its right to exchange its shares in Williams Scotsman Holding Corp ("Holdings") for 10.6 million of Class A common stock at which point the Company's Class B common stock were automatically canceled. The WillScot Class A common stock was listed on the Nasdaq Capital Market (Nasdaq: WSC) up until the Merger, and the Common Stock has been listed on the Nasdaq Capital Market (Nasdaq: WSC) since the Merger.</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the Merger closed after WillScot’s second quarter 2020, the preparation of financial statements in accordance with U.S. Generally Accepted Accounting Principles (“GAAP”) requires that our Condensed Consolidated Financial Statements and most of the disclosure in these Notes be presented on a historical basis, as of or for the three and six months ended June 30, 2020 or prior periods. Unless the context otherwise requires, the terms “Company” and “WillScot Mobile Mini” as used in these financial statements mean WillScot Corporation and its subsidiaries when referring to periods prior to July 1, 2020 (prior to the Merger) and to WillScot Mobile Mini Holdings Corp., when referring to periods on or after July 1, 2020 (after the Merger).</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Quarterly Report on Form 10-Q and do not include all the information and notes required by GAAP for complete financial statements. The accompanying unaudited condensed consolidated financial statements comprise the financial statements of WillScot and its subsidiaries that it controls due to ownership of a majority voting interest and contain all adjustments, which are of a normal and recurring nature, necessary to present fairly the financial position, the results of operations and cash flows for the interim periods presented.</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On December 31, 2019, the 2019 financial statement amounts were adjusted for the adoption Accounting Standards Update (“ASU”) 2016-02, </w:t>
      </w: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("ASC 842"), effective retroactively to January 1, 2019, and therefore may not agree to the Quarterly Reports filed on Form 10-Q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periods of 2019.</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operations for the six months ended June 30, 2020 are not necessarily indicative of the results to be expected for the full year. For further information, refer to the consolidated financial statements and notes included in WillScot's Annual Report on Form 10-K for the year ended December 31, 2019.</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Recently Issued Accounting Standards</w:t>
      </w:r>
    </w:p>
    <w:p>
      <w:pPr>
        <w:spacing w:after="0" w:line="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March 2020, the Financial Accounting Standards Board (“FASB”) issued ASU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is elective, and provides for optional expedients and exceptions for applying GAAP to contracts, hedging relationships, and other transactions affected by reference rate reform if certain criteria are met. The Company is currently evaluating the impact of reference rate reform and potential impact of adoption of these elective practical expedients on its condensed consolidated financial statements and will consider the impact of adoption during its analysis.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Recently Adopted Accounting Standards</w:t>
      </w:r>
    </w:p>
    <w:p>
      <w:pPr>
        <w:spacing w:after="0" w:line="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("ASC 326"), which prescribes that financial assets (or a group of financial assets) should be measured at amortized cost basis to be presented at the net amount expected to be collected based on relevant historical information from historical experience, adjusted for current conditions and reasonable and supportable forecasts that affect collectability. Credit losses relating to these financial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jc w:val="both"/>
        <w:ind w:right="20"/>
        <w:spacing w:after="0" w:line="260" w:lineRule="auto"/>
        <w:rPr>
          <w:sz w:val="20"/>
          <w:szCs w:val="20"/>
          <w:color w:val="auto"/>
        </w:rPr>
      </w:pPr>
      <w:r>
        <w:rPr>
          <w:rFonts w:ascii="Arial" w:cs="Arial" w:eastAsia="Arial" w:hAnsi="Arial"/>
          <w:sz w:val="16"/>
          <w:szCs w:val="16"/>
          <w:color w:val="auto"/>
        </w:rPr>
        <w:t>assets are recorded through an allowance for credit losses. The Company adopted ASC 326 effective January 1, 2020. The effect of this guidance was immaterial to the Company's consolidated results of operations, financial position and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January 30, 2020, the World Health Organization declared an outbreak of a highly contagious form of an upper respiratory infection caused by COVID-19, a novel coronavirus strain commonly referred to as “coronavirus”. The Company was deemed an essential infrastructure business and has continued to supply its customers.</w:t>
      </w:r>
    </w:p>
    <w:p>
      <w:pPr>
        <w:spacing w:after="0" w:line="9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There have been significant changes to the global economic situation and to public securities markets as a consequence of the COVID-19 pandemic. If these conditions persist, it is reasonably likely that this could cause changes to estimates as a result of the markets in which the Company operates, the price of the Company’s publicly traded equity and debt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the fair value of long-lived assets in relation to potential impairment and the allowance for doubtful accounts.</w:t>
      </w: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color w:val="1D2758"/>
        </w:rPr>
        <w:t>NOTE 2 - Acquisitions and Related Financing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Mini Merger</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March 1, 2020, the Company, along with its newly formed subsidiary, Picasso Merger Sub, Inc. (“Merger Sub”), entered into an Agreement and Plan of Merger (the “Merger Agreement”) with Mobile Mini, Inc. (“Mobile Mini”), the (“Merger”). The closing of the Merger was completed on July 1, 2020 and Merger Sub merged with and into Mobile Mini and the separate corporate existence of Merger Sub ceased and Mobile Mini continued its existence, as the surviving corporation in the Merger and a wholly-owned subsidiary of WillScot.</w:t>
      </w:r>
    </w:p>
    <w:p>
      <w:pPr>
        <w:spacing w:after="0" w:line="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Upon completion of the Merger, each issued and outstanding share of Mobile Mini common stock, par value $0.01 per share, converted to the right to receive 2.4050 shares of WillScot’s Class A common stock, par value $0.0001 per share, and cash in lieu of any fractional shares.</w:t>
      </w:r>
    </w:p>
    <w:p>
      <w:pPr>
        <w:spacing w:after="0" w:line="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Approximately 106 million shares of Common Stock were issued to Mobile Mini shareholders following the completion of the Merger and as of July 31, 2020 the Company had 227,721,220 of Common Stock. The trading price of Common Stock was $12.53 per share on the closing date. In addition, Mobile Mini stock options converted into WillScot Mobile Mini stock options. The preliminary purchase price is estimated at $1.4 billion subject to adjustment pending the finalization of preliminary valuation estimates.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Merger will be accounted for using the acquisition method of accounting, and WillScot will be treated as the accounting acquirer. Under the acquisition method of accounting, we are required to assign the purchase price to tangible and identifiable intangible assets acquired and liabilities assumed based on their fair values at the closing date. The excess of the purchase price over those fair values will be recorded as goodwill.</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expensed $1.6 million and $11.0 million in transaction costs related to the Merger within selling, general and administrative ("SG&amp;A") for the three and six months ended June 30, 2020, respectively. The Company expects to expense within SG&amp;A approximately $51 million in transaction expenses related to the Merger in the third quarter of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2025 Secured Notes</w:t>
      </w:r>
    </w:p>
    <w:p>
      <w:pPr>
        <w:spacing w:after="0" w:line="25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Notes”). The 2025 secured notes contained provisions requiring repayment without penalty, in the event the Merger was not consummated. The offering proceeds from the 2025 Secured Notes of $650.0 million and $5.1 million of interest due through August 1, 2020 were deposited into an escrow account, pending the closing of the Merger. In connection with completion of the Merger on July 1, 2020, the offering proceeds were released and the proceeds were utilized to repay the 2022 Secured Notes (see Note 9 – Debt), repay Mobile Mini secured notes and pay certain fees and expenses related to the Merger and financing transactions. In addition, Finance Sub was merged into WSII on July 1, 2020. At June 30, 2020 the $655.1 million in the escrow account is reported as restricted cash on the condensed consolidated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ABL Facility</w:t>
      </w:r>
    </w:p>
    <w:p>
      <w:pPr>
        <w:spacing w:after="0" w:line="2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1, 2020, in connection with the completion of the Merger, Williams Scotsman Holdings Corp. (“Holdings”), WSII, and certain of its subsidiaries, including Mobile Mini and certain of its consolidated subsidiaries (the “Mobile Mini Entities”), entered into a new asset-based credit agreement, that provides for revolving credit facilities in the aggregate principal amount of up to $2.4 billion, consisting of: (i) a senior secured asset-based US dollar revolving credit facility in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16"/>
          <w:szCs w:val="16"/>
          <w:color w:val="auto"/>
        </w:rPr>
        <w:t>aggregate principal amount of $2 billion (the “US Facility”), available to WSII and certain of its subsidiaries (collectively, the “US Borrowers”), and (ii) a $400 million senior secured asset-based multicurrency revolving credit facility together with the US Facility, the “New ABL Facility”), available to be drawn in US Dollars, Canadian Dollars, British Pounds Sterling or Euros by the US Borrowers, and certain of WSII’s and Mobile Mini’s wholly-owned subsidiaries organized in Canada and in the United Kingdom. On July 1, 2020, in connection with the completion of the Merger, approximately $1.47 billion of proceeds from the New ABL Facility were used to finance the repayment of both the WillScot ABL facility and the Mobile Mini ABL facility, as well as to pay fees and expenses related to the Merger and the financing transactions, including $36 million in fees related to the New ABL Facility upfront fees which will be recorded as deferred financing costs in the third quarter of 2020. The New ABL Facility matures July 1 2025. Borrowings under the New ABL Facility will initially bear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w:t>
      </w:r>
    </w:p>
    <w:p>
      <w:pPr>
        <w:spacing w:after="0" w:line="234" w:lineRule="exact"/>
        <w:rPr>
          <w:sz w:val="20"/>
          <w:szCs w:val="20"/>
          <w:color w:val="auto"/>
        </w:rPr>
      </w:pPr>
    </w:p>
    <w:p>
      <w:pPr>
        <w:spacing w:after="0"/>
        <w:rPr>
          <w:sz w:val="20"/>
          <w:szCs w:val="20"/>
          <w:color w:val="auto"/>
        </w:rPr>
      </w:pPr>
      <w:r>
        <w:rPr>
          <w:rFonts w:ascii="Arial" w:cs="Arial" w:eastAsia="Arial" w:hAnsi="Arial"/>
          <w:sz w:val="23"/>
          <w:szCs w:val="23"/>
          <w:color w:val="1D2758"/>
        </w:rPr>
        <w:t>NOTE 3 -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Geographic Areas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three and six months ended June 30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060" w:type="dxa"/>
            <w:vAlign w:val="bottom"/>
            <w:gridSpan w:val="5"/>
            <w:shd w:val="clear" w:color="auto" w:fill="1D2758"/>
          </w:tcPr>
          <w:p>
            <w:pPr>
              <w:ind w:left="500"/>
              <w:spacing w:after="0"/>
              <w:rPr>
                <w:sz w:val="20"/>
                <w:szCs w:val="20"/>
                <w:color w:val="auto"/>
              </w:rPr>
            </w:pPr>
            <w:r>
              <w:rPr>
                <w:rFonts w:ascii="Arial" w:cs="Arial" w:eastAsia="Arial" w:hAnsi="Arial"/>
                <w:sz w:val="16"/>
                <w:szCs w:val="16"/>
                <w:b w:val="1"/>
                <w:bCs w:val="1"/>
                <w:color w:val="FFFFFF"/>
              </w:rPr>
              <w:t>Three Months Ended</w:t>
            </w:r>
          </w:p>
        </w:tc>
        <w:tc>
          <w:tcPr>
            <w:tcW w:w="360" w:type="dxa"/>
            <w:vAlign w:val="bottom"/>
            <w:shd w:val="clear" w:color="auto" w:fill="1D2758"/>
          </w:tcPr>
          <w:p>
            <w:pPr>
              <w:spacing w:after="0"/>
              <w:rPr>
                <w:sz w:val="17"/>
                <w:szCs w:val="17"/>
                <w:color w:val="auto"/>
              </w:rPr>
            </w:pPr>
          </w:p>
        </w:tc>
        <w:tc>
          <w:tcPr>
            <w:tcW w:w="2960" w:type="dxa"/>
            <w:vAlign w:val="bottom"/>
            <w:gridSpan w:val="4"/>
            <w:shd w:val="clear" w:color="auto" w:fill="1D2758"/>
          </w:tcPr>
          <w:p>
            <w:pPr>
              <w:jc w:val="right"/>
              <w:ind w:right="879"/>
              <w:spacing w:after="0"/>
              <w:rPr>
                <w:sz w:val="20"/>
                <w:szCs w:val="20"/>
                <w:color w:val="auto"/>
              </w:rPr>
            </w:pPr>
            <w:r>
              <w:rPr>
                <w:rFonts w:ascii="Arial" w:cs="Arial" w:eastAsia="Arial" w:hAnsi="Arial"/>
                <w:sz w:val="16"/>
                <w:szCs w:val="16"/>
                <w:b w:val="1"/>
                <w:bCs w:val="1"/>
                <w:color w:val="FFFFFF"/>
              </w:rPr>
              <w:t>Six Months Ended</w:t>
            </w:r>
          </w:p>
        </w:tc>
      </w:tr>
      <w:tr>
        <w:trPr>
          <w:trHeight w:val="215"/>
        </w:trPr>
        <w:tc>
          <w:tcPr>
            <w:tcW w:w="44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800" w:type="dxa"/>
            <w:vAlign w:val="bottom"/>
            <w:gridSpan w:val="3"/>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June 30,</w:t>
            </w:r>
          </w:p>
        </w:tc>
        <w:tc>
          <w:tcPr>
            <w:tcW w:w="11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00" w:type="dxa"/>
            <w:vAlign w:val="bottom"/>
            <w:gridSpan w:val="3"/>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June 30,</w:t>
            </w:r>
          </w:p>
        </w:tc>
        <w:tc>
          <w:tcPr>
            <w:tcW w:w="1160" w:type="dxa"/>
            <w:vAlign w:val="bottom"/>
            <w:shd w:val="clear" w:color="auto" w:fill="1D2758"/>
          </w:tcPr>
          <w:p>
            <w:pPr>
              <w:spacing w:after="0"/>
              <w:rPr>
                <w:sz w:val="18"/>
                <w:szCs w:val="18"/>
                <w:color w:val="auto"/>
              </w:rPr>
            </w:pPr>
          </w:p>
        </w:tc>
      </w:tr>
      <w:tr>
        <w:trPr>
          <w:trHeight w:val="263"/>
        </w:trPr>
        <w:tc>
          <w:tcPr>
            <w:tcW w:w="44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22"/>
                <w:szCs w:val="22"/>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22"/>
                <w:szCs w:val="22"/>
                <w:color w:val="auto"/>
              </w:rPr>
            </w:pPr>
          </w:p>
        </w:tc>
        <w:tc>
          <w:tcPr>
            <w:tcW w:w="460" w:type="dxa"/>
            <w:vAlign w:val="bottom"/>
            <w:shd w:val="clear" w:color="auto" w:fill="1D2758"/>
          </w:tcPr>
          <w:p>
            <w:pPr>
              <w:spacing w:after="0"/>
              <w:rPr>
                <w:sz w:val="22"/>
                <w:szCs w:val="22"/>
                <w:color w:val="auto"/>
              </w:rPr>
            </w:pPr>
          </w:p>
        </w:tc>
        <w:tc>
          <w:tcPr>
            <w:tcW w:w="11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22"/>
                <w:szCs w:val="22"/>
                <w:color w:val="auto"/>
              </w:rPr>
            </w:pPr>
          </w:p>
        </w:tc>
        <w:tc>
          <w:tcPr>
            <w:tcW w:w="360" w:type="dxa"/>
            <w:vAlign w:val="bottom"/>
            <w:shd w:val="clear" w:color="auto" w:fill="1D2758"/>
          </w:tcPr>
          <w:p>
            <w:pPr>
              <w:spacing w:after="0"/>
              <w:rPr>
                <w:sz w:val="22"/>
                <w:szCs w:val="22"/>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22"/>
                <w:szCs w:val="22"/>
                <w:color w:val="auto"/>
              </w:rPr>
            </w:pPr>
          </w:p>
        </w:tc>
        <w:tc>
          <w:tcPr>
            <w:tcW w:w="460" w:type="dxa"/>
            <w:vAlign w:val="bottom"/>
            <w:shd w:val="clear" w:color="auto" w:fill="1D2758"/>
          </w:tcPr>
          <w:p>
            <w:pPr>
              <w:spacing w:after="0"/>
              <w:rPr>
                <w:sz w:val="22"/>
                <w:szCs w:val="22"/>
                <w:color w:val="auto"/>
              </w:rPr>
            </w:pPr>
          </w:p>
        </w:tc>
        <w:tc>
          <w:tcPr>
            <w:tcW w:w="11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r>
      <w:tr>
        <w:trPr>
          <w:trHeight w:val="243"/>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237,613</w:t>
            </w:r>
          </w:p>
        </w:tc>
        <w:tc>
          <w:tcPr>
            <w:tcW w:w="10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238,087</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472,941</w:t>
            </w:r>
          </w:p>
        </w:tc>
        <w:tc>
          <w:tcPr>
            <w:tcW w:w="10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469,554</w:t>
            </w:r>
          </w:p>
        </w:tc>
      </w:tr>
      <w:tr>
        <w:trPr>
          <w:trHeight w:val="233"/>
        </w:trPr>
        <w:tc>
          <w:tcPr>
            <w:tcW w:w="4480" w:type="dxa"/>
            <w:vAlign w:val="bottom"/>
          </w:tcPr>
          <w:p>
            <w:pPr>
              <w:ind w:left="20"/>
              <w:spacing w:after="0"/>
              <w:rPr>
                <w:sz w:val="20"/>
                <w:szCs w:val="20"/>
                <w:color w:val="auto"/>
              </w:rPr>
            </w:pPr>
            <w:r>
              <w:rPr>
                <w:rFonts w:ascii="Arial" w:cs="Arial" w:eastAsia="Arial" w:hAnsi="Arial"/>
                <w:sz w:val="16"/>
                <w:szCs w:val="16"/>
                <w:color w:val="auto"/>
              </w:rPr>
              <w:t>Canada</w:t>
            </w:r>
          </w:p>
        </w:tc>
        <w:tc>
          <w:tcPr>
            <w:tcW w:w="38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16,279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21,405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32,985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39,599</w:t>
            </w:r>
          </w:p>
        </w:tc>
      </w:tr>
      <w:tr>
        <w:trPr>
          <w:trHeight w:val="246"/>
        </w:trPr>
        <w:tc>
          <w:tcPr>
            <w:tcW w:w="4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Mexico</w:t>
            </w:r>
          </w:p>
        </w:tc>
        <w:tc>
          <w:tcPr>
            <w:tcW w:w="38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4,221</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6,757</w:t>
            </w:r>
          </w:p>
        </w:tc>
        <w:tc>
          <w:tcPr>
            <w:tcW w:w="10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8,245</w:t>
            </w:r>
          </w:p>
        </w:tc>
      </w:tr>
      <w:tr>
        <w:trPr>
          <w:trHeight w:val="243"/>
        </w:trPr>
        <w:tc>
          <w:tcPr>
            <w:tcW w:w="448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256,862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263,713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512,683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517,398</w:t>
            </w:r>
          </w:p>
        </w:tc>
      </w:tr>
      <w:tr>
        <w:trPr>
          <w:trHeight w:val="21"/>
        </w:trPr>
        <w:tc>
          <w:tcPr>
            <w:tcW w:w="4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Major Product and Service Lines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three and six months ended June 30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3040" w:type="dxa"/>
            <w:vAlign w:val="bottom"/>
            <w:gridSpan w:val="5"/>
            <w:shd w:val="clear" w:color="auto" w:fill="1D2758"/>
          </w:tcPr>
          <w:p>
            <w:pPr>
              <w:ind w:left="480"/>
              <w:spacing w:after="0"/>
              <w:rPr>
                <w:sz w:val="20"/>
                <w:szCs w:val="20"/>
                <w:color w:val="auto"/>
              </w:rPr>
            </w:pPr>
            <w:r>
              <w:rPr>
                <w:rFonts w:ascii="Arial" w:cs="Arial" w:eastAsia="Arial" w:hAnsi="Arial"/>
                <w:sz w:val="16"/>
                <w:szCs w:val="16"/>
                <w:b w:val="1"/>
                <w:bCs w:val="1"/>
                <w:color w:val="FFFFFF"/>
              </w:rPr>
              <w:t>Three Months Ended</w:t>
            </w:r>
          </w:p>
        </w:tc>
        <w:tc>
          <w:tcPr>
            <w:tcW w:w="360" w:type="dxa"/>
            <w:vAlign w:val="bottom"/>
            <w:shd w:val="clear" w:color="auto" w:fill="1D2758"/>
          </w:tcPr>
          <w:p>
            <w:pPr>
              <w:spacing w:after="0"/>
              <w:rPr>
                <w:sz w:val="17"/>
                <w:szCs w:val="17"/>
                <w:color w:val="auto"/>
              </w:rPr>
            </w:pPr>
          </w:p>
        </w:tc>
        <w:tc>
          <w:tcPr>
            <w:tcW w:w="2940" w:type="dxa"/>
            <w:vAlign w:val="bottom"/>
            <w:gridSpan w:val="4"/>
            <w:shd w:val="clear" w:color="auto" w:fill="1D2758"/>
          </w:tcPr>
          <w:p>
            <w:pPr>
              <w:jc w:val="right"/>
              <w:ind w:right="879"/>
              <w:spacing w:after="0"/>
              <w:rPr>
                <w:sz w:val="20"/>
                <w:szCs w:val="20"/>
                <w:color w:val="auto"/>
              </w:rPr>
            </w:pPr>
            <w:r>
              <w:rPr>
                <w:rFonts w:ascii="Arial" w:cs="Arial" w:eastAsia="Arial" w:hAnsi="Arial"/>
                <w:sz w:val="16"/>
                <w:szCs w:val="16"/>
                <w:b w:val="1"/>
                <w:bCs w:val="1"/>
                <w:color w:val="FFFFFF"/>
              </w:rPr>
              <w:t>Six Months Ended</w:t>
            </w:r>
          </w:p>
        </w:tc>
      </w:tr>
      <w:tr>
        <w:trPr>
          <w:trHeight w:val="215"/>
        </w:trPr>
        <w:tc>
          <w:tcPr>
            <w:tcW w:w="45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180"/>
              <w:spacing w:after="0"/>
              <w:rPr>
                <w:sz w:val="20"/>
                <w:szCs w:val="20"/>
                <w:color w:val="auto"/>
              </w:rPr>
            </w:pPr>
            <w:r>
              <w:rPr>
                <w:rFonts w:ascii="Arial" w:cs="Arial" w:eastAsia="Arial" w:hAnsi="Arial"/>
                <w:sz w:val="16"/>
                <w:szCs w:val="16"/>
                <w:b w:val="1"/>
                <w:bCs w:val="1"/>
                <w:color w:val="FFFFFF"/>
              </w:rPr>
              <w:t>June 30,</w:t>
            </w:r>
          </w:p>
        </w:tc>
        <w:tc>
          <w:tcPr>
            <w:tcW w:w="11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June 30,</w:t>
            </w:r>
          </w:p>
        </w:tc>
        <w:tc>
          <w:tcPr>
            <w:tcW w:w="1160" w:type="dxa"/>
            <w:vAlign w:val="bottom"/>
            <w:shd w:val="clear" w:color="auto" w:fill="1D2758"/>
          </w:tcPr>
          <w:p>
            <w:pPr>
              <w:spacing w:after="0"/>
              <w:rPr>
                <w:sz w:val="18"/>
                <w:szCs w:val="18"/>
                <w:color w:val="auto"/>
              </w:rPr>
            </w:pPr>
          </w:p>
        </w:tc>
      </w:tr>
      <w:tr>
        <w:trPr>
          <w:trHeight w:val="243"/>
        </w:trPr>
        <w:tc>
          <w:tcPr>
            <w:tcW w:w="454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21"/>
                <w:szCs w:val="21"/>
                <w:color w:val="auto"/>
              </w:rPr>
            </w:pPr>
          </w:p>
        </w:tc>
        <w:tc>
          <w:tcPr>
            <w:tcW w:w="440" w:type="dxa"/>
            <w:vAlign w:val="bottom"/>
            <w:shd w:val="clear" w:color="auto" w:fill="1D2758"/>
          </w:tcPr>
          <w:p>
            <w:pPr>
              <w:spacing w:after="0"/>
              <w:rPr>
                <w:sz w:val="21"/>
                <w:szCs w:val="21"/>
                <w:color w:val="auto"/>
              </w:rPr>
            </w:pPr>
          </w:p>
        </w:tc>
        <w:tc>
          <w:tcPr>
            <w:tcW w:w="11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21"/>
                <w:szCs w:val="21"/>
                <w:color w:val="auto"/>
              </w:rPr>
            </w:pPr>
          </w:p>
        </w:tc>
        <w:tc>
          <w:tcPr>
            <w:tcW w:w="440" w:type="dxa"/>
            <w:vAlign w:val="bottom"/>
            <w:shd w:val="clear" w:color="auto" w:fill="1D2758"/>
          </w:tcPr>
          <w:p>
            <w:pPr>
              <w:spacing w:after="0"/>
              <w:rPr>
                <w:sz w:val="21"/>
                <w:szCs w:val="21"/>
                <w:color w:val="auto"/>
              </w:rPr>
            </w:pPr>
          </w:p>
        </w:tc>
        <w:tc>
          <w:tcPr>
            <w:tcW w:w="11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2019</w:t>
            </w:r>
          </w:p>
        </w:tc>
      </w:tr>
      <w:tr>
        <w:trPr>
          <w:trHeight w:val="263"/>
        </w:trPr>
        <w:tc>
          <w:tcPr>
            <w:tcW w:w="45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22"/>
                <w:szCs w:val="22"/>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Total</w:t>
            </w:r>
          </w:p>
        </w:tc>
        <w:tc>
          <w:tcPr>
            <w:tcW w:w="100" w:type="dxa"/>
            <w:vAlign w:val="bottom"/>
            <w:shd w:val="clear" w:color="auto" w:fill="1D2758"/>
          </w:tcPr>
          <w:p>
            <w:pPr>
              <w:spacing w:after="0"/>
              <w:rPr>
                <w:sz w:val="22"/>
                <w:szCs w:val="22"/>
                <w:color w:val="auto"/>
              </w:rPr>
            </w:pPr>
          </w:p>
        </w:tc>
        <w:tc>
          <w:tcPr>
            <w:tcW w:w="440" w:type="dxa"/>
            <w:vAlign w:val="bottom"/>
            <w:shd w:val="clear" w:color="auto" w:fill="1D2758"/>
          </w:tcPr>
          <w:p>
            <w:pPr>
              <w:spacing w:after="0"/>
              <w:rPr>
                <w:sz w:val="22"/>
                <w:szCs w:val="22"/>
                <w:color w:val="auto"/>
              </w:rPr>
            </w:pPr>
          </w:p>
        </w:tc>
        <w:tc>
          <w:tcPr>
            <w:tcW w:w="1260" w:type="dxa"/>
            <w:vAlign w:val="bottom"/>
            <w:gridSpan w:val="2"/>
            <w:shd w:val="clear" w:color="auto" w:fill="1D2758"/>
          </w:tcPr>
          <w:p>
            <w:pPr>
              <w:ind w:left="160"/>
              <w:spacing w:after="0"/>
              <w:rPr>
                <w:sz w:val="20"/>
                <w:szCs w:val="20"/>
                <w:color w:val="auto"/>
              </w:rPr>
            </w:pPr>
            <w:r>
              <w:rPr>
                <w:rFonts w:ascii="Arial" w:cs="Arial" w:eastAsia="Arial" w:hAnsi="Arial"/>
                <w:sz w:val="16"/>
                <w:szCs w:val="16"/>
                <w:b w:val="1"/>
                <w:bCs w:val="1"/>
                <w:color w:val="FFFFFF"/>
              </w:rPr>
              <w:t>Total</w:t>
            </w:r>
          </w:p>
        </w:tc>
        <w:tc>
          <w:tcPr>
            <w:tcW w:w="360" w:type="dxa"/>
            <w:vAlign w:val="bottom"/>
            <w:shd w:val="clear" w:color="auto" w:fill="1D2758"/>
          </w:tcPr>
          <w:p>
            <w:pPr>
              <w:spacing w:after="0"/>
              <w:rPr>
                <w:sz w:val="22"/>
                <w:szCs w:val="22"/>
                <w:color w:val="auto"/>
              </w:rPr>
            </w:pPr>
          </w:p>
        </w:tc>
        <w:tc>
          <w:tcPr>
            <w:tcW w:w="1340" w:type="dxa"/>
            <w:vAlign w:val="bottom"/>
            <w:gridSpan w:val="2"/>
            <w:shd w:val="clear" w:color="auto" w:fill="1D2758"/>
          </w:tcPr>
          <w:p>
            <w:pPr>
              <w:ind w:left="240"/>
              <w:spacing w:after="0"/>
              <w:rPr>
                <w:sz w:val="20"/>
                <w:szCs w:val="20"/>
                <w:color w:val="auto"/>
              </w:rPr>
            </w:pPr>
            <w:r>
              <w:rPr>
                <w:rFonts w:ascii="Arial" w:cs="Arial" w:eastAsia="Arial" w:hAnsi="Arial"/>
                <w:sz w:val="16"/>
                <w:szCs w:val="16"/>
                <w:b w:val="1"/>
                <w:bCs w:val="1"/>
                <w:color w:val="FFFFFF"/>
              </w:rPr>
              <w:t>Total</w:t>
            </w:r>
          </w:p>
        </w:tc>
        <w:tc>
          <w:tcPr>
            <w:tcW w:w="440" w:type="dxa"/>
            <w:vAlign w:val="bottom"/>
            <w:shd w:val="clear" w:color="auto" w:fill="1D2758"/>
          </w:tcPr>
          <w:p>
            <w:pPr>
              <w:spacing w:after="0"/>
              <w:rPr>
                <w:sz w:val="22"/>
                <w:szCs w:val="22"/>
                <w:color w:val="auto"/>
              </w:rPr>
            </w:pPr>
          </w:p>
        </w:tc>
        <w:tc>
          <w:tcPr>
            <w:tcW w:w="11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4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132,377</w:t>
            </w:r>
          </w:p>
        </w:tc>
        <w:tc>
          <w:tcPr>
            <w:tcW w:w="540" w:type="dxa"/>
            <w:vAlign w:val="bottom"/>
            <w:gridSpan w:val="2"/>
            <w:shd w:val="clear" w:color="auto" w:fill="E7E7E8"/>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129,475</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263,775</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253,025</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5,716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11,565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12,262</w:t>
            </w:r>
          </w:p>
        </w:tc>
      </w:tr>
      <w:tr>
        <w:trPr>
          <w:trHeight w:val="253"/>
        </w:trPr>
        <w:tc>
          <w:tcPr>
            <w:tcW w:w="4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VAPS</w:t>
            </w:r>
            <w:r>
              <w:rPr>
                <w:rFonts w:ascii="Arial" w:cs="Arial" w:eastAsia="Arial" w:hAnsi="Arial"/>
                <w:sz w:val="21"/>
                <w:szCs w:val="21"/>
                <w:color w:val="auto"/>
                <w:vertAlign w:val="superscript"/>
              </w:rPr>
              <w:t>(a)</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42,421</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39,669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83,423</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77,061</w:t>
            </w:r>
          </w:p>
        </w:tc>
      </w:tr>
      <w:tr>
        <w:trPr>
          <w:trHeight w:val="243"/>
        </w:trPr>
        <w:tc>
          <w:tcPr>
            <w:tcW w:w="45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leasing-related revenue</w:t>
            </w:r>
            <w:r>
              <w:rPr>
                <w:rFonts w:ascii="Arial" w:cs="Arial" w:eastAsia="Arial" w:hAnsi="Arial"/>
                <w:sz w:val="21"/>
                <w:szCs w:val="21"/>
                <w:color w:val="auto"/>
                <w:vertAlign w:val="superscript"/>
              </w:rPr>
              <w:t>(b)</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9,629</w:t>
            </w:r>
          </w:p>
        </w:tc>
        <w:tc>
          <w:tcPr>
            <w:tcW w:w="100" w:type="dxa"/>
            <w:vAlign w:val="bottom"/>
            <w:tcBorders>
              <w:bottom w:val="single" w:sz="8" w:color="E7E7E8"/>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10,653</w:t>
            </w:r>
          </w:p>
        </w:tc>
        <w:tc>
          <w:tcPr>
            <w:tcW w:w="100" w:type="dxa"/>
            <w:vAlign w:val="bottom"/>
            <w:tcBorders>
              <w:bottom w:val="single" w:sz="8" w:color="E7E7E8"/>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19,732</w:t>
            </w:r>
          </w:p>
        </w:tc>
        <w:tc>
          <w:tcPr>
            <w:tcW w:w="100" w:type="dxa"/>
            <w:vAlign w:val="bottom"/>
            <w:tcBorders>
              <w:bottom w:val="single" w:sz="8" w:color="E7E7E8"/>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20,762</w:t>
            </w:r>
          </w:p>
        </w:tc>
      </w:tr>
      <w:tr>
        <w:trPr>
          <w:trHeight w:val="237"/>
        </w:trPr>
        <w:tc>
          <w:tcPr>
            <w:tcW w:w="4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 revenue</w:t>
            </w:r>
          </w:p>
        </w:tc>
        <w:tc>
          <w:tcPr>
            <w:tcW w:w="360" w:type="dxa"/>
            <w:vAlign w:val="bottom"/>
            <w:shd w:val="clear" w:color="auto" w:fill="E7E7E8"/>
          </w:tcPr>
          <w:p>
            <w:pPr>
              <w:spacing w:after="0"/>
              <w:rPr>
                <w:sz w:val="20"/>
                <w:szCs w:val="20"/>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190,143</w:t>
            </w:r>
          </w:p>
        </w:tc>
        <w:tc>
          <w:tcPr>
            <w:tcW w:w="100" w:type="dxa"/>
            <w:vAlign w:val="bottom"/>
            <w:shd w:val="clear" w:color="auto" w:fill="E7E7E8"/>
          </w:tcPr>
          <w:p>
            <w:pPr>
              <w:spacing w:after="0"/>
              <w:rPr>
                <w:sz w:val="20"/>
                <w:szCs w:val="20"/>
                <w:color w:val="auto"/>
              </w:rPr>
            </w:pPr>
          </w:p>
        </w:tc>
        <w:tc>
          <w:tcPr>
            <w:tcW w:w="440" w:type="dxa"/>
            <w:vAlign w:val="bottom"/>
            <w:shd w:val="clear" w:color="auto" w:fill="E7E7E8"/>
          </w:tcPr>
          <w:p>
            <w:pPr>
              <w:spacing w:after="0"/>
              <w:rPr>
                <w:sz w:val="20"/>
                <w:szCs w:val="20"/>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185,818</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spacing w:after="0"/>
              <w:rPr>
                <w:sz w:val="20"/>
                <w:szCs w:val="20"/>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378,495</w:t>
            </w:r>
          </w:p>
        </w:tc>
        <w:tc>
          <w:tcPr>
            <w:tcW w:w="100" w:type="dxa"/>
            <w:vAlign w:val="bottom"/>
            <w:shd w:val="clear" w:color="auto" w:fill="E7E7E8"/>
          </w:tcPr>
          <w:p>
            <w:pPr>
              <w:spacing w:after="0"/>
              <w:rPr>
                <w:sz w:val="20"/>
                <w:szCs w:val="20"/>
                <w:color w:val="auto"/>
              </w:rPr>
            </w:pPr>
          </w:p>
        </w:tc>
        <w:tc>
          <w:tcPr>
            <w:tcW w:w="440" w:type="dxa"/>
            <w:vAlign w:val="bottom"/>
            <w:shd w:val="clear" w:color="auto" w:fill="E7E7E8"/>
          </w:tcPr>
          <w:p>
            <w:pPr>
              <w:spacing w:after="0"/>
              <w:rPr>
                <w:sz w:val="20"/>
                <w:szCs w:val="20"/>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363,110</w:t>
            </w:r>
          </w:p>
        </w:tc>
      </w:tr>
      <w:tr>
        <w:trPr>
          <w:trHeight w:val="237"/>
        </w:trPr>
        <w:tc>
          <w:tcPr>
            <w:tcW w:w="45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Modular delivery and installation revenue</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51,640</w:t>
            </w:r>
          </w:p>
        </w:tc>
        <w:tc>
          <w:tcPr>
            <w:tcW w:w="10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55,966</w:t>
            </w:r>
          </w:p>
        </w:tc>
        <w:tc>
          <w:tcPr>
            <w:tcW w:w="10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102,710</w:t>
            </w:r>
          </w:p>
        </w:tc>
        <w:tc>
          <w:tcPr>
            <w:tcW w:w="10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105,966</w:t>
            </w:r>
          </w:p>
        </w:tc>
      </w:tr>
      <w:tr>
        <w:trPr>
          <w:trHeight w:val="243"/>
        </w:trPr>
        <w:tc>
          <w:tcPr>
            <w:tcW w:w="45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leasing and services revenue</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241,783</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241,784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481,205</w:t>
            </w:r>
          </w:p>
        </w:tc>
        <w:tc>
          <w:tcPr>
            <w:tcW w:w="10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469,076</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New unit sales revenue</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9,763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11,507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19,376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26,348</w:t>
            </w:r>
          </w:p>
        </w:tc>
      </w:tr>
      <w:tr>
        <w:trPr>
          <w:trHeight w:val="246"/>
        </w:trPr>
        <w:tc>
          <w:tcPr>
            <w:tcW w:w="4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Rental unit sales revenue</w:t>
            </w: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5,316</w:t>
            </w:r>
          </w:p>
        </w:tc>
        <w:tc>
          <w:tcPr>
            <w:tcW w:w="10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10,422</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12,102</w:t>
            </w:r>
          </w:p>
        </w:tc>
        <w:tc>
          <w:tcPr>
            <w:tcW w:w="10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21,974</w:t>
            </w:r>
          </w:p>
        </w:tc>
      </w:tr>
      <w:tr>
        <w:trPr>
          <w:trHeight w:val="243"/>
        </w:trPr>
        <w:tc>
          <w:tcPr>
            <w:tcW w:w="454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256,862</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263,713</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512,683</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517,398</w:t>
            </w:r>
          </w:p>
        </w:tc>
      </w:tr>
      <w:tr>
        <w:trPr>
          <w:trHeight w:val="20"/>
        </w:trPr>
        <w:tc>
          <w:tcPr>
            <w:tcW w:w="4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firstLine="8"/>
        <w:spacing w:after="0" w:line="258" w:lineRule="auto"/>
        <w:tabs>
          <w:tab w:leader="none" w:pos="21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$4.3 million and $4.1 million of value added products and services ("VAPS") service revenue for the three months ended June 30, 2020 and 2019, respectively and $8.3 million and $7.9 million of VAPS service revenue for the six months ended June 30 2020, and 2019, respectively.</w:t>
      </w:r>
    </w:p>
    <w:p>
      <w:pPr>
        <w:spacing w:after="0" w:line="18"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damage billings, delinquent payment charges, and other processing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Modular Leasing and Services Revenue</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majority of revenue (72% for the three and six months ended June 30, 2020 and 69% and for the three and six months ended June 30, 2019) is generated by rental income subject to the guidance of ASC 842. The remaining revenue for the three and six months ended June 30, 2020 and 2019 is generated by performance obligations in contracts with customers for services or sale of units subject to the guidance in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("ASC 606").</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0" w:name="page11"/>
    <w:bookmarkEnd w:id="10"/>
    <w:p>
      <w:pPr>
        <w:jc w:val="both"/>
        <w:ind w:firstLine="648"/>
        <w:spacing w:after="0" w:line="249" w:lineRule="auto"/>
        <w:rPr>
          <w:sz w:val="20"/>
          <w:szCs w:val="20"/>
          <w:color w:val="auto"/>
        </w:rPr>
      </w:pPr>
      <w:r>
        <w:rPr>
          <w:rFonts w:ascii="Arial" w:cs="Arial" w:eastAsia="Arial" w:hAnsi="Arial"/>
          <w:sz w:val="16"/>
          <w:szCs w:val="16"/>
          <w:color w:val="auto"/>
        </w:rPr>
        <w:t>As reflected above, approximately 72% of the Company's rental revenue is generated by lease revenue subject to the guidance of ASC 842. The customers that are responsible for the remaining revenue accounted for under ASC 606 are generally the same customers that rent the Company's equipment. The Company manages credit risk associated with its accounts receivables at the customer level. As the same customers generate the revenues that are accounted for under both ASC 606 and ASC 842, the discussions below on credit risk and the Company's allowance for doubtful accounts address its total revenues. The Company's top five customers with the largest open receivables balances represented 4.7% of the total receivables balance as of June 30, 2020.</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December 31, 2019, the Company had approximately $42.6 million of deferred revenue that relates to removal services for lease transactions and advance billings for sale transactions, which are within the scope of ASC 606. As of June 30, 2020, the Company had approximately $47.1 million of deferred revenue relating to these services which are included in deferred revenue and customer deposits in the condensed consolidated balance sheets. During the three months ended June 30, 2020, $9.2 million of previously deferred revenue relating to removal services for lease transactions and advance billings for sale transactions was recognized as revenue.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contract assets.</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primary costs to obtain contracts for new and rental unit sales with the Company's customers are commissions paid to our sales force. The Company pays its sales force commissions on the sale of new and rental units. For new and rental unit sales, the period benefited by each commission is less than one year, therefore the commissions are be expensed as incurred.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exposed to credit losses from trade receivables generated through its leasing and sales business. The Company assesses each customer’s ability to pay for the products it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8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Company monitors ongoing credit exposure through an active review of customer balances against contract terms and due dates. The Company may employ collection agencies and legal counsel to pursue recovery of defaulted receivables. The Company uses a loss-rate method to assess for credit losses.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our allowances.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4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6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Six Months Ended</w:t>
            </w:r>
          </w:p>
        </w:tc>
        <w:tc>
          <w:tcPr>
            <w:tcW w:w="120" w:type="dxa"/>
            <w:vAlign w:val="bottom"/>
            <w:shd w:val="clear" w:color="auto" w:fill="1D2758"/>
          </w:tcPr>
          <w:p>
            <w:pPr>
              <w:spacing w:after="0"/>
              <w:rPr>
                <w:sz w:val="17"/>
                <w:szCs w:val="17"/>
                <w:color w:val="auto"/>
              </w:rPr>
            </w:pPr>
          </w:p>
        </w:tc>
        <w:tc>
          <w:tcPr>
            <w:tcW w:w="158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Year Ended</w:t>
            </w:r>
          </w:p>
        </w:tc>
      </w:tr>
      <w:tr>
        <w:trPr>
          <w:trHeight w:val="234"/>
        </w:trPr>
        <w:tc>
          <w:tcPr>
            <w:tcW w:w="7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1D2758"/>
          </w:tcPr>
          <w:p>
            <w:pPr>
              <w:spacing w:after="0"/>
              <w:rPr>
                <w:sz w:val="20"/>
                <w:szCs w:val="20"/>
                <w:color w:val="auto"/>
              </w:rPr>
            </w:pPr>
          </w:p>
        </w:tc>
        <w:tc>
          <w:tcPr>
            <w:tcW w:w="166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June 30, 2020</w:t>
            </w:r>
          </w:p>
        </w:tc>
        <w:tc>
          <w:tcPr>
            <w:tcW w:w="120" w:type="dxa"/>
            <w:vAlign w:val="bottom"/>
            <w:shd w:val="clear" w:color="auto" w:fill="1D2758"/>
          </w:tcPr>
          <w:p>
            <w:pPr>
              <w:spacing w:after="0"/>
              <w:rPr>
                <w:sz w:val="20"/>
                <w:szCs w:val="20"/>
                <w:color w:val="auto"/>
              </w:rPr>
            </w:pPr>
          </w:p>
        </w:tc>
        <w:tc>
          <w:tcPr>
            <w:tcW w:w="158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w w:val="99"/>
              </w:rPr>
              <w:t>December 31, 2019</w:t>
            </w:r>
          </w:p>
        </w:tc>
      </w:tr>
      <w:tr>
        <w:trPr>
          <w:trHeight w:val="243"/>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year</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15,828</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9,340</w:t>
            </w:r>
          </w:p>
        </w:tc>
      </w:tr>
      <w:tr>
        <w:trPr>
          <w:trHeight w:val="233"/>
        </w:trPr>
        <w:tc>
          <w:tcPr>
            <w:tcW w:w="7740" w:type="dxa"/>
            <w:vAlign w:val="bottom"/>
          </w:tcPr>
          <w:p>
            <w:pPr>
              <w:ind w:left="20"/>
              <w:spacing w:after="0"/>
              <w:rPr>
                <w:sz w:val="20"/>
                <w:szCs w:val="20"/>
                <w:color w:val="auto"/>
              </w:rPr>
            </w:pPr>
            <w:r>
              <w:rPr>
                <w:rFonts w:ascii="Arial" w:cs="Arial" w:eastAsia="Arial" w:hAnsi="Arial"/>
                <w:sz w:val="16"/>
                <w:szCs w:val="16"/>
                <w:color w:val="auto"/>
              </w:rPr>
              <w:t>Net charges to bad debt expense and revenue</w:t>
            </w:r>
          </w:p>
        </w:tc>
        <w:tc>
          <w:tcPr>
            <w:tcW w:w="140" w:type="dxa"/>
            <w:vAlign w:val="bottom"/>
          </w:tcPr>
          <w:p>
            <w:pPr>
              <w:spacing w:after="0"/>
              <w:rPr>
                <w:sz w:val="20"/>
                <w:szCs w:val="20"/>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9,122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14,496</w:t>
            </w:r>
          </w:p>
        </w:tc>
      </w:tr>
      <w:tr>
        <w:trPr>
          <w:trHeight w:val="253"/>
        </w:trPr>
        <w:tc>
          <w:tcPr>
            <w:tcW w:w="7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Write-offs</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(5,573)</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(7,945)</w:t>
            </w:r>
          </w:p>
        </w:tc>
      </w:tr>
      <w:tr>
        <w:trPr>
          <w:trHeight w:val="236"/>
        </w:trPr>
        <w:tc>
          <w:tcPr>
            <w:tcW w:w="77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Foreign currency translation and other</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r>
      <w:tr>
        <w:trPr>
          <w:trHeight w:val="262"/>
        </w:trPr>
        <w:tc>
          <w:tcPr>
            <w:tcW w:w="77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19,183</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15,828</w:t>
            </w:r>
          </w:p>
        </w:tc>
      </w:tr>
      <w:tr>
        <w:trPr>
          <w:trHeight w:val="20"/>
        </w:trPr>
        <w:tc>
          <w:tcPr>
            <w:tcW w:w="774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1D2758"/>
        </w:rPr>
        <w:t>NOTE 4 - Leases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the undiscounted future lease payments for operating lease liabilities were as follows: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3"/>
        </w:trPr>
        <w:tc>
          <w:tcPr>
            <w:tcW w:w="702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740" w:type="dxa"/>
            <w:vAlign w:val="bottom"/>
            <w:shd w:val="clear" w:color="auto" w:fill="1D2758"/>
          </w:tcPr>
          <w:p>
            <w:pPr>
              <w:spacing w:after="0"/>
              <w:rPr>
                <w:sz w:val="21"/>
                <w:szCs w:val="21"/>
                <w:color w:val="auto"/>
              </w:rPr>
            </w:pPr>
          </w:p>
        </w:tc>
        <w:tc>
          <w:tcPr>
            <w:tcW w:w="1280" w:type="dxa"/>
            <w:vAlign w:val="bottom"/>
            <w:shd w:val="clear" w:color="auto" w:fill="1D2758"/>
          </w:tcPr>
          <w:p>
            <w:pPr>
              <w:spacing w:after="0"/>
              <w:rPr>
                <w:sz w:val="21"/>
                <w:szCs w:val="21"/>
                <w:color w:val="auto"/>
              </w:rPr>
            </w:pPr>
          </w:p>
        </w:tc>
        <w:tc>
          <w:tcPr>
            <w:tcW w:w="80" w:type="dxa"/>
            <w:vAlign w:val="bottom"/>
            <w:shd w:val="clear" w:color="auto" w:fill="1D2758"/>
          </w:tcPr>
          <w:p>
            <w:pPr>
              <w:spacing w:after="0"/>
              <w:rPr>
                <w:sz w:val="21"/>
                <w:szCs w:val="21"/>
                <w:color w:val="auto"/>
              </w:rPr>
            </w:pPr>
          </w:p>
        </w:tc>
        <w:tc>
          <w:tcPr>
            <w:tcW w:w="460" w:type="dxa"/>
            <w:vAlign w:val="bottom"/>
            <w:shd w:val="clear" w:color="auto" w:fill="1D2758"/>
          </w:tcPr>
          <w:p>
            <w:pPr>
              <w:spacing w:after="0"/>
              <w:rPr>
                <w:sz w:val="21"/>
                <w:szCs w:val="21"/>
                <w:color w:val="auto"/>
              </w:rPr>
            </w:pPr>
          </w:p>
        </w:tc>
        <w:tc>
          <w:tcPr>
            <w:tcW w:w="160" w:type="dxa"/>
            <w:vAlign w:val="bottom"/>
            <w:shd w:val="clear" w:color="auto" w:fill="1D2758"/>
          </w:tcPr>
          <w:p>
            <w:pPr>
              <w:spacing w:after="0"/>
              <w:rPr>
                <w:sz w:val="21"/>
                <w:szCs w:val="21"/>
                <w:color w:val="auto"/>
              </w:rPr>
            </w:pPr>
          </w:p>
        </w:tc>
        <w:tc>
          <w:tcPr>
            <w:tcW w:w="140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i w:val="1"/>
                <w:iCs w:val="1"/>
                <w:color w:val="FFFFFF"/>
              </w:rPr>
              <w:t>(in thousands)</w:t>
            </w:r>
          </w:p>
        </w:tc>
        <w:tc>
          <w:tcPr>
            <w:tcW w:w="0" w:type="dxa"/>
            <w:vAlign w:val="bottom"/>
          </w:tcPr>
          <w:p>
            <w:pPr>
              <w:spacing w:after="0"/>
              <w:rPr>
                <w:sz w:val="1"/>
                <w:szCs w:val="1"/>
                <w:color w:val="auto"/>
              </w:rPr>
            </w:pPr>
          </w:p>
        </w:tc>
      </w:tr>
      <w:tr>
        <w:trPr>
          <w:trHeight w:val="243"/>
        </w:trPr>
        <w:tc>
          <w:tcPr>
            <w:tcW w:w="7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62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19,748</w:t>
            </w:r>
          </w:p>
        </w:tc>
        <w:tc>
          <w:tcPr>
            <w:tcW w:w="0" w:type="dxa"/>
            <w:vAlign w:val="bottom"/>
          </w:tcPr>
          <w:p>
            <w:pPr>
              <w:spacing w:after="0"/>
              <w:rPr>
                <w:sz w:val="1"/>
                <w:szCs w:val="1"/>
                <w:color w:val="auto"/>
              </w:rPr>
            </w:pPr>
          </w:p>
        </w:tc>
      </w:tr>
      <w:tr>
        <w:trPr>
          <w:trHeight w:val="233"/>
        </w:trPr>
        <w:tc>
          <w:tcPr>
            <w:tcW w:w="702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36,770</w:t>
            </w:r>
          </w:p>
        </w:tc>
        <w:tc>
          <w:tcPr>
            <w:tcW w:w="0" w:type="dxa"/>
            <w:vAlign w:val="bottom"/>
          </w:tcPr>
          <w:p>
            <w:pPr>
              <w:spacing w:after="0"/>
              <w:rPr>
                <w:sz w:val="1"/>
                <w:szCs w:val="1"/>
                <w:color w:val="auto"/>
              </w:rPr>
            </w:pPr>
          </w:p>
        </w:tc>
      </w:tr>
      <w:tr>
        <w:trPr>
          <w:trHeight w:val="253"/>
        </w:trPr>
        <w:tc>
          <w:tcPr>
            <w:tcW w:w="7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30,487</w:t>
            </w:r>
          </w:p>
        </w:tc>
        <w:tc>
          <w:tcPr>
            <w:tcW w:w="0" w:type="dxa"/>
            <w:vAlign w:val="bottom"/>
          </w:tcPr>
          <w:p>
            <w:pPr>
              <w:spacing w:after="0"/>
              <w:rPr>
                <w:sz w:val="1"/>
                <w:szCs w:val="1"/>
                <w:color w:val="auto"/>
              </w:rPr>
            </w:pPr>
          </w:p>
        </w:tc>
      </w:tr>
      <w:tr>
        <w:trPr>
          <w:trHeight w:val="233"/>
        </w:trPr>
        <w:tc>
          <w:tcPr>
            <w:tcW w:w="702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24,353</w:t>
            </w:r>
          </w:p>
        </w:tc>
        <w:tc>
          <w:tcPr>
            <w:tcW w:w="0" w:type="dxa"/>
            <w:vAlign w:val="bottom"/>
          </w:tcPr>
          <w:p>
            <w:pPr>
              <w:spacing w:after="0"/>
              <w:rPr>
                <w:sz w:val="1"/>
                <w:szCs w:val="1"/>
                <w:color w:val="auto"/>
              </w:rPr>
            </w:pPr>
          </w:p>
        </w:tc>
      </w:tr>
      <w:tr>
        <w:trPr>
          <w:trHeight w:val="253"/>
        </w:trPr>
        <w:tc>
          <w:tcPr>
            <w:tcW w:w="7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19,141</w:t>
            </w:r>
          </w:p>
        </w:tc>
        <w:tc>
          <w:tcPr>
            <w:tcW w:w="0" w:type="dxa"/>
            <w:vAlign w:val="bottom"/>
          </w:tcPr>
          <w:p>
            <w:pPr>
              <w:spacing w:after="0"/>
              <w:rPr>
                <w:sz w:val="1"/>
                <w:szCs w:val="1"/>
                <w:color w:val="auto"/>
              </w:rPr>
            </w:pPr>
          </w:p>
        </w:tc>
      </w:tr>
      <w:tr>
        <w:trPr>
          <w:trHeight w:val="236"/>
        </w:trPr>
        <w:tc>
          <w:tcPr>
            <w:tcW w:w="70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E7E7E8"/>
            </w:tcBorders>
          </w:tcPr>
          <w:p>
            <w:pPr>
              <w:spacing w:after="0"/>
              <w:rPr>
                <w:sz w:val="20"/>
                <w:szCs w:val="20"/>
                <w:color w:val="auto"/>
              </w:rPr>
            </w:pPr>
          </w:p>
        </w:tc>
        <w:tc>
          <w:tcPr>
            <w:tcW w:w="740" w:type="dxa"/>
            <w:vAlign w:val="bottom"/>
            <w:tcBorders>
              <w:bottom w:val="single" w:sz="8" w:color="E7E7E8"/>
            </w:tcBorders>
          </w:tcPr>
          <w:p>
            <w:pPr>
              <w:spacing w:after="0"/>
              <w:rPr>
                <w:sz w:val="20"/>
                <w:szCs w:val="20"/>
                <w:color w:val="auto"/>
              </w:rPr>
            </w:pPr>
          </w:p>
        </w:tc>
        <w:tc>
          <w:tcPr>
            <w:tcW w:w="128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46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53,540</w:t>
            </w:r>
          </w:p>
        </w:tc>
        <w:tc>
          <w:tcPr>
            <w:tcW w:w="0" w:type="dxa"/>
            <w:vAlign w:val="bottom"/>
          </w:tcPr>
          <w:p>
            <w:pPr>
              <w:spacing w:after="0"/>
              <w:rPr>
                <w:sz w:val="1"/>
                <w:szCs w:val="1"/>
                <w:color w:val="auto"/>
              </w:rPr>
            </w:pPr>
          </w:p>
        </w:tc>
      </w:tr>
      <w:tr>
        <w:trPr>
          <w:trHeight w:val="243"/>
        </w:trPr>
        <w:tc>
          <w:tcPr>
            <w:tcW w:w="7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lease payments</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184,039</w:t>
            </w:r>
          </w:p>
        </w:tc>
        <w:tc>
          <w:tcPr>
            <w:tcW w:w="0" w:type="dxa"/>
            <w:vAlign w:val="bottom"/>
          </w:tcPr>
          <w:p>
            <w:pPr>
              <w:spacing w:after="0"/>
              <w:rPr>
                <w:sz w:val="1"/>
                <w:szCs w:val="1"/>
                <w:color w:val="auto"/>
              </w:rPr>
            </w:pPr>
          </w:p>
        </w:tc>
      </w:tr>
      <w:tr>
        <w:trPr>
          <w:trHeight w:val="237"/>
        </w:trPr>
        <w:tc>
          <w:tcPr>
            <w:tcW w:w="70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interest</w:t>
            </w:r>
          </w:p>
        </w:tc>
        <w:tc>
          <w:tcPr>
            <w:tcW w:w="100" w:type="dxa"/>
            <w:vAlign w:val="bottom"/>
            <w:tcBorders>
              <w:bottom w:val="single" w:sz="8" w:color="E7E7E8"/>
            </w:tcBorders>
          </w:tcPr>
          <w:p>
            <w:pPr>
              <w:spacing w:after="0"/>
              <w:rPr>
                <w:sz w:val="20"/>
                <w:szCs w:val="20"/>
                <w:color w:val="auto"/>
              </w:rPr>
            </w:pPr>
          </w:p>
        </w:tc>
        <w:tc>
          <w:tcPr>
            <w:tcW w:w="740" w:type="dxa"/>
            <w:vAlign w:val="bottom"/>
            <w:tcBorders>
              <w:bottom w:val="single" w:sz="8" w:color="E7E7E8"/>
            </w:tcBorders>
          </w:tcPr>
          <w:p>
            <w:pPr>
              <w:spacing w:after="0"/>
              <w:rPr>
                <w:sz w:val="20"/>
                <w:szCs w:val="20"/>
                <w:color w:val="auto"/>
              </w:rPr>
            </w:pPr>
          </w:p>
        </w:tc>
        <w:tc>
          <w:tcPr>
            <w:tcW w:w="1280" w:type="dxa"/>
            <w:vAlign w:val="bottom"/>
            <w:tcBorders>
              <w:bottom w:val="single" w:sz="8" w:color="E7E7E8"/>
            </w:tcBorders>
          </w:tcPr>
          <w:p>
            <w:pPr>
              <w:spacing w:after="0"/>
              <w:rPr>
                <w:sz w:val="20"/>
                <w:szCs w:val="20"/>
                <w:color w:val="auto"/>
              </w:rPr>
            </w:pPr>
          </w:p>
        </w:tc>
        <w:tc>
          <w:tcPr>
            <w:tcW w:w="80" w:type="dxa"/>
            <w:vAlign w:val="bottom"/>
            <w:tcBorders>
              <w:bottom w:val="single" w:sz="8" w:color="E7E7E8"/>
            </w:tcBorders>
          </w:tcPr>
          <w:p>
            <w:pPr>
              <w:spacing w:after="0"/>
              <w:rPr>
                <w:sz w:val="20"/>
                <w:szCs w:val="20"/>
                <w:color w:val="auto"/>
              </w:rPr>
            </w:pPr>
          </w:p>
        </w:tc>
        <w:tc>
          <w:tcPr>
            <w:tcW w:w="46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(36,442)</w:t>
            </w:r>
          </w:p>
        </w:tc>
        <w:tc>
          <w:tcPr>
            <w:tcW w:w="0" w:type="dxa"/>
            <w:vAlign w:val="bottom"/>
          </w:tcPr>
          <w:p>
            <w:pPr>
              <w:spacing w:after="0"/>
              <w:rPr>
                <w:sz w:val="1"/>
                <w:szCs w:val="1"/>
                <w:color w:val="auto"/>
              </w:rPr>
            </w:pPr>
          </w:p>
        </w:tc>
      </w:tr>
      <w:tr>
        <w:trPr>
          <w:trHeight w:val="256"/>
        </w:trPr>
        <w:tc>
          <w:tcPr>
            <w:tcW w:w="7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Present value of lease liabilities</w:t>
            </w:r>
          </w:p>
        </w:tc>
        <w:tc>
          <w:tcPr>
            <w:tcW w:w="100" w:type="dxa"/>
            <w:vAlign w:val="bottom"/>
            <w:shd w:val="clear" w:color="auto" w:fill="E7E7E8"/>
          </w:tcPr>
          <w:p>
            <w:pPr>
              <w:spacing w:after="0"/>
              <w:rPr>
                <w:sz w:val="22"/>
                <w:szCs w:val="22"/>
                <w:color w:val="auto"/>
              </w:rPr>
            </w:pPr>
          </w:p>
        </w:tc>
        <w:tc>
          <w:tcPr>
            <w:tcW w:w="740" w:type="dxa"/>
            <w:vAlign w:val="bottom"/>
            <w:shd w:val="clear" w:color="auto" w:fill="E7E7E8"/>
          </w:tcPr>
          <w:p>
            <w:pPr>
              <w:spacing w:after="0"/>
              <w:rPr>
                <w:sz w:val="22"/>
                <w:szCs w:val="22"/>
                <w:color w:val="auto"/>
              </w:rPr>
            </w:pPr>
          </w:p>
        </w:tc>
        <w:tc>
          <w:tcPr>
            <w:tcW w:w="1280" w:type="dxa"/>
            <w:vAlign w:val="bottom"/>
            <w:shd w:val="clear" w:color="auto" w:fill="E7E7E8"/>
          </w:tcPr>
          <w:p>
            <w:pPr>
              <w:spacing w:after="0"/>
              <w:rPr>
                <w:sz w:val="22"/>
                <w:szCs w:val="22"/>
                <w:color w:val="auto"/>
              </w:rPr>
            </w:pPr>
          </w:p>
        </w:tc>
        <w:tc>
          <w:tcPr>
            <w:tcW w:w="80" w:type="dxa"/>
            <w:vAlign w:val="bottom"/>
            <w:shd w:val="clear" w:color="auto" w:fill="E7E7E8"/>
          </w:tcPr>
          <w:p>
            <w:pPr>
              <w:spacing w:after="0"/>
              <w:rPr>
                <w:sz w:val="22"/>
                <w:szCs w:val="22"/>
                <w:color w:val="auto"/>
              </w:rPr>
            </w:pPr>
          </w:p>
        </w:tc>
        <w:tc>
          <w:tcPr>
            <w:tcW w:w="62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147,597</w:t>
            </w:r>
          </w:p>
        </w:tc>
        <w:tc>
          <w:tcPr>
            <w:tcW w:w="0" w:type="dxa"/>
            <w:vAlign w:val="bottom"/>
          </w:tcPr>
          <w:p>
            <w:pPr>
              <w:spacing w:after="0"/>
              <w:rPr>
                <w:sz w:val="1"/>
                <w:szCs w:val="1"/>
                <w:color w:val="auto"/>
              </w:rPr>
            </w:pPr>
          </w:p>
        </w:tc>
      </w:tr>
      <w:tr>
        <w:trPr>
          <w:trHeight w:val="20"/>
        </w:trPr>
        <w:tc>
          <w:tcPr>
            <w:tcW w:w="7860" w:type="dxa"/>
            <w:vAlign w:val="bottom"/>
            <w:tcBorders>
              <w:top w:val="single" w:sz="8" w:color="E7E7E8"/>
              <w:bottom w:val="single" w:sz="8" w:color="E7E7E8"/>
            </w:tcBorders>
            <w:gridSpan w:val="3"/>
            <w:vMerge w:val="restart"/>
          </w:tcPr>
          <w:p>
            <w:pPr>
              <w:ind w:left="660"/>
              <w:spacing w:after="0"/>
              <w:rPr>
                <w:sz w:val="20"/>
                <w:szCs w:val="20"/>
                <w:color w:val="auto"/>
              </w:rPr>
            </w:pPr>
            <w:r>
              <w:rPr>
                <w:rFonts w:ascii="Arial" w:cs="Arial" w:eastAsia="Arial" w:hAnsi="Arial"/>
                <w:sz w:val="16"/>
                <w:szCs w:val="16"/>
                <w:color w:val="auto"/>
              </w:rPr>
              <w:t>The Company’s lease activity during the six months ended June 30, 2020 and 2019 was as follows:</w:t>
            </w:r>
          </w:p>
        </w:tc>
        <w:tc>
          <w:tcPr>
            <w:tcW w:w="1280" w:type="dxa"/>
            <w:vAlign w:val="bottom"/>
            <w:tcBorders>
              <w:top w:val="single" w:sz="8" w:color="E7E7E8"/>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46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86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100" w:type="dxa"/>
            <w:vAlign w:val="bottom"/>
            <w:gridSpan w:val="4"/>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740" w:type="dxa"/>
            <w:vAlign w:val="bottom"/>
            <w:shd w:val="clear" w:color="auto" w:fill="1D2758"/>
          </w:tcPr>
          <w:p>
            <w:pPr>
              <w:spacing w:after="0"/>
              <w:rPr>
                <w:sz w:val="19"/>
                <w:szCs w:val="19"/>
                <w:color w:val="auto"/>
              </w:rPr>
            </w:pPr>
          </w:p>
        </w:tc>
        <w:tc>
          <w:tcPr>
            <w:tcW w:w="3380" w:type="dxa"/>
            <w:vAlign w:val="bottom"/>
            <w:gridSpan w:val="5"/>
            <w:shd w:val="clear" w:color="auto" w:fill="1D2758"/>
          </w:tcPr>
          <w:p>
            <w:pPr>
              <w:jc w:val="right"/>
              <w:ind w:right="919"/>
              <w:spacing w:after="0"/>
              <w:rPr>
                <w:sz w:val="20"/>
                <w:szCs w:val="20"/>
                <w:color w:val="auto"/>
              </w:rPr>
            </w:pPr>
            <w:r>
              <w:rPr>
                <w:rFonts w:ascii="Arial" w:cs="Arial" w:eastAsia="Arial" w:hAnsi="Arial"/>
                <w:sz w:val="16"/>
                <w:szCs w:val="16"/>
                <w:b w:val="1"/>
                <w:bCs w:val="1"/>
                <w:color w:val="FFFFFF"/>
              </w:rPr>
              <w:t>Six Months Ended June 30,</w:t>
            </w:r>
          </w:p>
        </w:tc>
        <w:tc>
          <w:tcPr>
            <w:tcW w:w="0" w:type="dxa"/>
            <w:vAlign w:val="bottom"/>
          </w:tcPr>
          <w:p>
            <w:pPr>
              <w:spacing w:after="0"/>
              <w:rPr>
                <w:sz w:val="1"/>
                <w:szCs w:val="1"/>
                <w:color w:val="auto"/>
              </w:rPr>
            </w:pPr>
          </w:p>
        </w:tc>
      </w:tr>
      <w:tr>
        <w:trPr>
          <w:trHeight w:val="262"/>
        </w:trPr>
        <w:tc>
          <w:tcPr>
            <w:tcW w:w="70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 xml:space="preserve">Financial Statement Line </w:t>
            </w:r>
            <w:r>
              <w:rPr>
                <w:rFonts w:ascii="Arial" w:cs="Arial" w:eastAsia="Arial" w:hAnsi="Arial"/>
                <w:sz w:val="16"/>
                <w:szCs w:val="16"/>
                <w:b w:val="1"/>
                <w:bCs w:val="1"/>
                <w:i w:val="1"/>
                <w:iCs w:val="1"/>
                <w:color w:val="FFFFFF"/>
              </w:rPr>
              <w:t>(in thousands)</w:t>
            </w:r>
          </w:p>
        </w:tc>
        <w:tc>
          <w:tcPr>
            <w:tcW w:w="100" w:type="dxa"/>
            <w:vAlign w:val="bottom"/>
            <w:shd w:val="clear" w:color="auto" w:fill="1D2758"/>
          </w:tcPr>
          <w:p>
            <w:pPr>
              <w:spacing w:after="0"/>
              <w:rPr>
                <w:sz w:val="22"/>
                <w:szCs w:val="22"/>
                <w:color w:val="auto"/>
              </w:rPr>
            </w:pPr>
          </w:p>
        </w:tc>
        <w:tc>
          <w:tcPr>
            <w:tcW w:w="740" w:type="dxa"/>
            <w:vAlign w:val="bottom"/>
            <w:shd w:val="clear" w:color="auto" w:fill="1D2758"/>
          </w:tcPr>
          <w:p>
            <w:pPr>
              <w:spacing w:after="0"/>
              <w:rPr>
                <w:sz w:val="22"/>
                <w:szCs w:val="22"/>
                <w:color w:val="auto"/>
              </w:rPr>
            </w:pPr>
          </w:p>
        </w:tc>
        <w:tc>
          <w:tcPr>
            <w:tcW w:w="1280" w:type="dxa"/>
            <w:vAlign w:val="bottom"/>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22"/>
                <w:szCs w:val="22"/>
                <w:color w:val="auto"/>
              </w:rPr>
            </w:pPr>
          </w:p>
        </w:tc>
        <w:tc>
          <w:tcPr>
            <w:tcW w:w="460" w:type="dxa"/>
            <w:vAlign w:val="bottom"/>
            <w:shd w:val="clear" w:color="auto" w:fill="1D2758"/>
          </w:tcPr>
          <w:p>
            <w:pPr>
              <w:spacing w:after="0"/>
              <w:rPr>
                <w:sz w:val="22"/>
                <w:szCs w:val="22"/>
                <w:color w:val="auto"/>
              </w:rPr>
            </w:pPr>
          </w:p>
        </w:tc>
        <w:tc>
          <w:tcPr>
            <w:tcW w:w="160" w:type="dxa"/>
            <w:vAlign w:val="bottom"/>
            <w:shd w:val="clear" w:color="auto" w:fill="1D2758"/>
          </w:tcPr>
          <w:p>
            <w:pPr>
              <w:spacing w:after="0"/>
              <w:rPr>
                <w:sz w:val="22"/>
                <w:szCs w:val="22"/>
                <w:color w:val="auto"/>
              </w:rPr>
            </w:pPr>
          </w:p>
        </w:tc>
        <w:tc>
          <w:tcPr>
            <w:tcW w:w="1400" w:type="dxa"/>
            <w:vAlign w:val="bottom"/>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43"/>
        </w:trPr>
        <w:tc>
          <w:tcPr>
            <w:tcW w:w="7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Lease Expense</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020" w:type="dxa"/>
            <w:vAlign w:val="bottom"/>
          </w:tcPr>
          <w:p>
            <w:pPr>
              <w:ind w:left="220"/>
              <w:spacing w:after="0"/>
              <w:rPr>
                <w:sz w:val="20"/>
                <w:szCs w:val="20"/>
                <w:color w:val="auto"/>
              </w:rPr>
            </w:pPr>
            <w:r>
              <w:rPr>
                <w:rFonts w:ascii="Arial" w:cs="Arial" w:eastAsia="Arial" w:hAnsi="Arial"/>
                <w:sz w:val="16"/>
                <w:szCs w:val="16"/>
                <w:color w:val="auto"/>
              </w:rPr>
              <w:t>Fixed lease expense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02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840" w:type="dxa"/>
            <w:vAlign w:val="bottom"/>
            <w:gridSpan w:val="2"/>
            <w:shd w:val="clear" w:color="auto" w:fill="E7E7E8"/>
          </w:tcPr>
          <w:p>
            <w:pPr>
              <w:jc w:val="right"/>
              <w:ind w:right="6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3,074</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233"/>
        </w:trPr>
        <w:tc>
          <w:tcPr>
            <w:tcW w:w="702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16,866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16,820</w:t>
            </w:r>
          </w:p>
        </w:tc>
        <w:tc>
          <w:tcPr>
            <w:tcW w:w="0" w:type="dxa"/>
            <w:vAlign w:val="bottom"/>
          </w:tcPr>
          <w:p>
            <w:pPr>
              <w:spacing w:after="0"/>
              <w:rPr>
                <w:sz w:val="1"/>
                <w:szCs w:val="1"/>
                <w:color w:val="auto"/>
              </w:rPr>
            </w:pPr>
          </w:p>
        </w:tc>
      </w:tr>
      <w:tr>
        <w:trPr>
          <w:trHeight w:val="253"/>
        </w:trPr>
        <w:tc>
          <w:tcPr>
            <w:tcW w:w="702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1,359</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3"/>
        </w:trPr>
        <w:tc>
          <w:tcPr>
            <w:tcW w:w="7020" w:type="dxa"/>
            <w:vAlign w:val="bottom"/>
          </w:tcPr>
          <w:p>
            <w:pPr>
              <w:ind w:left="220"/>
              <w:spacing w:after="0"/>
              <w:rPr>
                <w:sz w:val="20"/>
                <w:szCs w:val="20"/>
                <w:color w:val="auto"/>
              </w:rPr>
            </w:pPr>
            <w:r>
              <w:rPr>
                <w:rFonts w:ascii="Arial" w:cs="Arial" w:eastAsia="Arial" w:hAnsi="Arial"/>
                <w:sz w:val="16"/>
                <w:szCs w:val="16"/>
                <w:color w:val="auto"/>
              </w:rPr>
              <w:t>Short-term lease expense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02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13,603</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14,708</w:t>
            </w:r>
          </w:p>
        </w:tc>
        <w:tc>
          <w:tcPr>
            <w:tcW w:w="0" w:type="dxa"/>
            <w:vAlign w:val="bottom"/>
          </w:tcPr>
          <w:p>
            <w:pPr>
              <w:spacing w:after="0"/>
              <w:rPr>
                <w:sz w:val="1"/>
                <w:szCs w:val="1"/>
                <w:color w:val="auto"/>
              </w:rPr>
            </w:pPr>
          </w:p>
        </w:tc>
      </w:tr>
      <w:tr>
        <w:trPr>
          <w:trHeight w:val="233"/>
        </w:trPr>
        <w:tc>
          <w:tcPr>
            <w:tcW w:w="702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253"/>
        </w:trPr>
        <w:tc>
          <w:tcPr>
            <w:tcW w:w="702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466</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020" w:type="dxa"/>
            <w:vAlign w:val="bottom"/>
          </w:tcPr>
          <w:p>
            <w:pPr>
              <w:ind w:left="220"/>
              <w:spacing w:after="0"/>
              <w:rPr>
                <w:sz w:val="20"/>
                <w:szCs w:val="20"/>
                <w:color w:val="auto"/>
              </w:rPr>
            </w:pPr>
            <w:r>
              <w:rPr>
                <w:rFonts w:ascii="Arial" w:cs="Arial" w:eastAsia="Arial" w:hAnsi="Arial"/>
                <w:sz w:val="16"/>
                <w:szCs w:val="16"/>
                <w:color w:val="auto"/>
              </w:rPr>
              <w:t>Variable lease expense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020" w:type="dxa"/>
            <w:vAlign w:val="bottom"/>
            <w:shd w:val="clear" w:color="auto" w:fill="E7E7E8"/>
          </w:tcPr>
          <w:p>
            <w:pPr>
              <w:ind w:left="540"/>
              <w:spacing w:after="0"/>
              <w:rPr>
                <w:sz w:val="20"/>
                <w:szCs w:val="20"/>
                <w:color w:val="auto"/>
              </w:rPr>
            </w:pPr>
            <w:r>
              <w:rPr>
                <w:rFonts w:ascii="Arial" w:cs="Arial" w:eastAsia="Arial" w:hAnsi="Arial"/>
                <w:sz w:val="16"/>
                <w:szCs w:val="16"/>
                <w:color w:val="auto"/>
              </w:rPr>
              <w:t>Cost of leasing and services</w:t>
            </w:r>
          </w:p>
        </w:tc>
        <w:tc>
          <w:tcPr>
            <w:tcW w:w="100" w:type="dxa"/>
            <w:vAlign w:val="bottom"/>
            <w:shd w:val="clear" w:color="auto" w:fill="E7E7E8"/>
          </w:tcPr>
          <w:p>
            <w:pPr>
              <w:spacing w:after="0"/>
              <w:rPr>
                <w:sz w:val="21"/>
                <w:szCs w:val="21"/>
                <w:color w:val="auto"/>
              </w:rPr>
            </w:pPr>
          </w:p>
        </w:tc>
        <w:tc>
          <w:tcPr>
            <w:tcW w:w="74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3,657</w:t>
            </w:r>
          </w:p>
        </w:tc>
        <w:tc>
          <w:tcPr>
            <w:tcW w:w="8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33"/>
        </w:trPr>
        <w:tc>
          <w:tcPr>
            <w:tcW w:w="7020" w:type="dxa"/>
            <w:vAlign w:val="bottom"/>
          </w:tcPr>
          <w:p>
            <w:pPr>
              <w:ind w:left="5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46"/>
        </w:trPr>
        <w:tc>
          <w:tcPr>
            <w:tcW w:w="7020" w:type="dxa"/>
            <w:vAlign w:val="bottom"/>
            <w:shd w:val="clear" w:color="auto" w:fill="E7E7E8"/>
          </w:tcPr>
          <w:p>
            <w:pPr>
              <w:ind w:left="540"/>
              <w:spacing w:after="0"/>
              <w:rPr>
                <w:sz w:val="20"/>
                <w:szCs w:val="20"/>
                <w:color w:val="auto"/>
              </w:rPr>
            </w:pPr>
            <w:r>
              <w:rPr>
                <w:rFonts w:ascii="Arial" w:cs="Arial" w:eastAsia="Arial" w:hAnsi="Arial"/>
                <w:sz w:val="16"/>
                <w:szCs w:val="16"/>
                <w:color w:val="auto"/>
              </w:rPr>
              <w:t>Lease impairment expense and other related charges</w:t>
            </w:r>
          </w:p>
        </w:tc>
        <w:tc>
          <w:tcPr>
            <w:tcW w:w="100" w:type="dxa"/>
            <w:vAlign w:val="bottom"/>
            <w:shd w:val="clear" w:color="auto" w:fill="E7E7E8"/>
          </w:tcPr>
          <w:p>
            <w:pPr>
              <w:spacing w:after="0"/>
              <w:rPr>
                <w:sz w:val="21"/>
                <w:szCs w:val="21"/>
                <w:color w:val="auto"/>
              </w:rPr>
            </w:pPr>
          </w:p>
        </w:tc>
        <w:tc>
          <w:tcPr>
            <w:tcW w:w="74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511</w:t>
            </w:r>
          </w:p>
        </w:tc>
        <w:tc>
          <w:tcPr>
            <w:tcW w:w="8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6"/>
                <w:szCs w:val="16"/>
                <w:color w:val="auto"/>
              </w:rPr>
              <w:t>Total operating lease expense</w:t>
            </w:r>
          </w:p>
        </w:tc>
        <w:tc>
          <w:tcPr>
            <w:tcW w:w="8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42,518</w:t>
            </w:r>
          </w:p>
        </w:tc>
        <w:tc>
          <w:tcPr>
            <w:tcW w:w="80" w:type="dxa"/>
            <w:vAlign w:val="bottom"/>
          </w:tcPr>
          <w:p>
            <w:pPr>
              <w:spacing w:after="0"/>
              <w:rPr>
                <w:sz w:val="21"/>
                <w:szCs w:val="21"/>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40,446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initiated certain restructuring plans associated with the ModSpace acquisition in order to capture operating synergies as a result of integrating ModSpace into WillScot. The restructuring activities primarily included the termination of leases for duplicative branches, equipment and corporate facilities. As part of these plans, certain of its leased locations were vacated and leases were terminated or impaired.</w:t>
      </w:r>
    </w:p>
    <w:p>
      <w:pPr>
        <w:spacing w:after="0" w:line="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six months ended June 30, 2020, the Company recorded $3.1 million in lease impairment expense and other related charges which is comprised of $0.8 million loss on lease exit and impairment charges and $2.3 million in closed location rent expense. During the six months ended June 30, 2019, the Company recorded $4.6 million in lease impairment expense and other related charges which is comprised of $2.4 million in right-of-use ("ROU") asset impairment on leased locations no longer used in operations, $1.7 million loss on lease exit and $0.5 million in closed location rent expense.</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cash flow information related to operating leases for the six months ended June 30,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3"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FFFFFF"/>
        </w:rPr>
        <w:t>Six Months ended June 30,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40" w:type="dxa"/>
            <w:vAlign w:val="bottom"/>
          </w:tcPr>
          <w:p>
            <w:pPr>
              <w:ind w:left="20"/>
              <w:spacing w:after="0"/>
              <w:rPr>
                <w:sz w:val="20"/>
                <w:szCs w:val="20"/>
                <w:color w:val="auto"/>
              </w:rPr>
            </w:pPr>
            <w:r>
              <w:rPr>
                <w:rFonts w:ascii="Arial" w:cs="Arial" w:eastAsia="Arial" w:hAnsi="Arial"/>
                <w:sz w:val="16"/>
                <w:szCs w:val="16"/>
                <w:b w:val="1"/>
                <w:bCs w:val="1"/>
                <w:color w:val="FFFFFF"/>
              </w:rPr>
              <w:t xml:space="preserve">Supplemental Cash Flow Information </w:t>
            </w:r>
            <w:r>
              <w:rPr>
                <w:rFonts w:ascii="Arial" w:cs="Arial" w:eastAsia="Arial" w:hAnsi="Arial"/>
                <w:sz w:val="16"/>
                <w:szCs w:val="16"/>
                <w:b w:val="1"/>
                <w:bCs w:val="1"/>
                <w:i w:val="1"/>
                <w:iCs w:val="1"/>
                <w:color w:val="FFFFFF"/>
              </w:rPr>
              <w:t>(in thousands)</w:t>
            </w:r>
          </w:p>
        </w:tc>
        <w:tc>
          <w:tcPr>
            <w:tcW w:w="500" w:type="dxa"/>
            <w:vAlign w:val="bottom"/>
            <w:shd w:val="clear" w:color="auto" w:fill="1D2758"/>
          </w:tcPr>
          <w:p>
            <w:pPr>
              <w:spacing w:after="0"/>
              <w:rPr>
                <w:sz w:val="21"/>
                <w:szCs w:val="21"/>
                <w:color w:val="auto"/>
              </w:rPr>
            </w:pPr>
          </w:p>
        </w:tc>
        <w:tc>
          <w:tcPr>
            <w:tcW w:w="128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500" w:type="dxa"/>
            <w:vAlign w:val="bottom"/>
            <w:shd w:val="clear" w:color="auto" w:fill="1D2758"/>
          </w:tcPr>
          <w:p>
            <w:pPr>
              <w:spacing w:after="0"/>
              <w:rPr>
                <w:sz w:val="21"/>
                <w:szCs w:val="21"/>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43"/>
        </w:trPr>
        <w:tc>
          <w:tcPr>
            <w:tcW w:w="76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paid for the amounts included in the measurement of lease liabilities</w:t>
            </w:r>
          </w:p>
        </w:tc>
        <w:tc>
          <w:tcPr>
            <w:tcW w:w="5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20,271</w:t>
            </w:r>
          </w:p>
        </w:tc>
        <w:tc>
          <w:tcPr>
            <w:tcW w:w="5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19,692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Right of use assets obtained in exchange for lease obligations</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19,242</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Weighted-average remaining operating lease terms and the weighted average discount rates as of June 30, 2020 and December 31, 2019 were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Lease Terms and Discount Rates</w:t>
            </w:r>
          </w:p>
        </w:tc>
        <w:tc>
          <w:tcPr>
            <w:tcW w:w="240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June 30,</w:t>
            </w:r>
          </w:p>
        </w:tc>
        <w:tc>
          <w:tcPr>
            <w:tcW w:w="1720" w:type="dxa"/>
            <w:vAlign w:val="bottom"/>
            <w:shd w:val="clear" w:color="auto" w:fill="1D2758"/>
          </w:tcPr>
          <w:p>
            <w:pPr>
              <w:spacing w:after="0"/>
              <w:rPr>
                <w:sz w:val="17"/>
                <w:szCs w:val="17"/>
                <w:color w:val="auto"/>
              </w:rPr>
            </w:pPr>
          </w:p>
        </w:tc>
        <w:tc>
          <w:tcPr>
            <w:tcW w:w="100" w:type="dxa"/>
            <w:vAlign w:val="bottom"/>
            <w:shd w:val="clear" w:color="auto" w:fill="008A5F"/>
          </w:tcPr>
          <w:p>
            <w:pPr>
              <w:spacing w:after="0"/>
              <w:rPr>
                <w:sz w:val="17"/>
                <w:szCs w:val="17"/>
                <w:color w:val="auto"/>
              </w:rPr>
            </w:pPr>
          </w:p>
        </w:tc>
      </w:tr>
      <w:tr>
        <w:trPr>
          <w:trHeight w:val="234"/>
        </w:trPr>
        <w:tc>
          <w:tcPr>
            <w:tcW w:w="7020" w:type="dxa"/>
            <w:vAlign w:val="bottom"/>
            <w:shd w:val="clear" w:color="auto" w:fill="1D2758"/>
          </w:tcPr>
          <w:p>
            <w:pPr>
              <w:spacing w:after="0"/>
              <w:rPr>
                <w:sz w:val="20"/>
                <w:szCs w:val="20"/>
                <w:color w:val="auto"/>
              </w:rPr>
            </w:pPr>
          </w:p>
        </w:tc>
        <w:tc>
          <w:tcPr>
            <w:tcW w:w="2400" w:type="dxa"/>
            <w:vAlign w:val="bottom"/>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2020</w:t>
            </w:r>
          </w:p>
        </w:tc>
        <w:tc>
          <w:tcPr>
            <w:tcW w:w="172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December 31, 2019</w:t>
            </w:r>
          </w:p>
        </w:tc>
        <w:tc>
          <w:tcPr>
            <w:tcW w:w="100" w:type="dxa"/>
            <w:vAlign w:val="bottom"/>
            <w:shd w:val="clear" w:color="auto" w:fill="008A5F"/>
          </w:tcPr>
          <w:p>
            <w:pPr>
              <w:spacing w:after="0"/>
              <w:rPr>
                <w:sz w:val="20"/>
                <w:szCs w:val="20"/>
                <w:color w:val="auto"/>
              </w:rPr>
            </w:pPr>
          </w:p>
        </w:tc>
      </w:tr>
      <w:tr>
        <w:trPr>
          <w:trHeight w:val="243"/>
        </w:trPr>
        <w:tc>
          <w:tcPr>
            <w:tcW w:w="7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Weighted-average remaining lease term</w:t>
            </w:r>
          </w:p>
        </w:tc>
        <w:tc>
          <w:tcPr>
            <w:tcW w:w="2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6.41 years</w:t>
            </w:r>
          </w:p>
        </w:tc>
        <w:tc>
          <w:tcPr>
            <w:tcW w:w="1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6.51 years</w:t>
            </w:r>
          </w:p>
        </w:tc>
        <w:tc>
          <w:tcPr>
            <w:tcW w:w="100" w:type="dxa"/>
            <w:vAlign w:val="bottom"/>
            <w:shd w:val="clear" w:color="auto" w:fill="E7E7E8"/>
          </w:tcPr>
          <w:p>
            <w:pPr>
              <w:spacing w:after="0"/>
              <w:rPr>
                <w:sz w:val="21"/>
                <w:szCs w:val="21"/>
                <w:color w:val="auto"/>
              </w:rPr>
            </w:pPr>
          </w:p>
        </w:tc>
      </w:tr>
      <w:tr>
        <w:trPr>
          <w:trHeight w:val="224"/>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6.9 %</w:t>
            </w:r>
          </w:p>
        </w:tc>
        <w:tc>
          <w:tcPr>
            <w:tcW w:w="172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9"/>
                <w:szCs w:val="19"/>
                <w:color w:val="auto"/>
              </w:rPr>
            </w:pPr>
          </w:p>
        </w:tc>
      </w:tr>
      <w:tr>
        <w:trPr>
          <w:trHeight w:val="324"/>
        </w:trPr>
        <w:tc>
          <w:tcPr>
            <w:tcW w:w="7020" w:type="dxa"/>
            <w:vAlign w:val="bottom"/>
          </w:tcPr>
          <w:p>
            <w:pPr>
              <w:ind w:left="660"/>
              <w:spacing w:after="0"/>
              <w:rPr>
                <w:sz w:val="20"/>
                <w:szCs w:val="20"/>
                <w:color w:val="auto"/>
              </w:rPr>
            </w:pPr>
            <w:r>
              <w:rPr>
                <w:rFonts w:ascii="Arial" w:cs="Arial" w:eastAsia="Arial" w:hAnsi="Arial"/>
                <w:sz w:val="16"/>
                <w:szCs w:val="16"/>
                <w:color w:val="auto"/>
              </w:rPr>
              <w:t>The Company presents information related to leasing revenues in Note 3.</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1D2758"/>
        </w:rPr>
        <w:t>NOTE 5 - Inventories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Inventories were comprised of raw materials and consumables of $14.8 million and $15.4 million at June 30, 2020 and December 31, 2019,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1D2758"/>
        </w:rPr>
        <w:t>NOTE 6 - Rental Equipment, net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1D2758"/>
          </w:tcPr>
          <w:p>
            <w:pPr>
              <w:spacing w:after="0"/>
              <w:rPr>
                <w:sz w:val="20"/>
                <w:szCs w:val="20"/>
                <w:color w:val="auto"/>
              </w:rPr>
            </w:pPr>
          </w:p>
        </w:tc>
        <w:tc>
          <w:tcPr>
            <w:tcW w:w="1600" w:type="dxa"/>
            <w:vAlign w:val="bottom"/>
            <w:gridSpan w:val="2"/>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June 30, 2020</w:t>
            </w:r>
          </w:p>
        </w:tc>
        <w:tc>
          <w:tcPr>
            <w:tcW w:w="120" w:type="dxa"/>
            <w:vAlign w:val="bottom"/>
            <w:shd w:val="clear" w:color="auto" w:fill="1D2758"/>
          </w:tcPr>
          <w:p>
            <w:pPr>
              <w:spacing w:after="0"/>
              <w:rPr>
                <w:sz w:val="20"/>
                <w:szCs w:val="20"/>
                <w:color w:val="auto"/>
              </w:rPr>
            </w:pPr>
          </w:p>
        </w:tc>
        <w:tc>
          <w:tcPr>
            <w:tcW w:w="1580" w:type="dxa"/>
            <w:vAlign w:val="bottom"/>
            <w:vMerge w:val="restart"/>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w w:val="99"/>
              </w:rPr>
              <w:t>December 31, 2019</w:t>
            </w:r>
          </w:p>
        </w:tc>
        <w:tc>
          <w:tcPr>
            <w:tcW w:w="0" w:type="dxa"/>
            <w:vAlign w:val="bottom"/>
          </w:tcPr>
          <w:p>
            <w:pPr>
              <w:spacing w:after="0"/>
              <w:rPr>
                <w:sz w:val="1"/>
                <w:szCs w:val="1"/>
                <w:color w:val="auto"/>
              </w:rPr>
            </w:pPr>
          </w:p>
        </w:tc>
      </w:tr>
      <w:tr>
        <w:trPr>
          <w:trHeight w:val="76"/>
        </w:trPr>
        <w:tc>
          <w:tcPr>
            <w:tcW w:w="7720" w:type="dxa"/>
            <w:vAlign w:val="bottom"/>
            <w:shd w:val="clear" w:color="auto" w:fill="1D2758"/>
          </w:tcPr>
          <w:p>
            <w:pPr>
              <w:spacing w:after="0"/>
              <w:rPr>
                <w:sz w:val="6"/>
                <w:szCs w:val="6"/>
                <w:color w:val="auto"/>
              </w:rPr>
            </w:pPr>
          </w:p>
        </w:tc>
        <w:tc>
          <w:tcPr>
            <w:tcW w:w="220" w:type="dxa"/>
            <w:vAlign w:val="bottom"/>
            <w:shd w:val="clear" w:color="auto" w:fill="1D2758"/>
          </w:tcPr>
          <w:p>
            <w:pPr>
              <w:spacing w:after="0"/>
              <w:rPr>
                <w:sz w:val="6"/>
                <w:szCs w:val="6"/>
                <w:color w:val="auto"/>
              </w:rPr>
            </w:pPr>
          </w:p>
        </w:tc>
        <w:tc>
          <w:tcPr>
            <w:tcW w:w="1600" w:type="dxa"/>
            <w:vAlign w:val="bottom"/>
            <w:gridSpan w:val="2"/>
            <w:vMerge w:val="continue"/>
            <w:shd w:val="clear" w:color="auto" w:fill="1D2758"/>
          </w:tcPr>
          <w:p>
            <w:pPr>
              <w:spacing w:after="0"/>
              <w:rPr>
                <w:sz w:val="6"/>
                <w:szCs w:val="6"/>
                <w:color w:val="auto"/>
              </w:rPr>
            </w:pPr>
          </w:p>
        </w:tc>
        <w:tc>
          <w:tcPr>
            <w:tcW w:w="120" w:type="dxa"/>
            <w:vAlign w:val="bottom"/>
            <w:shd w:val="clear" w:color="auto" w:fill="1D2758"/>
          </w:tcPr>
          <w:p>
            <w:pPr>
              <w:spacing w:after="0"/>
              <w:rPr>
                <w:sz w:val="6"/>
                <w:szCs w:val="6"/>
                <w:color w:val="auto"/>
              </w:rPr>
            </w:pPr>
          </w:p>
        </w:tc>
        <w:tc>
          <w:tcPr>
            <w:tcW w:w="158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units and portable storage</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2,476,963</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2,455,471</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Value added products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130,886</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121,855</w:t>
            </w:r>
          </w:p>
        </w:tc>
        <w:tc>
          <w:tcPr>
            <w:tcW w:w="0" w:type="dxa"/>
            <w:vAlign w:val="bottom"/>
          </w:tcPr>
          <w:p>
            <w:pPr>
              <w:spacing w:after="0"/>
              <w:rPr>
                <w:sz w:val="1"/>
                <w:szCs w:val="1"/>
                <w:color w:val="auto"/>
              </w:rPr>
            </w:pPr>
          </w:p>
        </w:tc>
      </w:tr>
      <w:tr>
        <w:trPr>
          <w:trHeight w:val="243"/>
        </w:trPr>
        <w:tc>
          <w:tcPr>
            <w:tcW w:w="77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rental equipment</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2,607,849</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2,577,326</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(699,550)</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(632,890)</w:t>
            </w:r>
          </w:p>
        </w:tc>
        <w:tc>
          <w:tcPr>
            <w:tcW w:w="0" w:type="dxa"/>
            <w:vAlign w:val="bottom"/>
          </w:tcPr>
          <w:p>
            <w:pPr>
              <w:spacing w:after="0"/>
              <w:rPr>
                <w:sz w:val="1"/>
                <w:szCs w:val="1"/>
                <w:color w:val="auto"/>
              </w:rPr>
            </w:pPr>
          </w:p>
        </w:tc>
      </w:tr>
      <w:tr>
        <w:trPr>
          <w:trHeight w:val="262"/>
        </w:trPr>
        <w:tc>
          <w:tcPr>
            <w:tcW w:w="772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Rental equipment, net</w:t>
            </w:r>
          </w:p>
        </w:tc>
        <w:tc>
          <w:tcPr>
            <w:tcW w:w="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1,908,299</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1,944,436</w:t>
            </w:r>
          </w:p>
        </w:tc>
        <w:tc>
          <w:tcPr>
            <w:tcW w:w="0" w:type="dxa"/>
            <w:vAlign w:val="bottom"/>
          </w:tcPr>
          <w:p>
            <w:pPr>
              <w:spacing w:after="0"/>
              <w:rPr>
                <w:sz w:val="1"/>
                <w:szCs w:val="1"/>
                <w:color w:val="auto"/>
              </w:rPr>
            </w:pPr>
          </w:p>
        </w:tc>
      </w:tr>
      <w:tr>
        <w:trPr>
          <w:trHeight w:val="20"/>
        </w:trPr>
        <w:tc>
          <w:tcPr>
            <w:tcW w:w="772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1D2758"/>
        </w:rPr>
        <w:t>NOTE 7 - Goodwill</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48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34"/>
        </w:trPr>
        <w:tc>
          <w:tcPr>
            <w:tcW w:w="59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1D2758"/>
          </w:tcPr>
          <w:p>
            <w:pPr>
              <w:spacing w:after="0"/>
              <w:rPr>
                <w:sz w:val="20"/>
                <w:szCs w:val="20"/>
                <w:color w:val="auto"/>
              </w:rPr>
            </w:pPr>
          </w:p>
        </w:tc>
        <w:tc>
          <w:tcPr>
            <w:tcW w:w="1580" w:type="dxa"/>
            <w:vAlign w:val="bottom"/>
            <w:gridSpan w:val="2"/>
            <w:shd w:val="clear" w:color="auto" w:fill="1D2758"/>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213,264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33,753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247,017</w:t>
            </w: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Changes to preliminary purchase price accounting</w:t>
            </w:r>
          </w:p>
        </w:tc>
        <w:tc>
          <w:tcPr>
            <w:tcW w:w="2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(13,479)</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shd w:val="clear" w:color="auto" w:fill="E7E7E8"/>
          </w:tcPr>
          <w:p>
            <w:pPr>
              <w:spacing w:after="0"/>
              <w:rPr>
                <w:sz w:val="21"/>
                <w:szCs w:val="21"/>
                <w:color w:val="auto"/>
              </w:rPr>
            </w:pPr>
          </w:p>
        </w:tc>
        <w:tc>
          <w:tcPr>
            <w:tcW w:w="15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1,639</w:t>
            </w:r>
          </w:p>
        </w:tc>
      </w:tr>
      <w:tr>
        <w:trPr>
          <w:trHeight w:val="227"/>
        </w:trPr>
        <w:tc>
          <w:tcPr>
            <w:tcW w:w="59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203,933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31,244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235,177</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shd w:val="clear" w:color="auto" w:fill="E7E7E8"/>
          </w:tcPr>
          <w:p>
            <w:pPr>
              <w:spacing w:after="0"/>
              <w:rPr>
                <w:sz w:val="21"/>
                <w:szCs w:val="21"/>
                <w:color w:val="auto"/>
              </w:rPr>
            </w:pPr>
          </w:p>
        </w:tc>
        <w:tc>
          <w:tcPr>
            <w:tcW w:w="15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(1,348)</w:t>
            </w:r>
          </w:p>
        </w:tc>
      </w:tr>
      <w:tr>
        <w:trPr>
          <w:trHeight w:val="230"/>
        </w:trPr>
        <w:tc>
          <w:tcPr>
            <w:tcW w:w="5920" w:type="dxa"/>
            <w:vAlign w:val="bottom"/>
          </w:tcPr>
          <w:p>
            <w:pPr>
              <w:ind w:left="20"/>
              <w:spacing w:after="0"/>
              <w:rPr>
                <w:sz w:val="20"/>
                <w:szCs w:val="20"/>
                <w:color w:val="auto"/>
              </w:rPr>
            </w:pPr>
            <w:r>
              <w:rPr>
                <w:rFonts w:ascii="Arial" w:cs="Arial" w:eastAsia="Arial" w:hAnsi="Arial"/>
                <w:sz w:val="16"/>
                <w:szCs w:val="16"/>
                <w:color w:val="auto"/>
              </w:rPr>
              <w:t>Balance at June 30, 2020</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203,933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29,896</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233,829</w:t>
            </w:r>
          </w:p>
        </w:tc>
      </w:tr>
      <w:tr>
        <w:trPr>
          <w:trHeight w:val="27"/>
        </w:trPr>
        <w:tc>
          <w:tcPr>
            <w:tcW w:w="5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no goodwill impairment during the six months ended June 30, 2020 or the year ended December 31, 2019.</w:t>
      </w:r>
    </w:p>
    <w:p>
      <w:pPr>
        <w:spacing w:after="0" w:line="1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considered the economic environment resulting from the COVID-19 pandemic as part of its review for indicators of potential impairment and reviewed qualitative information currently available in determining if it was more likely than not that the fair values of the Company’s</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reporting units were less than the carrying amounts as of June 30, 2020. Based on the Company’s current long-term projections and the extent of fair value in excess of carrying value at the Company's October 1, 2019 annual impairment test date, management concluded that it is not more likely than not that the fair value of the Company's reporting units were less than their carrying amount during the three and six months ended June 30, 2020 and there were no impairment indicators that would require an interim impairment test.</w:t>
      </w:r>
    </w:p>
    <w:p>
      <w:pPr>
        <w:spacing w:after="0" w:line="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Due to the uncertain and rapidly evolving nature of the conditions surrounding the COVID-19 pandemic, changes in economic outlook may change our long-term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3" w:name="page14"/>
    <w:bookmarkEnd w:id="13"/>
    <w:p>
      <w:pPr>
        <w:spacing w:after="0"/>
        <w:rPr>
          <w:sz w:val="20"/>
          <w:szCs w:val="20"/>
          <w:color w:val="auto"/>
        </w:rPr>
      </w:pPr>
      <w:r>
        <w:rPr>
          <w:rFonts w:ascii="Arial" w:cs="Arial" w:eastAsia="Arial" w:hAnsi="Arial"/>
          <w:sz w:val="23"/>
          <w:szCs w:val="23"/>
          <w:color w:val="1D2758"/>
        </w:rPr>
        <w:t>NOTE 8 - Intangibles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other than goodwill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shd w:val="clear" w:color="auto" w:fill="1D2758"/>
          </w:tcPr>
          <w:p>
            <w:pPr>
              <w:spacing w:after="0"/>
              <w:rPr>
                <w:sz w:val="20"/>
                <w:szCs w:val="20"/>
                <w:color w:val="auto"/>
              </w:rPr>
            </w:pPr>
          </w:p>
        </w:tc>
        <w:tc>
          <w:tcPr>
            <w:tcW w:w="152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120" w:type="dxa"/>
            <w:vAlign w:val="bottom"/>
            <w:shd w:val="clear" w:color="auto" w:fill="1D2758"/>
          </w:tcPr>
          <w:p>
            <w:pPr>
              <w:spacing w:after="0"/>
              <w:rPr>
                <w:sz w:val="20"/>
                <w:szCs w:val="20"/>
                <w:color w:val="auto"/>
              </w:rPr>
            </w:pPr>
          </w:p>
        </w:tc>
        <w:tc>
          <w:tcPr>
            <w:tcW w:w="2980" w:type="dxa"/>
            <w:vAlign w:val="bottom"/>
            <w:gridSpan w:val="7"/>
            <w:shd w:val="clear" w:color="auto" w:fill="1D2758"/>
          </w:tcPr>
          <w:p>
            <w:pPr>
              <w:jc w:val="center"/>
              <w:ind w:right="200"/>
              <w:spacing w:after="0"/>
              <w:rPr>
                <w:sz w:val="20"/>
                <w:szCs w:val="20"/>
                <w:color w:val="auto"/>
              </w:rPr>
            </w:pPr>
            <w:r>
              <w:rPr>
                <w:rFonts w:ascii="Arial" w:cs="Arial" w:eastAsia="Arial" w:hAnsi="Arial"/>
                <w:sz w:val="16"/>
                <w:szCs w:val="16"/>
                <w:b w:val="1"/>
                <w:bCs w:val="1"/>
                <w:color w:val="FFFFFF"/>
              </w:rPr>
              <w:t>June 30, 2020</w:t>
            </w:r>
          </w:p>
        </w:tc>
        <w:tc>
          <w:tcPr>
            <w:tcW w:w="140" w:type="dxa"/>
            <w:vAlign w:val="bottom"/>
            <w:shd w:val="clear" w:color="auto" w:fill="1D2758"/>
          </w:tcPr>
          <w:p>
            <w:pPr>
              <w:spacing w:after="0"/>
              <w:rPr>
                <w:sz w:val="20"/>
                <w:szCs w:val="20"/>
                <w:color w:val="auto"/>
              </w:rPr>
            </w:pPr>
          </w:p>
        </w:tc>
        <w:tc>
          <w:tcPr>
            <w:tcW w:w="1320" w:type="dxa"/>
            <w:vAlign w:val="bottom"/>
            <w:shd w:val="clear" w:color="auto" w:fill="1D2758"/>
          </w:tcPr>
          <w:p>
            <w:pPr>
              <w:spacing w:after="0"/>
              <w:rPr>
                <w:sz w:val="20"/>
                <w:szCs w:val="20"/>
                <w:color w:val="auto"/>
              </w:rPr>
            </w:pPr>
          </w:p>
        </w:tc>
      </w:tr>
      <w:tr>
        <w:trPr>
          <w:trHeight w:val="206"/>
        </w:trPr>
        <w:tc>
          <w:tcPr>
            <w:tcW w:w="5080" w:type="dxa"/>
            <w:vAlign w:val="bottom"/>
            <w:shd w:val="clear" w:color="auto" w:fill="1D2758"/>
          </w:tcPr>
          <w:p>
            <w:pPr>
              <w:spacing w:after="0"/>
              <w:rPr>
                <w:sz w:val="17"/>
                <w:szCs w:val="17"/>
                <w:color w:val="auto"/>
              </w:rPr>
            </w:pPr>
          </w:p>
        </w:tc>
        <w:tc>
          <w:tcPr>
            <w:tcW w:w="152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Remaining life (in</w:t>
            </w:r>
          </w:p>
        </w:tc>
        <w:tc>
          <w:tcPr>
            <w:tcW w:w="2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4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Gross carrying</w:t>
            </w:r>
          </w:p>
        </w:tc>
        <w:tc>
          <w:tcPr>
            <w:tcW w:w="2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400" w:type="dxa"/>
            <w:vAlign w:val="bottom"/>
            <w:gridSpan w:val="3"/>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34"/>
        </w:trPr>
        <w:tc>
          <w:tcPr>
            <w:tcW w:w="50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2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years)</w:t>
            </w:r>
          </w:p>
        </w:tc>
        <w:tc>
          <w:tcPr>
            <w:tcW w:w="20" w:type="dxa"/>
            <w:vAlign w:val="bottom"/>
            <w:shd w:val="clear" w:color="auto" w:fill="1D2758"/>
          </w:tcPr>
          <w:p>
            <w:pPr>
              <w:spacing w:after="0"/>
              <w:rPr>
                <w:sz w:val="20"/>
                <w:szCs w:val="20"/>
                <w:color w:val="auto"/>
              </w:rPr>
            </w:pPr>
          </w:p>
        </w:tc>
        <w:tc>
          <w:tcPr>
            <w:tcW w:w="120" w:type="dxa"/>
            <w:vAlign w:val="bottom"/>
            <w:shd w:val="clear" w:color="auto" w:fill="1D2758"/>
          </w:tcPr>
          <w:p>
            <w:pPr>
              <w:spacing w:after="0"/>
              <w:rPr>
                <w:sz w:val="20"/>
                <w:szCs w:val="20"/>
                <w:color w:val="auto"/>
              </w:rPr>
            </w:pPr>
          </w:p>
        </w:tc>
        <w:tc>
          <w:tcPr>
            <w:tcW w:w="14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2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1400" w:type="dxa"/>
            <w:vAlign w:val="bottom"/>
            <w:gridSpan w:val="3"/>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080" w:type="dxa"/>
            <w:vAlign w:val="bottom"/>
          </w:tcPr>
          <w:p>
            <w:pPr>
              <w:ind w:left="220"/>
              <w:spacing w:after="0"/>
              <w:rPr>
                <w:sz w:val="20"/>
                <w:szCs w:val="20"/>
                <w:color w:val="auto"/>
              </w:rPr>
            </w:pPr>
            <w:r>
              <w:rPr>
                <w:rFonts w:ascii="Arial" w:cs="Arial" w:eastAsia="Arial" w:hAnsi="Arial"/>
                <w:sz w:val="16"/>
                <w:szCs w:val="16"/>
                <w:color w:val="auto"/>
              </w:rPr>
              <w:t>ModSpace trade name</w:t>
            </w:r>
          </w:p>
        </w:tc>
        <w:tc>
          <w:tcPr>
            <w:tcW w:w="1520" w:type="dxa"/>
            <w:vAlign w:val="bottom"/>
          </w:tcPr>
          <w:p>
            <w:pPr>
              <w:jc w:val="center"/>
              <w:ind w:right="19"/>
              <w:spacing w:after="0"/>
              <w:rPr>
                <w:sz w:val="20"/>
                <w:szCs w:val="20"/>
                <w:color w:val="auto"/>
              </w:rPr>
            </w:pPr>
            <w:r>
              <w:rPr>
                <w:rFonts w:ascii="Arial" w:cs="Arial" w:eastAsia="Arial" w:hAnsi="Arial"/>
                <w:sz w:val="16"/>
                <w:szCs w:val="16"/>
                <w:color w:val="auto"/>
                <w:w w:val="98"/>
              </w:rPr>
              <w:t>1.2</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
              <w:spacing w:after="0"/>
              <w:rPr>
                <w:sz w:val="20"/>
                <w:szCs w:val="20"/>
                <w:color w:val="auto"/>
              </w:rPr>
            </w:pPr>
            <w:r>
              <w:rPr>
                <w:rFonts w:ascii="Arial" w:cs="Arial" w:eastAsia="Arial" w:hAnsi="Arial"/>
                <w:sz w:val="16"/>
                <w:szCs w:val="16"/>
                <w:color w:val="auto"/>
              </w:rPr>
              <w:t>(1,875)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1,125</w:t>
            </w:r>
          </w:p>
        </w:tc>
      </w:tr>
      <w:tr>
        <w:trPr>
          <w:trHeight w:val="239"/>
        </w:trPr>
        <w:tc>
          <w:tcPr>
            <w:tcW w:w="5080" w:type="dxa"/>
            <w:vAlign w:val="bottom"/>
            <w:shd w:val="clear" w:color="auto" w:fill="E7E7E8"/>
          </w:tcPr>
          <w:p>
            <w:pPr>
              <w:spacing w:after="0"/>
              <w:rPr>
                <w:sz w:val="20"/>
                <w:szCs w:val="20"/>
                <w:color w:val="auto"/>
              </w:rPr>
            </w:pPr>
          </w:p>
        </w:tc>
        <w:tc>
          <w:tcPr>
            <w:tcW w:w="152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132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280" w:type="dxa"/>
            <w:vAlign w:val="bottom"/>
            <w:shd w:val="clear" w:color="auto" w:fill="E7E7E8"/>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spacing w:after="0"/>
              <w:rPr>
                <w:sz w:val="20"/>
                <w:szCs w:val="20"/>
                <w:color w:val="auto"/>
              </w:rPr>
            </w:pPr>
          </w:p>
        </w:tc>
        <w:tc>
          <w:tcPr>
            <w:tcW w:w="1320" w:type="dxa"/>
            <w:vAlign w:val="bottom"/>
            <w:shd w:val="clear" w:color="auto" w:fill="E7E7E8"/>
          </w:tcPr>
          <w:p>
            <w:pPr>
              <w:spacing w:after="0"/>
              <w:rPr>
                <w:sz w:val="20"/>
                <w:szCs w:val="20"/>
                <w:color w:val="auto"/>
              </w:rPr>
            </w:pPr>
          </w:p>
        </w:tc>
      </w:tr>
      <w:tr>
        <w:trPr>
          <w:trHeight w:val="233"/>
        </w:trPr>
        <w:tc>
          <w:tcPr>
            <w:tcW w:w="508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5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w:t>
            </w:r>
          </w:p>
        </w:tc>
        <w:tc>
          <w:tcPr>
            <w:tcW w:w="152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400" w:type="dxa"/>
            <w:vAlign w:val="bottom"/>
            <w:gridSpan w:val="3"/>
            <w:shd w:val="clear" w:color="auto" w:fill="E7E7E8"/>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7E7E8"/>
          </w:tcPr>
          <w:p>
            <w:pPr>
              <w:spacing w:after="0"/>
              <w:rPr>
                <w:sz w:val="22"/>
                <w:szCs w:val="22"/>
                <w:color w:val="auto"/>
              </w:rPr>
            </w:pPr>
          </w:p>
        </w:tc>
        <w:tc>
          <w:tcPr>
            <w:tcW w:w="1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125,000</w:t>
            </w:r>
          </w:p>
        </w:tc>
      </w:tr>
      <w:tr>
        <w:trPr>
          <w:trHeight w:val="243"/>
        </w:trPr>
        <w:tc>
          <w:tcPr>
            <w:tcW w:w="508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2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128,000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(1,875)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126,125</w:t>
            </w:r>
          </w:p>
        </w:tc>
      </w:tr>
      <w:tr>
        <w:trPr>
          <w:trHeight w:val="21"/>
        </w:trPr>
        <w:tc>
          <w:tcPr>
            <w:tcW w:w="5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8"/>
        </w:trPr>
        <w:tc>
          <w:tcPr>
            <w:tcW w:w="5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4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3"/>
        </w:trPr>
        <w:tc>
          <w:tcPr>
            <w:tcW w:w="5080" w:type="dxa"/>
            <w:vAlign w:val="bottom"/>
            <w:shd w:val="clear" w:color="auto" w:fill="1D2758"/>
          </w:tcPr>
          <w:p>
            <w:pPr>
              <w:spacing w:after="0"/>
              <w:rPr>
                <w:sz w:val="19"/>
                <w:szCs w:val="19"/>
                <w:color w:val="auto"/>
              </w:rPr>
            </w:pPr>
          </w:p>
        </w:tc>
        <w:tc>
          <w:tcPr>
            <w:tcW w:w="152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c>
          <w:tcPr>
            <w:tcW w:w="120" w:type="dxa"/>
            <w:vAlign w:val="bottom"/>
            <w:shd w:val="clear" w:color="auto" w:fill="1D2758"/>
          </w:tcPr>
          <w:p>
            <w:pPr>
              <w:spacing w:after="0"/>
              <w:rPr>
                <w:sz w:val="19"/>
                <w:szCs w:val="19"/>
                <w:color w:val="auto"/>
              </w:rPr>
            </w:pPr>
          </w:p>
        </w:tc>
        <w:tc>
          <w:tcPr>
            <w:tcW w:w="2980" w:type="dxa"/>
            <w:vAlign w:val="bottom"/>
            <w:gridSpan w:val="7"/>
            <w:shd w:val="clear" w:color="auto" w:fill="1D2758"/>
          </w:tcPr>
          <w:p>
            <w:pPr>
              <w:jc w:val="center"/>
              <w:ind w:right="200"/>
              <w:spacing w:after="0"/>
              <w:rPr>
                <w:sz w:val="20"/>
                <w:szCs w:val="20"/>
                <w:color w:val="auto"/>
              </w:rPr>
            </w:pPr>
            <w:r>
              <w:rPr>
                <w:rFonts w:ascii="Arial" w:cs="Arial" w:eastAsia="Arial" w:hAnsi="Arial"/>
                <w:sz w:val="16"/>
                <w:szCs w:val="16"/>
                <w:b w:val="1"/>
                <w:bCs w:val="1"/>
                <w:color w:val="FFFFFF"/>
              </w:rPr>
              <w:t>December 31, 2019</w:t>
            </w:r>
          </w:p>
        </w:tc>
        <w:tc>
          <w:tcPr>
            <w:tcW w:w="14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r>
      <w:tr>
        <w:trPr>
          <w:trHeight w:val="217"/>
        </w:trPr>
        <w:tc>
          <w:tcPr>
            <w:tcW w:w="5080" w:type="dxa"/>
            <w:vAlign w:val="bottom"/>
            <w:shd w:val="clear" w:color="auto" w:fill="1D2758"/>
          </w:tcPr>
          <w:p>
            <w:pPr>
              <w:spacing w:after="0"/>
              <w:rPr>
                <w:sz w:val="18"/>
                <w:szCs w:val="18"/>
                <w:color w:val="auto"/>
              </w:rPr>
            </w:pPr>
          </w:p>
        </w:tc>
        <w:tc>
          <w:tcPr>
            <w:tcW w:w="152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Remaining life (in</w:t>
            </w:r>
          </w:p>
        </w:tc>
        <w:tc>
          <w:tcPr>
            <w:tcW w:w="2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42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2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400" w:type="dxa"/>
            <w:vAlign w:val="bottom"/>
            <w:gridSpan w:val="3"/>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1D2758"/>
          </w:tcPr>
          <w:p>
            <w:pPr>
              <w:spacing w:after="0"/>
              <w:rPr>
                <w:sz w:val="18"/>
                <w:szCs w:val="18"/>
                <w:color w:val="auto"/>
              </w:rPr>
            </w:pPr>
          </w:p>
        </w:tc>
        <w:tc>
          <w:tcPr>
            <w:tcW w:w="1320" w:type="dxa"/>
            <w:vAlign w:val="bottom"/>
            <w:shd w:val="clear" w:color="auto" w:fill="1D2758"/>
          </w:tcPr>
          <w:p>
            <w:pPr>
              <w:spacing w:after="0"/>
              <w:rPr>
                <w:sz w:val="18"/>
                <w:szCs w:val="18"/>
                <w:color w:val="auto"/>
              </w:rPr>
            </w:pPr>
          </w:p>
        </w:tc>
      </w:tr>
      <w:tr>
        <w:trPr>
          <w:trHeight w:val="234"/>
        </w:trPr>
        <w:tc>
          <w:tcPr>
            <w:tcW w:w="50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2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years)</w:t>
            </w:r>
          </w:p>
        </w:tc>
        <w:tc>
          <w:tcPr>
            <w:tcW w:w="20" w:type="dxa"/>
            <w:vAlign w:val="bottom"/>
            <w:shd w:val="clear" w:color="auto" w:fill="1D2758"/>
          </w:tcPr>
          <w:p>
            <w:pPr>
              <w:spacing w:after="0"/>
              <w:rPr>
                <w:sz w:val="20"/>
                <w:szCs w:val="20"/>
                <w:color w:val="auto"/>
              </w:rPr>
            </w:pPr>
          </w:p>
        </w:tc>
        <w:tc>
          <w:tcPr>
            <w:tcW w:w="120" w:type="dxa"/>
            <w:vAlign w:val="bottom"/>
            <w:shd w:val="clear" w:color="auto" w:fill="1D2758"/>
          </w:tcPr>
          <w:p>
            <w:pPr>
              <w:spacing w:after="0"/>
              <w:rPr>
                <w:sz w:val="20"/>
                <w:szCs w:val="20"/>
                <w:color w:val="auto"/>
              </w:rPr>
            </w:pPr>
          </w:p>
        </w:tc>
        <w:tc>
          <w:tcPr>
            <w:tcW w:w="1420" w:type="dxa"/>
            <w:vAlign w:val="bottom"/>
            <w:gridSpan w:val="2"/>
            <w:shd w:val="clear" w:color="auto" w:fill="1D2758"/>
          </w:tcPr>
          <w:p>
            <w:pPr>
              <w:jc w:val="center"/>
              <w:ind w:right="200"/>
              <w:spacing w:after="0"/>
              <w:rPr>
                <w:sz w:val="20"/>
                <w:szCs w:val="20"/>
                <w:color w:val="auto"/>
              </w:rPr>
            </w:pPr>
            <w:r>
              <w:rPr>
                <w:rFonts w:ascii="Arial" w:cs="Arial" w:eastAsia="Arial" w:hAnsi="Arial"/>
                <w:sz w:val="16"/>
                <w:szCs w:val="16"/>
                <w:b w:val="1"/>
                <w:bCs w:val="1"/>
                <w:color w:val="FFFFFF"/>
              </w:rPr>
              <w:t>amount</w:t>
            </w:r>
          </w:p>
        </w:tc>
        <w:tc>
          <w:tcPr>
            <w:tcW w:w="2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1400" w:type="dxa"/>
            <w:vAlign w:val="bottom"/>
            <w:gridSpan w:val="3"/>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43"/>
        </w:trPr>
        <w:tc>
          <w:tcPr>
            <w:tcW w:w="50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2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080" w:type="dxa"/>
            <w:vAlign w:val="bottom"/>
          </w:tcPr>
          <w:p>
            <w:pPr>
              <w:ind w:left="220"/>
              <w:spacing w:after="0"/>
              <w:rPr>
                <w:sz w:val="20"/>
                <w:szCs w:val="20"/>
                <w:color w:val="auto"/>
              </w:rPr>
            </w:pPr>
            <w:r>
              <w:rPr>
                <w:rFonts w:ascii="Arial" w:cs="Arial" w:eastAsia="Arial" w:hAnsi="Arial"/>
                <w:sz w:val="16"/>
                <w:szCs w:val="16"/>
                <w:color w:val="auto"/>
              </w:rPr>
              <w:t>ModSpace trade name</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1.7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1,625</w:t>
            </w:r>
          </w:p>
        </w:tc>
      </w:tr>
      <w:tr>
        <w:trPr>
          <w:trHeight w:val="212"/>
        </w:trPr>
        <w:tc>
          <w:tcPr>
            <w:tcW w:w="5080" w:type="dxa"/>
            <w:vAlign w:val="bottom"/>
            <w:shd w:val="clear" w:color="auto" w:fill="E7E7E8"/>
          </w:tcPr>
          <w:p>
            <w:pPr>
              <w:spacing w:after="0"/>
              <w:rPr>
                <w:sz w:val="18"/>
                <w:szCs w:val="18"/>
                <w:color w:val="auto"/>
              </w:rPr>
            </w:pPr>
          </w:p>
        </w:tc>
        <w:tc>
          <w:tcPr>
            <w:tcW w:w="152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2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08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50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names</w:t>
            </w:r>
          </w:p>
        </w:tc>
        <w:tc>
          <w:tcPr>
            <w:tcW w:w="152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spacing w:after="0"/>
              <w:rPr>
                <w:sz w:val="22"/>
                <w:szCs w:val="22"/>
                <w:color w:val="auto"/>
              </w:rPr>
            </w:pPr>
          </w:p>
        </w:tc>
        <w:tc>
          <w:tcPr>
            <w:tcW w:w="13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spacing w:after="0"/>
              <w:rPr>
                <w:sz w:val="22"/>
                <w:szCs w:val="22"/>
                <w:color w:val="auto"/>
              </w:rPr>
            </w:pPr>
          </w:p>
        </w:tc>
        <w:tc>
          <w:tcPr>
            <w:tcW w:w="1300" w:type="dxa"/>
            <w:vAlign w:val="bottom"/>
            <w:tcBorders>
              <w:bottom w:val="single" w:sz="8" w:color="auto"/>
            </w:tcBorders>
            <w:gridSpan w:val="2"/>
            <w:shd w:val="clear" w:color="auto" w:fill="E7E7E8"/>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spacing w:after="0"/>
              <w:rPr>
                <w:sz w:val="22"/>
                <w:szCs w:val="22"/>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125,000</w:t>
            </w:r>
          </w:p>
        </w:tc>
      </w:tr>
      <w:tr>
        <w:trPr>
          <w:trHeight w:val="243"/>
        </w:trPr>
        <w:tc>
          <w:tcPr>
            <w:tcW w:w="508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2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128,000</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126,625</w:t>
            </w:r>
          </w:p>
        </w:tc>
      </w:tr>
      <w:tr>
        <w:trPr>
          <w:trHeight w:val="20"/>
        </w:trPr>
        <w:tc>
          <w:tcPr>
            <w:tcW w:w="5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For both the six months ended June 30, 2020 and 2019, the aggregate amount recorded to other depreciation and amortization expense for the ModSpace trade name was $0.5 million.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4" w:name="page15"/>
    <w:bookmarkEnd w:id="14"/>
    <w:p>
      <w:pPr>
        <w:spacing w:after="0"/>
        <w:rPr>
          <w:sz w:val="20"/>
          <w:szCs w:val="20"/>
          <w:color w:val="auto"/>
        </w:rPr>
      </w:pPr>
      <w:r>
        <w:rPr>
          <w:rFonts w:ascii="Arial" w:cs="Arial" w:eastAsia="Arial" w:hAnsi="Arial"/>
          <w:sz w:val="23"/>
          <w:szCs w:val="23"/>
          <w:color w:val="1D2758"/>
        </w:rPr>
        <w:t>NOTE 9 - Debt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0" w:type="dxa"/>
            <w:vAlign w:val="bottom"/>
            <w:shd w:val="clear" w:color="auto" w:fill="1D2758"/>
          </w:tcPr>
          <w:p>
            <w:pPr>
              <w:spacing w:after="0"/>
              <w:rPr>
                <w:sz w:val="17"/>
                <w:szCs w:val="17"/>
                <w:color w:val="auto"/>
              </w:rPr>
            </w:pPr>
          </w:p>
        </w:tc>
        <w:tc>
          <w:tcPr>
            <w:tcW w:w="2640" w:type="dxa"/>
            <w:vAlign w:val="bottom"/>
            <w:shd w:val="clear" w:color="auto" w:fill="1D2758"/>
          </w:tcPr>
          <w:p>
            <w:pPr>
              <w:spacing w:after="0"/>
              <w:rPr>
                <w:sz w:val="17"/>
                <w:szCs w:val="17"/>
                <w:color w:val="auto"/>
              </w:rPr>
            </w:pPr>
          </w:p>
        </w:tc>
        <w:tc>
          <w:tcPr>
            <w:tcW w:w="20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32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December 31,</w:t>
            </w:r>
          </w:p>
        </w:tc>
      </w:tr>
      <w:tr>
        <w:trPr>
          <w:trHeight w:val="234"/>
        </w:trPr>
        <w:tc>
          <w:tcPr>
            <w:tcW w:w="3040" w:type="dxa"/>
            <w:vAlign w:val="bottom"/>
            <w:gridSpan w:val="2"/>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2020" w:type="dxa"/>
            <w:vAlign w:val="bottom"/>
            <w:shd w:val="clear" w:color="auto" w:fill="1D2758"/>
          </w:tcPr>
          <w:p>
            <w:pPr>
              <w:jc w:val="center"/>
              <w:ind w:left="539"/>
              <w:spacing w:after="0"/>
              <w:rPr>
                <w:sz w:val="20"/>
                <w:szCs w:val="20"/>
                <w:color w:val="auto"/>
              </w:rPr>
            </w:pPr>
            <w:r>
              <w:rPr>
                <w:rFonts w:ascii="Arial" w:cs="Arial" w:eastAsia="Arial" w:hAnsi="Arial"/>
                <w:sz w:val="16"/>
                <w:szCs w:val="16"/>
                <w:b w:val="1"/>
                <w:bCs w:val="1"/>
                <w:color w:val="FFFFFF"/>
              </w:rPr>
              <w:t>Interest rate</w:t>
            </w:r>
          </w:p>
        </w:tc>
        <w:tc>
          <w:tcPr>
            <w:tcW w:w="1840" w:type="dxa"/>
            <w:vAlign w:val="bottom"/>
            <w:gridSpan w:val="2"/>
            <w:shd w:val="clear" w:color="auto" w:fill="1D2758"/>
          </w:tcPr>
          <w:p>
            <w:pPr>
              <w:jc w:val="center"/>
              <w:ind w:right="140"/>
              <w:spacing w:after="0"/>
              <w:rPr>
                <w:sz w:val="20"/>
                <w:szCs w:val="20"/>
                <w:color w:val="auto"/>
              </w:rPr>
            </w:pPr>
            <w:r>
              <w:rPr>
                <w:rFonts w:ascii="Arial" w:cs="Arial" w:eastAsia="Arial" w:hAnsi="Arial"/>
                <w:sz w:val="16"/>
                <w:szCs w:val="16"/>
                <w:b w:val="1"/>
                <w:bCs w:val="1"/>
                <w:color w:val="FFFFFF"/>
              </w:rPr>
              <w:t>Year of maturity</w:t>
            </w:r>
          </w:p>
        </w:tc>
        <w:tc>
          <w:tcPr>
            <w:tcW w:w="142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June 30, 2020</w:t>
            </w:r>
          </w:p>
        </w:tc>
        <w:tc>
          <w:tcPr>
            <w:tcW w:w="16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2019</w:t>
            </w:r>
          </w:p>
        </w:tc>
      </w:tr>
      <w:tr>
        <w:trPr>
          <w:trHeight w:val="243"/>
        </w:trPr>
        <w:tc>
          <w:tcPr>
            <w:tcW w:w="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w:t>
            </w:r>
          </w:p>
        </w:tc>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Secured Notes</w:t>
            </w:r>
          </w:p>
        </w:tc>
        <w:tc>
          <w:tcPr>
            <w:tcW w:w="2020" w:type="dxa"/>
            <w:vAlign w:val="bottom"/>
            <w:shd w:val="clear" w:color="auto" w:fill="E7E7E8"/>
          </w:tcPr>
          <w:p>
            <w:pPr>
              <w:jc w:val="center"/>
              <w:ind w:left="519"/>
              <w:spacing w:after="0"/>
              <w:rPr>
                <w:sz w:val="20"/>
                <w:szCs w:val="20"/>
                <w:color w:val="auto"/>
              </w:rPr>
            </w:pPr>
            <w:r>
              <w:rPr>
                <w:rFonts w:ascii="Arial" w:cs="Arial" w:eastAsia="Arial" w:hAnsi="Arial"/>
                <w:sz w:val="16"/>
                <w:szCs w:val="16"/>
                <w:color w:val="auto"/>
                <w:w w:val="99"/>
              </w:rPr>
              <w:t>7.875%</w:t>
            </w:r>
          </w:p>
        </w:tc>
        <w:tc>
          <w:tcPr>
            <w:tcW w:w="168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265,398</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264,576</w:t>
            </w:r>
          </w:p>
        </w:tc>
      </w:tr>
      <w:tr>
        <w:trPr>
          <w:trHeight w:val="233"/>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US ABL Facility</w:t>
            </w:r>
          </w:p>
        </w:tc>
        <w:tc>
          <w:tcPr>
            <w:tcW w:w="2020" w:type="dxa"/>
            <w:vAlign w:val="bottom"/>
          </w:tcPr>
          <w:p>
            <w:pPr>
              <w:jc w:val="center"/>
              <w:ind w:left="539"/>
              <w:spacing w:after="0"/>
              <w:rPr>
                <w:sz w:val="20"/>
                <w:szCs w:val="20"/>
                <w:color w:val="auto"/>
              </w:rPr>
            </w:pPr>
            <w:r>
              <w:rPr>
                <w:rFonts w:ascii="Arial" w:cs="Arial" w:eastAsia="Arial" w:hAnsi="Arial"/>
                <w:sz w:val="16"/>
                <w:szCs w:val="16"/>
                <w:color w:val="auto"/>
                <w:w w:val="96"/>
              </w:rPr>
              <w:t>Varies</w:t>
            </w:r>
          </w:p>
        </w:tc>
        <w:tc>
          <w:tcPr>
            <w:tcW w:w="1680" w:type="dxa"/>
            <w:vAlign w:val="bottom"/>
          </w:tcPr>
          <w:p>
            <w:pPr>
              <w:jc w:val="center"/>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850,925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885,245</w:t>
            </w:r>
          </w:p>
        </w:tc>
      </w:tr>
      <w:tr>
        <w:trPr>
          <w:trHeight w:val="253"/>
        </w:trPr>
        <w:tc>
          <w:tcPr>
            <w:tcW w:w="304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2020" w:type="dxa"/>
            <w:vAlign w:val="bottom"/>
            <w:shd w:val="clear" w:color="auto" w:fill="E7E7E8"/>
          </w:tcPr>
          <w:p>
            <w:pPr>
              <w:jc w:val="center"/>
              <w:ind w:left="539"/>
              <w:spacing w:after="0"/>
              <w:rPr>
                <w:sz w:val="20"/>
                <w:szCs w:val="20"/>
                <w:color w:val="auto"/>
              </w:rPr>
            </w:pPr>
            <w:r>
              <w:rPr>
                <w:rFonts w:ascii="Arial" w:cs="Arial" w:eastAsia="Arial" w:hAnsi="Arial"/>
                <w:sz w:val="16"/>
                <w:szCs w:val="16"/>
                <w:color w:val="auto"/>
                <w:w w:val="96"/>
              </w:rPr>
              <w:t>Varies</w:t>
            </w:r>
          </w:p>
        </w:tc>
        <w:tc>
          <w:tcPr>
            <w:tcW w:w="168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E7E7E8"/>
          </w:tcPr>
          <w:p>
            <w:pPr>
              <w:spacing w:after="0"/>
              <w:rPr>
                <w:sz w:val="21"/>
                <w:szCs w:val="21"/>
                <w:color w:val="auto"/>
              </w:rPr>
            </w:pPr>
          </w:p>
        </w:tc>
        <w:tc>
          <w:tcPr>
            <w:tcW w:w="14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2640" w:type="dxa"/>
            <w:vAlign w:val="bottom"/>
          </w:tcPr>
          <w:p>
            <w:pPr>
              <w:ind w:left="40"/>
              <w:spacing w:after="0"/>
              <w:rPr>
                <w:sz w:val="20"/>
                <w:szCs w:val="20"/>
                <w:color w:val="auto"/>
              </w:rPr>
            </w:pPr>
            <w:r>
              <w:rPr>
                <w:rFonts w:ascii="Arial" w:cs="Arial" w:eastAsia="Arial" w:hAnsi="Arial"/>
                <w:sz w:val="16"/>
                <w:szCs w:val="16"/>
                <w:color w:val="auto"/>
              </w:rPr>
              <w:t>Secured Notes</w:t>
            </w:r>
          </w:p>
        </w:tc>
        <w:tc>
          <w:tcPr>
            <w:tcW w:w="2020" w:type="dxa"/>
            <w:vAlign w:val="bottom"/>
          </w:tcPr>
          <w:p>
            <w:pPr>
              <w:jc w:val="center"/>
              <w:ind w:left="519"/>
              <w:spacing w:after="0"/>
              <w:rPr>
                <w:sz w:val="20"/>
                <w:szCs w:val="20"/>
                <w:color w:val="auto"/>
              </w:rPr>
            </w:pPr>
            <w:r>
              <w:rPr>
                <w:rFonts w:ascii="Arial" w:cs="Arial" w:eastAsia="Arial" w:hAnsi="Arial"/>
                <w:sz w:val="16"/>
                <w:szCs w:val="16"/>
                <w:color w:val="auto"/>
                <w:w w:val="99"/>
              </w:rPr>
              <w:t>6.875%</w:t>
            </w:r>
          </w:p>
        </w:tc>
        <w:tc>
          <w:tcPr>
            <w:tcW w:w="1680" w:type="dxa"/>
            <w:vAlign w:val="bottom"/>
          </w:tcPr>
          <w:p>
            <w:pPr>
              <w:jc w:val="center"/>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483,643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482,768</w:t>
            </w:r>
          </w:p>
        </w:tc>
      </w:tr>
      <w:tr>
        <w:trPr>
          <w:trHeight w:val="253"/>
        </w:trPr>
        <w:tc>
          <w:tcPr>
            <w:tcW w:w="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2025</w:t>
            </w:r>
          </w:p>
        </w:tc>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Senior Notes</w:t>
            </w:r>
          </w:p>
        </w:tc>
        <w:tc>
          <w:tcPr>
            <w:tcW w:w="2020" w:type="dxa"/>
            <w:vAlign w:val="bottom"/>
            <w:shd w:val="clear" w:color="auto" w:fill="E7E7E8"/>
          </w:tcPr>
          <w:p>
            <w:pPr>
              <w:jc w:val="center"/>
              <w:ind w:left="519"/>
              <w:spacing w:after="0"/>
              <w:rPr>
                <w:sz w:val="20"/>
                <w:szCs w:val="20"/>
                <w:color w:val="auto"/>
              </w:rPr>
            </w:pPr>
            <w:r>
              <w:rPr>
                <w:rFonts w:ascii="Arial" w:cs="Arial" w:eastAsia="Arial" w:hAnsi="Arial"/>
                <w:sz w:val="16"/>
                <w:szCs w:val="16"/>
                <w:color w:val="auto"/>
                <w:w w:val="99"/>
              </w:rPr>
              <w:t>6.125%</w:t>
            </w:r>
          </w:p>
        </w:tc>
        <w:tc>
          <w:tcPr>
            <w:tcW w:w="168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2025</w:t>
            </w:r>
          </w:p>
        </w:tc>
        <w:tc>
          <w:tcPr>
            <w:tcW w:w="16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636,442</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27"/>
        </w:trPr>
        <w:tc>
          <w:tcPr>
            <w:tcW w:w="400" w:type="dxa"/>
            <w:vAlign w:val="bottom"/>
          </w:tcPr>
          <w:p>
            <w:pPr>
              <w:spacing w:after="0"/>
              <w:rPr>
                <w:sz w:val="19"/>
                <w:szCs w:val="19"/>
                <w:color w:val="auto"/>
              </w:rPr>
            </w:pPr>
          </w:p>
        </w:tc>
        <w:tc>
          <w:tcPr>
            <w:tcW w:w="264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02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2,236,408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1,632,589</w:t>
            </w:r>
          </w:p>
        </w:tc>
      </w:tr>
      <w:tr>
        <w:trPr>
          <w:trHeight w:val="253"/>
        </w:trPr>
        <w:tc>
          <w:tcPr>
            <w:tcW w:w="400" w:type="dxa"/>
            <w:vAlign w:val="bottom"/>
            <w:shd w:val="clear" w:color="auto" w:fill="E7E7E8"/>
          </w:tcPr>
          <w:p>
            <w:pPr>
              <w:spacing w:after="0"/>
              <w:rPr>
                <w:sz w:val="21"/>
                <w:szCs w:val="21"/>
                <w:color w:val="auto"/>
              </w:rPr>
            </w:pPr>
          </w:p>
        </w:tc>
        <w:tc>
          <w:tcPr>
            <w:tcW w:w="2640" w:type="dxa"/>
            <w:vAlign w:val="bottom"/>
            <w:shd w:val="clear" w:color="auto" w:fill="E7E7E8"/>
          </w:tcPr>
          <w:p>
            <w:pPr>
              <w:ind w:left="80"/>
              <w:spacing w:after="0"/>
              <w:rPr>
                <w:sz w:val="20"/>
                <w:szCs w:val="20"/>
                <w:color w:val="auto"/>
              </w:rPr>
            </w:pPr>
            <w:r>
              <w:rPr>
                <w:rFonts w:ascii="Arial" w:cs="Arial" w:eastAsia="Arial" w:hAnsi="Arial"/>
                <w:sz w:val="16"/>
                <w:szCs w:val="16"/>
                <w:color w:val="auto"/>
              </w:rPr>
              <w:t>Less: Current portion</w:t>
            </w:r>
          </w:p>
        </w:tc>
        <w:tc>
          <w:tcPr>
            <w:tcW w:w="2020" w:type="dxa"/>
            <w:vAlign w:val="bottom"/>
            <w:shd w:val="clear" w:color="auto" w:fill="E7E7E8"/>
          </w:tcPr>
          <w:p>
            <w:pPr>
              <w:spacing w:after="0"/>
              <w:rPr>
                <w:sz w:val="21"/>
                <w:szCs w:val="21"/>
                <w:color w:val="auto"/>
              </w:rPr>
            </w:pPr>
          </w:p>
        </w:tc>
        <w:tc>
          <w:tcPr>
            <w:tcW w:w="168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265,398</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r>
      <w:tr>
        <w:trPr>
          <w:trHeight w:val="230"/>
        </w:trPr>
        <w:tc>
          <w:tcPr>
            <w:tcW w:w="400" w:type="dxa"/>
            <w:vAlign w:val="bottom"/>
          </w:tcPr>
          <w:p>
            <w:pPr>
              <w:spacing w:after="0"/>
              <w:rPr>
                <w:sz w:val="20"/>
                <w:szCs w:val="20"/>
                <w:color w:val="auto"/>
              </w:rPr>
            </w:pPr>
          </w:p>
        </w:tc>
        <w:tc>
          <w:tcPr>
            <w:tcW w:w="264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202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1,971,010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1,632,589</w:t>
            </w:r>
          </w:p>
        </w:tc>
      </w:tr>
      <w:tr>
        <w:trPr>
          <w:trHeight w:val="27"/>
        </w:trPr>
        <w:tc>
          <w:tcPr>
            <w:tcW w:w="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r>
    </w:tbl>
    <w:p>
      <w:pPr>
        <w:spacing w:after="0" w:line="99" w:lineRule="exact"/>
        <w:rPr>
          <w:sz w:val="20"/>
          <w:szCs w:val="20"/>
          <w:color w:val="auto"/>
        </w:rPr>
      </w:pPr>
    </w:p>
    <w:p>
      <w:pPr>
        <w:jc w:val="both"/>
        <w:ind w:firstLine="8"/>
        <w:spacing w:after="0" w:line="219"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June 30, 2020 and December 31, 2019, the Company had no outstanding principal borrowings on the Canadian ABL Facility and $1.6 million and $2.1 million of related debt issuance costs, respectively. As there were no principal borrowings outstanding on the Canadian ABL Facility, the $1.6 million and $2.1 million of debt issuance costs related to that facility are included in other non-current assets on the condensed consolidated balance sheet as of June 30, 2020 and December 31, 2019, respectively.</w:t>
      </w:r>
    </w:p>
    <w:p>
      <w:pPr>
        <w:spacing w:after="0" w:line="6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6"/>
          <w:szCs w:val="16"/>
          <w:color w:val="auto"/>
        </w:rPr>
        <w:t>The Company is subject to various covenants and restrictions. The Company was in compliance with all covenants related to debt as of June 30, 2020 and December 31, 2019. Subsequent to June 30, 2020, and in connection with the Merger and related refinancing described in Note 2, the Company repaid the 2022 Secured Notes and the ABL Facility as described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as amended in July and August 2018, that provides a senior secured revolving credit facility that matures on May 29, 2022.</w:t>
      </w:r>
    </w:p>
    <w:p>
      <w:pPr>
        <w:spacing w:after="0" w:line="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ABL Facility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Borrowers,” and together with the US Borrowers, the “Borrowers”), and (iii) an accordion feature that permits the Borrowers to increase the lenders’ commitments in an aggregate amount not to exceed $375.0 million, subject to the satisfaction of customary conditions and lender approval, plus any voluntary prepayments that are accompanied by permanent commitment reductions under the ABL Facility.</w:t>
      </w:r>
    </w:p>
    <w:p>
      <w:pPr>
        <w:spacing w:after="0" w:line="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Borrowing availability under the ABL Facility is equal to the lesser of $1.425 billion and the applicable borrowing bases (the “Line Cap”). The borrowing bases are a function of, among other things, the value of the assets in the relevant collateral pool. At June 30, 2020, the Line Cap is $1.416 billion.</w:t>
      </w:r>
    </w:p>
    <w:p>
      <w:pPr>
        <w:spacing w:after="0" w:line="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obligations of the US Borrowers are unconditionally guaranteed by Holdings and each existing and subsequently acquired or organized direct or indirect wholly-owned US organized restricted subsidiary of Holdings, other than excluded subsidiaries (together with Holdings, the "US Guarantors"). The obligations of the Canadian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spacing w:after="0" w:line="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June 30, 2020, the weighted average interest rate for borrowings under the ABL Facility was 2.70%. The weighted average interest rate on the balance outstanding, as adjusted for the effects of the interest rate swap agreements was 4.03%. Refer to Note 15 for a more detailed discussion on interest rate management.</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June 30, 2020, the Borrowers had $540.5 million of available borrowing capacity under the ABL Facility, including $409.6 million under the US ABL Facility and $130.9 million under the Canadian ABL Facility. At December 31, 2019, the Borrowers had $509.1 million of available borrowing capacity under the ABL Facility, including $369.3 million under the US ABL Facility and $139.8 million under the Canadian ABL Facility.</w:t>
      </w:r>
    </w:p>
    <w:p>
      <w:pPr>
        <w:spacing w:after="0" w:line="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issued $10.4 million of standby letters of credit under the ABL Facility at June 30, 2020 and December 31, 2019. At June 30, 2020, letters of credit and guarantees carried fees of 2.625%.</w:t>
      </w:r>
    </w:p>
    <w:p>
      <w:pPr>
        <w:spacing w:after="0" w:line="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had $865.0 million and $903.0 million in outstanding principal under the ABL Facility at June 30, 2020 and December 31, 2019, respectively.</w:t>
      </w:r>
    </w:p>
    <w:p>
      <w:pPr>
        <w:spacing w:after="0" w:line="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Debt issuance costs and discounts of $14.1 million and $17.8 million are included in the carrying value of the US ABL Facility at June 30, 2020 and December 31, 2019, respectively.</w:t>
      </w:r>
    </w:p>
    <w:p>
      <w:pPr>
        <w:spacing w:after="0" w:line="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connection with the Merger and related financing transactions, on July 1, 2020, the Company entered into the New ABL Facility and repaid the ABL Facility as described in Note 2 – Acquisitions and Related Financings.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2022 Senior Secured Notes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June 30, 2020, WSII had $270.0 million aggregate principal amount of 7.875% senior secured notes due December 15, 2022 (the “2022 Secured Notes”).</w:t>
      </w:r>
    </w:p>
    <w:p>
      <w:pPr>
        <w:spacing w:after="0" w:line="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pertaining to the 2022 Secured Notes were $4.6 million and $5.4 million as of June 30, 2020 and December 31, 2019, respectively.</w:t>
      </w:r>
    </w:p>
    <w:p>
      <w:pPr>
        <w:spacing w:after="0" w:line="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Merger and related financing transactions, on July 1, 2020, the Company redeemed all of its 2022 Secured Notes and paid a make whole premium of $10.6 million which will be included in the loss from extinguishment expenses recorded in July 2020. The 2022 Secured Notes are classified as current at June 30, 2020 as the Company utilized cash in the escrow account classified as Restricted cash on the condensed consolidated balance sheet to repay these notes.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August 6, 2018, a finance subsidiary of WSII completed a private offering of $300.0 million in aggregate principal amount of its 6.875% senior secured notes due August 15, 2023 (the “Initial 2023 Secured Notes”). Interest is payable semi-annually on February 15 and August 15 of each year, beginning February 15, 2019.</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May 14, 2019, WSII completed a tack-on offering of $190.0 million in aggregate principal amount to the Initial 2023 Secured Notes (the "Tack-on Notes"). The Tack-on Notes were issued as additional securities under an original indenture. The Tack-On Notes and the Initial 2023 Secured Notes are treated as a single class of debt securities under the indenture (the "2023 Secured Notes") and together with the 2022 Secured Notes, the "Senior Secured Notes"). The Tack-On Notes have identical terms to the Initial 2023 Secured Notes, other than with respect to the issue date and issue price. WSII incurred a total of $3.0 million in debt issuance costs in connection with the tack-on offering, which were deferred and are being amortized through the August 15, 2023 maturity date. The Tack-on Notes were issued at a premium of $0.5 million which is being amortized through the August 15, 2023 maturity date.</w:t>
      </w:r>
    </w:p>
    <w:p>
      <w:pPr>
        <w:spacing w:after="0" w:line="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Unamortized debt issuance costs and discounts, net of premium, pertaining to the 2023 Secured Notes were $6.4 million and $7.2 million as of June 30, 2020 and December 31, 2019,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Prior to June 30, 2019, the Company held $200.0 million in aggregate principal amount of senior unsecured notes due November 15, 2023 (the “Unsecured Notes”). On June 19, 2019 (the "Redemption Date"), WSII used proceeds from the WillScot US ABL Facility to redeem all $200.0 million in aggregate outstanding principal amount of the Unsecured Notes at a redemption price of 102.0%, plus a make-whole premium of 1.126% and any accrued and unpaid interest to, but not including, the Redemption Date. The Company recorded a loss on extinguishment of $7.2 million during the second quarter of 2019, which included $6.2 million of make-whole premiums and $1.0 million related to the write-off of unamortized deferred financing fees.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Secured Notes</w:t>
      </w:r>
    </w:p>
    <w:p>
      <w:pPr>
        <w:spacing w:after="0" w:line="6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As more fully described in Note 2 – Acquisitions and Related Financing Transactions, on June 15, 2020, the Company, completed a private offering of $650.0 million in aggregate principal amount of its 6.125% senior secured notes due 2025. The Company recorded $13.6 million in deferred financing fees related to the 2025 secured notes.</w:t>
      </w:r>
    </w:p>
    <w:p>
      <w:pPr>
        <w:spacing w:after="0" w:line="4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2025 secured notes mature on June 15, 2025. They bear interest at a rate of 6.125% per annum. Interest is payable semi-annually on June 15 and December 15 of each year, beginning December 15, 2020.</w:t>
      </w: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1D2758"/>
        </w:rPr>
        <w:t>NOTE 10 –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Common Stock</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June 30, 2020, as contemplated by the Merger Agreement, and pursuant to the terms of an exercise notice delivered by Sapphire Holdings, an affiliate of TDR Capital, to WillScot, Sapphire Holdings exchanged each of its shares of common stock, par value $0.0001 per share, of Holdings, pursuant to that certain existing exchange agreement, between WillScot and Sapphire Holdings, for 1.3261 shares of newly issued Class A common stock (the “Sapphire Exchange”). As a result of the Sapphire Exchange, all issued and outstanding shares of WillScot’s Class B common stock, par value $0.0001 per share (the "Class B common stock"), were automatically canceled for no consideration and the existing exchange agreement was automatically terminated. As a result of the Sapphire Exchange, Holdings became a wholly-owned subsidiary of WillScot. Sapphire Holdings received 10,641,182 shares of Class A common stock in the Sapphire Exchange (the “Exchange Shares”).</w:t>
      </w:r>
    </w:p>
    <w:p>
      <w:pPr>
        <w:spacing w:after="0" w:line="1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Prior to the Sapphire Exchange, Sapphire Holdings ownership of Holdings was recorded as a non-controlling interest in the condensed consolidated financial statements. Effective as of June 30, 2020, due to the Sapphire Exchange,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6"/>
          <w:szCs w:val="16"/>
          <w:color w:val="auto"/>
        </w:rPr>
        <w:t>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condensed consolidated balance sheet.</w:t>
      </w:r>
    </w:p>
    <w:p>
      <w:pPr>
        <w:spacing w:after="0" w:line="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connection with the Sapphire Exchange, stock compensation vesting event described in Note 14 and the warrant exercises described below, the Company issued 12,414,378 shares of Class A common stock during the six months ended June 30, 2020.</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conjunction with the Merger on July 1, 2020, the Company issued 106,428,908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$0.0001 per share, of WillScot Mobile Mini. As of July 31, 2020, the Company had 227,721,220 shares of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Warrants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January 24, 2020, the Company delivered a notice (the “Redemption Notice”) to redeem all of its outstanding warrants to purchase the Company’s Class A common stock, which were issued under the warrant agreement, dated September 10, 2015, by and between Double Eagle and Continental Stock Transfer &amp; Trust Company, as warrant agent (the “Warrant Agreement”), as part of the units sold in Double Eagle's initial public offering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issued 398,305 shares of the Company's Class A common stock. After January 24, 2020 through February 24, 2020, 5,836,048 warrants were exercised on a cashless basis. An aggregate of 1,097,162 shares of the Company's Class A common stock was issued in connection with these exercises. Thereafter, the Company completed the redemption of 38,509 remaining warrants under the Redemption Notice for $0.01 per warrant.</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2020, the Company has 9,782,106 warrants each, exercisable for one share, with an exercise price of $15.50 and 17,561,700 warrants exercisable for one half share with an exercise price of $5.75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("AOCL"), net of tax, for the six months ended June 30, 2020 and 2019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Foreign Currency</w:t>
            </w:r>
          </w:p>
        </w:tc>
        <w:tc>
          <w:tcPr>
            <w:tcW w:w="10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Unrealized losses on</w:t>
            </w:r>
          </w:p>
        </w:tc>
        <w:tc>
          <w:tcPr>
            <w:tcW w:w="10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34"/>
        </w:trPr>
        <w:tc>
          <w:tcPr>
            <w:tcW w:w="59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319"/>
              <w:spacing w:after="0"/>
              <w:rPr>
                <w:sz w:val="20"/>
                <w:szCs w:val="20"/>
                <w:color w:val="auto"/>
              </w:rPr>
            </w:pPr>
            <w:r>
              <w:rPr>
                <w:rFonts w:ascii="Arial" w:cs="Arial" w:eastAsia="Arial" w:hAnsi="Arial"/>
                <w:sz w:val="16"/>
                <w:szCs w:val="16"/>
                <w:b w:val="1"/>
                <w:bCs w:val="1"/>
                <w:color w:val="FFFFFF"/>
              </w:rPr>
              <w:t>Translation</w:t>
            </w:r>
          </w:p>
        </w:tc>
        <w:tc>
          <w:tcPr>
            <w:tcW w:w="10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hedging activities</w:t>
            </w:r>
          </w:p>
        </w:tc>
        <w:tc>
          <w:tcPr>
            <w:tcW w:w="100" w:type="dxa"/>
            <w:vAlign w:val="bottom"/>
            <w:shd w:val="clear" w:color="auto" w:fill="1D2758"/>
          </w:tcPr>
          <w:p>
            <w:pPr>
              <w:spacing w:after="0"/>
              <w:rPr>
                <w:sz w:val="20"/>
                <w:szCs w:val="20"/>
                <w:color w:val="auto"/>
              </w:rPr>
            </w:pPr>
          </w:p>
        </w:tc>
        <w:tc>
          <w:tcPr>
            <w:tcW w:w="3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2019</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(52,982)</w:t>
            </w:r>
          </w:p>
        </w:tc>
        <w:tc>
          <w:tcPr>
            <w:tcW w:w="24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(9,793)</w:t>
            </w:r>
          </w:p>
        </w:tc>
        <w:tc>
          <w:tcPr>
            <w:tcW w:w="48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(62,775)</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Total other comprehensive loss prior to reclassifications</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(10,330)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(31,474)</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1,572</w:t>
            </w:r>
          </w:p>
        </w:tc>
      </w:tr>
      <w:tr>
        <w:trPr>
          <w:trHeight w:val="236"/>
        </w:trPr>
        <w:tc>
          <w:tcPr>
            <w:tcW w:w="59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2,703</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2020</w:t>
            </w:r>
          </w:p>
        </w:tc>
        <w:tc>
          <w:tcPr>
            <w:tcW w:w="14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(72,213)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(17,761)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(89,974)</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7,982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6,340</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2,617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2,617</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(818)</w:t>
            </w:r>
          </w:p>
        </w:tc>
      </w:tr>
      <w:tr>
        <w:trPr>
          <w:trHeight w:val="228"/>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Impact of elimination of non-controlling interest on accumulated other</w:t>
            </w:r>
          </w:p>
        </w:tc>
        <w:tc>
          <w:tcPr>
            <w:tcW w:w="140" w:type="dxa"/>
            <w:vAlign w:val="bottom"/>
            <w:shd w:val="clear" w:color="auto" w:fill="DDDDDD"/>
          </w:tcPr>
          <w:p>
            <w:pPr>
              <w:spacing w:after="0"/>
              <w:rPr>
                <w:sz w:val="19"/>
                <w:szCs w:val="19"/>
                <w:color w:val="auto"/>
              </w:rPr>
            </w:pPr>
          </w:p>
        </w:tc>
        <w:tc>
          <w:tcPr>
            <w:tcW w:w="1540" w:type="dxa"/>
            <w:vAlign w:val="bottom"/>
            <w:shd w:val="clear" w:color="auto" w:fill="DDDDDD"/>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60" w:type="dxa"/>
            <w:vAlign w:val="bottom"/>
            <w:shd w:val="clear" w:color="auto" w:fill="DDDDDD"/>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r>
      <w:tr>
        <w:trPr>
          <w:trHeight w:val="214"/>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DDDDDD"/>
          </w:tcPr>
          <w:p>
            <w:pPr>
              <w:spacing w:after="0"/>
              <w:rPr>
                <w:sz w:val="18"/>
                <w:szCs w:val="18"/>
                <w:color w:val="auto"/>
              </w:rPr>
            </w:pPr>
          </w:p>
        </w:tc>
        <w:tc>
          <w:tcPr>
            <w:tcW w:w="154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5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13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6"/>
                <w:szCs w:val="16"/>
                <w:color w:val="auto"/>
              </w:rPr>
              <w:t>(2,972)</w:t>
            </w:r>
          </w:p>
        </w:tc>
      </w:tr>
      <w:tr>
        <w:trPr>
          <w:trHeight w:val="230"/>
        </w:trPr>
        <w:tc>
          <w:tcPr>
            <w:tcW w:w="5960" w:type="dxa"/>
            <w:vAlign w:val="bottom"/>
          </w:tcPr>
          <w:p>
            <w:pPr>
              <w:ind w:left="20"/>
              <w:spacing w:after="0"/>
              <w:rPr>
                <w:sz w:val="20"/>
                <w:szCs w:val="20"/>
                <w:color w:val="auto"/>
              </w:rPr>
            </w:pPr>
            <w:r>
              <w:rPr>
                <w:rFonts w:ascii="Arial" w:cs="Arial" w:eastAsia="Arial" w:hAnsi="Arial"/>
                <w:sz w:val="16"/>
                <w:szCs w:val="16"/>
                <w:color w:val="auto"/>
              </w:rPr>
              <w:t>Balance at June 30,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(66,260)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(18,547)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(84,807)</w:t>
            </w:r>
          </w:p>
        </w:tc>
      </w:tr>
      <w:tr>
        <w:trPr>
          <w:trHeight w:val="27"/>
        </w:trPr>
        <w:tc>
          <w:tcPr>
            <w:tcW w:w="59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6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34"/>
        </w:trPr>
        <w:tc>
          <w:tcPr>
            <w:tcW w:w="59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w w:val="99"/>
              </w:rPr>
              <w:t>Translation</w:t>
            </w:r>
          </w:p>
        </w:tc>
        <w:tc>
          <w:tcPr>
            <w:tcW w:w="140" w:type="dxa"/>
            <w:vAlign w:val="bottom"/>
            <w:shd w:val="clear" w:color="auto" w:fill="1D2758"/>
          </w:tcPr>
          <w:p>
            <w:pPr>
              <w:spacing w:after="0"/>
              <w:rPr>
                <w:sz w:val="20"/>
                <w:szCs w:val="20"/>
                <w:color w:val="auto"/>
              </w:rPr>
            </w:pPr>
          </w:p>
        </w:tc>
        <w:tc>
          <w:tcPr>
            <w:tcW w:w="166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(62,608)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(5,418)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(68,026)</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1,479</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to statements of operations</w:t>
            </w:r>
          </w:p>
        </w:tc>
        <w:tc>
          <w:tcPr>
            <w:tcW w:w="140" w:type="dxa"/>
            <w:vAlign w:val="bottom"/>
            <w:shd w:val="clear" w:color="auto" w:fill="E7E7E8"/>
          </w:tcPr>
          <w:p>
            <w:pPr>
              <w:spacing w:after="0"/>
              <w:rPr>
                <w:sz w:val="21"/>
                <w:szCs w:val="21"/>
                <w:color w:val="auto"/>
              </w:rPr>
            </w:pPr>
          </w:p>
        </w:tc>
        <w:tc>
          <w:tcPr>
            <w:tcW w:w="16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435</w:t>
            </w:r>
          </w:p>
        </w:tc>
      </w:tr>
      <w:tr>
        <w:trPr>
          <w:trHeight w:val="218"/>
        </w:trPr>
        <w:tc>
          <w:tcPr>
            <w:tcW w:w="5960" w:type="dxa"/>
            <w:vAlign w:val="bottom"/>
          </w:tcPr>
          <w:p>
            <w:pPr>
              <w:ind w:left="220"/>
              <w:spacing w:after="0"/>
              <w:rPr>
                <w:sz w:val="20"/>
                <w:szCs w:val="20"/>
                <w:color w:val="auto"/>
              </w:rPr>
            </w:pPr>
            <w:r>
              <w:rPr>
                <w:rFonts w:ascii="Arial" w:cs="Arial" w:eastAsia="Arial" w:hAnsi="Arial"/>
                <w:sz w:val="16"/>
                <w:szCs w:val="16"/>
                <w:color w:val="auto"/>
              </w:rPr>
              <w:t>Less other comprehensive loss (income) attributable to non-controlling</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8"/>
        </w:trPr>
        <w:tc>
          <w:tcPr>
            <w:tcW w:w="59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2019</w:t>
            </w:r>
          </w:p>
        </w:tc>
        <w:tc>
          <w:tcPr>
            <w:tcW w:w="14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(58,857)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(7,421)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(66,278)</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4,321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Reclassifications from AOCI to income</w:t>
            </w:r>
          </w:p>
        </w:tc>
        <w:tc>
          <w:tcPr>
            <w:tcW w:w="140" w:type="dxa"/>
            <w:vAlign w:val="bottom"/>
            <w:shd w:val="clear" w:color="auto" w:fill="E7E7E8"/>
          </w:tcPr>
          <w:p>
            <w:pPr>
              <w:spacing w:after="0"/>
              <w:rPr>
                <w:sz w:val="21"/>
                <w:szCs w:val="21"/>
                <w:color w:val="auto"/>
              </w:rPr>
            </w:pPr>
          </w:p>
        </w:tc>
        <w:tc>
          <w:tcPr>
            <w:tcW w:w="16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613</w:t>
            </w:r>
          </w:p>
        </w:tc>
      </w:tr>
      <w:tr>
        <w:trPr>
          <w:trHeight w:val="218"/>
        </w:trPr>
        <w:tc>
          <w:tcPr>
            <w:tcW w:w="5960" w:type="dxa"/>
            <w:vAlign w:val="bottom"/>
          </w:tcPr>
          <w:p>
            <w:pPr>
              <w:ind w:left="220"/>
              <w:spacing w:after="0"/>
              <w:rPr>
                <w:sz w:val="20"/>
                <w:szCs w:val="20"/>
                <w:color w:val="auto"/>
              </w:rPr>
            </w:pPr>
            <w:r>
              <w:rPr>
                <w:rFonts w:ascii="Arial" w:cs="Arial" w:eastAsia="Arial" w:hAnsi="Arial"/>
                <w:sz w:val="16"/>
                <w:szCs w:val="16"/>
                <w:color w:val="auto"/>
              </w:rPr>
              <w:t>Less other comprehensive loss (income) attributable to non-controlling</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8"/>
        </w:trPr>
        <w:tc>
          <w:tcPr>
            <w:tcW w:w="596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261"/>
        </w:trPr>
        <w:tc>
          <w:tcPr>
            <w:tcW w:w="596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Balance at June 30, 2019</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(54,933)</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(10,957)</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(65,890)</w:t>
            </w:r>
          </w:p>
        </w:tc>
      </w:tr>
      <w:tr>
        <w:trPr>
          <w:trHeight w:val="20"/>
        </w:trPr>
        <w:tc>
          <w:tcPr>
            <w:tcW w:w="59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jc w:val="both"/>
        <w:ind w:right="400" w:firstLine="648"/>
        <w:spacing w:after="0" w:line="251" w:lineRule="auto"/>
        <w:rPr>
          <w:sz w:val="20"/>
          <w:szCs w:val="20"/>
          <w:color w:val="auto"/>
        </w:rPr>
      </w:pPr>
      <w:r>
        <w:rPr>
          <w:rFonts w:ascii="Arial" w:cs="Arial" w:eastAsia="Arial" w:hAnsi="Arial"/>
          <w:sz w:val="16"/>
          <w:szCs w:val="16"/>
          <w:color w:val="auto"/>
        </w:rPr>
        <w:t>For the six months ended June 30, 2020 and 2019, $4.2 million and $1.2 million, respectively, was reclassified from AOCL into the condensed consolidated statement of operations within interest expense related to the interest rate swaps discussed in Note 15. The Company did not record a tax benefit for the three and six months ended June 30, 2020, associated with this reclassification. For the three and six months ended June 30, 2019, the Company recorded a tax benefit of $1.2 million and $1.9 million, respectively, associated with this reclassification.</w:t>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1D2758"/>
        </w:rPr>
        <w:t>NOTE 11 – Income Taxes</w:t>
      </w:r>
    </w:p>
    <w:p>
      <w:pPr>
        <w:spacing w:after="0" w:line="4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 recorded $(0.3) million and $0.5 million of income tax (benefit) expense for the three and six months ended June 30, 2020, respectively and $(1.2) million and $(0.8) million for the three and six months ended June 30, 2019 respectively.</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effective tax rate for the three and six months ended June 30, 2020 was (2.3)%, and 5.2%, respectively, and 9.4% and 3.6% for the same periods in 2019. The income tax (benefit) expense for the three and six months ended June 30, 2020 is primarily a result of the benefit from reversal of valuation allowance due to pre-tax income offset by net increase in expense for certain discrete items recorded in the respective quarters, mainly driven by legislative enactments. The income tax benefit for the three and six months ended June 30, 2019 is primarily from discrete items recorded in the respective quarters, including state legislative enactments and uncertain tax position reversals.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spacing w:after="0"/>
        <w:rPr>
          <w:sz w:val="20"/>
          <w:szCs w:val="20"/>
          <w:color w:val="auto"/>
        </w:rPr>
      </w:pPr>
      <w:r>
        <w:rPr>
          <w:rFonts w:ascii="Arial" w:cs="Arial" w:eastAsia="Arial" w:hAnsi="Arial"/>
          <w:sz w:val="23"/>
          <w:szCs w:val="23"/>
          <w:color w:val="1D2758"/>
        </w:rPr>
        <w:t>NOTE 12 - Fair Value Measures</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5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5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5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assessed that the fair value of cash and cash equivalents, restricted cash, trade receivables, trade payables, and other current liabilities approximate their carrying amounts.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0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900" w:type="dxa"/>
            <w:vAlign w:val="bottom"/>
            <w:shd w:val="clear" w:color="auto" w:fill="1D2758"/>
          </w:tcPr>
          <w:p>
            <w:pPr>
              <w:spacing w:after="0"/>
              <w:rPr>
                <w:sz w:val="20"/>
                <w:szCs w:val="20"/>
                <w:color w:val="auto"/>
              </w:rPr>
            </w:pPr>
          </w:p>
        </w:tc>
        <w:tc>
          <w:tcPr>
            <w:tcW w:w="24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June 30, 2020</w:t>
            </w:r>
          </w:p>
        </w:tc>
        <w:tc>
          <w:tcPr>
            <w:tcW w:w="200" w:type="dxa"/>
            <w:vAlign w:val="bottom"/>
            <w:shd w:val="clear" w:color="auto" w:fill="1D2758"/>
          </w:tcPr>
          <w:p>
            <w:pPr>
              <w:spacing w:after="0"/>
              <w:rPr>
                <w:sz w:val="20"/>
                <w:szCs w:val="20"/>
                <w:color w:val="auto"/>
              </w:rPr>
            </w:pPr>
          </w:p>
        </w:tc>
        <w:tc>
          <w:tcPr>
            <w:tcW w:w="700" w:type="dxa"/>
            <w:vAlign w:val="bottom"/>
            <w:shd w:val="clear" w:color="auto" w:fill="1D2758"/>
          </w:tcPr>
          <w:p>
            <w:pPr>
              <w:spacing w:after="0"/>
              <w:rPr>
                <w:sz w:val="20"/>
                <w:szCs w:val="20"/>
                <w:color w:val="auto"/>
              </w:rPr>
            </w:pPr>
          </w:p>
        </w:tc>
        <w:tc>
          <w:tcPr>
            <w:tcW w:w="260" w:type="dxa"/>
            <w:vAlign w:val="bottom"/>
            <w:shd w:val="clear" w:color="auto" w:fill="1D2758"/>
          </w:tcPr>
          <w:p>
            <w:pPr>
              <w:spacing w:after="0"/>
              <w:rPr>
                <w:sz w:val="20"/>
                <w:szCs w:val="20"/>
                <w:color w:val="auto"/>
              </w:rPr>
            </w:pPr>
          </w:p>
        </w:tc>
        <w:tc>
          <w:tcPr>
            <w:tcW w:w="980" w:type="dxa"/>
            <w:vAlign w:val="bottom"/>
            <w:shd w:val="clear" w:color="auto" w:fill="1D2758"/>
          </w:tcPr>
          <w:p>
            <w:pPr>
              <w:spacing w:after="0"/>
              <w:rPr>
                <w:sz w:val="20"/>
                <w:szCs w:val="20"/>
                <w:color w:val="auto"/>
              </w:rPr>
            </w:pPr>
          </w:p>
        </w:tc>
        <w:tc>
          <w:tcPr>
            <w:tcW w:w="24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ind w:left="60"/>
              <w:spacing w:after="0"/>
              <w:rPr>
                <w:sz w:val="20"/>
                <w:szCs w:val="20"/>
                <w:color w:val="auto"/>
              </w:rPr>
            </w:pPr>
            <w:r>
              <w:rPr>
                <w:rFonts w:ascii="Arial" w:cs="Arial" w:eastAsia="Arial" w:hAnsi="Arial"/>
                <w:sz w:val="16"/>
                <w:szCs w:val="16"/>
                <w:b w:val="1"/>
                <w:bCs w:val="1"/>
                <w:color w:val="FFFFFF"/>
              </w:rPr>
              <w:t>December 31, 2019</w:t>
            </w:r>
          </w:p>
        </w:tc>
        <w:tc>
          <w:tcPr>
            <w:tcW w:w="240" w:type="dxa"/>
            <w:vAlign w:val="bottom"/>
            <w:shd w:val="clear" w:color="auto" w:fill="1D2758"/>
          </w:tcPr>
          <w:p>
            <w:pPr>
              <w:spacing w:after="0"/>
              <w:rPr>
                <w:sz w:val="20"/>
                <w:szCs w:val="20"/>
                <w:color w:val="auto"/>
              </w:rPr>
            </w:pPr>
          </w:p>
        </w:tc>
        <w:tc>
          <w:tcPr>
            <w:tcW w:w="84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00" w:type="dxa"/>
            <w:vAlign w:val="bottom"/>
            <w:vMerge w:val="restart"/>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1D2758"/>
          </w:tcPr>
          <w:p>
            <w:pPr>
              <w:spacing w:after="0"/>
              <w:rPr>
                <w:sz w:val="18"/>
                <w:szCs w:val="18"/>
                <w:color w:val="auto"/>
              </w:rPr>
            </w:pPr>
          </w:p>
        </w:tc>
        <w:tc>
          <w:tcPr>
            <w:tcW w:w="7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w w:val="99"/>
              </w:rPr>
              <w:t>Fair Value</w:t>
            </w:r>
          </w:p>
        </w:tc>
        <w:tc>
          <w:tcPr>
            <w:tcW w:w="200" w:type="dxa"/>
            <w:vAlign w:val="bottom"/>
            <w:shd w:val="clear" w:color="auto" w:fill="1D2758"/>
          </w:tcPr>
          <w:p>
            <w:pPr>
              <w:spacing w:after="0"/>
              <w:rPr>
                <w:sz w:val="18"/>
                <w:szCs w:val="18"/>
                <w:color w:val="auto"/>
              </w:rPr>
            </w:pPr>
          </w:p>
        </w:tc>
        <w:tc>
          <w:tcPr>
            <w:tcW w:w="7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vMerge w:val="restart"/>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1D2758"/>
          </w:tcPr>
          <w:p>
            <w:pPr>
              <w:spacing w:after="0"/>
              <w:rPr>
                <w:sz w:val="18"/>
                <w:szCs w:val="18"/>
                <w:color w:val="auto"/>
              </w:rPr>
            </w:pPr>
          </w:p>
        </w:tc>
        <w:tc>
          <w:tcPr>
            <w:tcW w:w="76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40" w:type="dxa"/>
            <w:vAlign w:val="bottom"/>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Fair Value</w:t>
            </w:r>
          </w:p>
        </w:tc>
        <w:tc>
          <w:tcPr>
            <w:tcW w:w="24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6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8"/>
                <w:szCs w:val="8"/>
                <w:color w:val="auto"/>
              </w:rPr>
            </w:pPr>
          </w:p>
        </w:tc>
        <w:tc>
          <w:tcPr>
            <w:tcW w:w="90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780" w:type="dxa"/>
            <w:vAlign w:val="bottom"/>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Level 1</w:t>
            </w:r>
          </w:p>
        </w:tc>
        <w:tc>
          <w:tcPr>
            <w:tcW w:w="180" w:type="dxa"/>
            <w:vAlign w:val="bottom"/>
            <w:shd w:val="clear" w:color="auto" w:fill="1D2758"/>
          </w:tcPr>
          <w:p>
            <w:pPr>
              <w:spacing w:after="0"/>
              <w:rPr>
                <w:sz w:val="8"/>
                <w:szCs w:val="8"/>
                <w:color w:val="auto"/>
              </w:rPr>
            </w:pPr>
          </w:p>
        </w:tc>
        <w:tc>
          <w:tcPr>
            <w:tcW w:w="960" w:type="dxa"/>
            <w:vAlign w:val="bottom"/>
            <w:vMerge w:val="restart"/>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1D2758"/>
          </w:tcPr>
          <w:p>
            <w:pPr>
              <w:spacing w:after="0"/>
              <w:rPr>
                <w:sz w:val="8"/>
                <w:szCs w:val="8"/>
                <w:color w:val="auto"/>
              </w:rPr>
            </w:pPr>
          </w:p>
        </w:tc>
        <w:tc>
          <w:tcPr>
            <w:tcW w:w="700" w:type="dxa"/>
            <w:vAlign w:val="bottom"/>
            <w:vMerge w:val="restart"/>
            <w:shd w:val="clear" w:color="auto" w:fill="1D2758"/>
          </w:tcPr>
          <w:p>
            <w:pPr>
              <w:ind w:left="40"/>
              <w:spacing w:after="0"/>
              <w:rPr>
                <w:sz w:val="20"/>
                <w:szCs w:val="20"/>
                <w:color w:val="auto"/>
              </w:rPr>
            </w:pPr>
            <w:r>
              <w:rPr>
                <w:rFonts w:ascii="Arial" w:cs="Arial" w:eastAsia="Arial" w:hAnsi="Arial"/>
                <w:sz w:val="16"/>
                <w:szCs w:val="16"/>
                <w:b w:val="1"/>
                <w:bCs w:val="1"/>
                <w:color w:val="FFFFFF"/>
              </w:rPr>
              <w:t>Level 3</w:t>
            </w:r>
          </w:p>
        </w:tc>
        <w:tc>
          <w:tcPr>
            <w:tcW w:w="260" w:type="dxa"/>
            <w:vAlign w:val="bottom"/>
            <w:shd w:val="clear" w:color="auto" w:fill="1D2758"/>
          </w:tcPr>
          <w:p>
            <w:pPr>
              <w:spacing w:after="0"/>
              <w:rPr>
                <w:sz w:val="8"/>
                <w:szCs w:val="8"/>
                <w:color w:val="auto"/>
              </w:rPr>
            </w:pPr>
          </w:p>
        </w:tc>
        <w:tc>
          <w:tcPr>
            <w:tcW w:w="98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760" w:type="dxa"/>
            <w:vAlign w:val="bottom"/>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Level 1</w:t>
            </w:r>
          </w:p>
        </w:tc>
        <w:tc>
          <w:tcPr>
            <w:tcW w:w="220" w:type="dxa"/>
            <w:vAlign w:val="bottom"/>
            <w:shd w:val="clear" w:color="auto" w:fill="1D2758"/>
          </w:tcPr>
          <w:p>
            <w:pPr>
              <w:spacing w:after="0"/>
              <w:rPr>
                <w:sz w:val="8"/>
                <w:szCs w:val="8"/>
                <w:color w:val="auto"/>
              </w:rPr>
            </w:pPr>
          </w:p>
        </w:tc>
        <w:tc>
          <w:tcPr>
            <w:tcW w:w="940" w:type="dxa"/>
            <w:vAlign w:val="bottom"/>
            <w:vMerge w:val="restart"/>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Level 2</w:t>
            </w:r>
          </w:p>
        </w:tc>
        <w:tc>
          <w:tcPr>
            <w:tcW w:w="240" w:type="dxa"/>
            <w:vAlign w:val="bottom"/>
            <w:shd w:val="clear" w:color="auto" w:fill="1D2758"/>
          </w:tcPr>
          <w:p>
            <w:pPr>
              <w:spacing w:after="0"/>
              <w:rPr>
                <w:sz w:val="8"/>
                <w:szCs w:val="8"/>
                <w:color w:val="auto"/>
              </w:rPr>
            </w:pPr>
          </w:p>
        </w:tc>
        <w:tc>
          <w:tcPr>
            <w:tcW w:w="840" w:type="dxa"/>
            <w:vAlign w:val="bottom"/>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5"/>
        </w:trPr>
        <w:tc>
          <w:tcPr>
            <w:tcW w:w="260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00" w:type="dxa"/>
            <w:vAlign w:val="bottom"/>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1D2758"/>
          </w:tcPr>
          <w:p>
            <w:pPr>
              <w:spacing w:after="0"/>
              <w:rPr>
                <w:sz w:val="18"/>
                <w:szCs w:val="18"/>
                <w:color w:val="auto"/>
              </w:rPr>
            </w:pPr>
          </w:p>
        </w:tc>
        <w:tc>
          <w:tcPr>
            <w:tcW w:w="78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70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1D2758"/>
          </w:tcPr>
          <w:p>
            <w:pPr>
              <w:spacing w:after="0"/>
              <w:rPr>
                <w:sz w:val="18"/>
                <w:szCs w:val="18"/>
                <w:color w:val="auto"/>
              </w:rPr>
            </w:pPr>
          </w:p>
        </w:tc>
        <w:tc>
          <w:tcPr>
            <w:tcW w:w="76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4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8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60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90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78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700" w:type="dxa"/>
            <w:vAlign w:val="bottom"/>
            <w:shd w:val="clear" w:color="auto" w:fill="1D2758"/>
          </w:tcPr>
          <w:p>
            <w:pPr>
              <w:spacing w:after="0"/>
              <w:rPr>
                <w:sz w:val="8"/>
                <w:szCs w:val="8"/>
                <w:color w:val="auto"/>
              </w:rPr>
            </w:pPr>
          </w:p>
        </w:tc>
        <w:tc>
          <w:tcPr>
            <w:tcW w:w="260" w:type="dxa"/>
            <w:vAlign w:val="bottom"/>
            <w:shd w:val="clear" w:color="auto" w:fill="1D2758"/>
          </w:tcPr>
          <w:p>
            <w:pPr>
              <w:spacing w:after="0"/>
              <w:rPr>
                <w:sz w:val="8"/>
                <w:szCs w:val="8"/>
                <w:color w:val="auto"/>
              </w:rPr>
            </w:pPr>
          </w:p>
        </w:tc>
        <w:tc>
          <w:tcPr>
            <w:tcW w:w="98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76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94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84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850,925</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865,000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885,245</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903,000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00" w:type="dxa"/>
            <w:vAlign w:val="bottom"/>
          </w:tcPr>
          <w:p>
            <w:pPr>
              <w:ind w:left="20"/>
              <w:spacing w:after="0"/>
              <w:rPr>
                <w:sz w:val="20"/>
                <w:szCs w:val="20"/>
                <w:color w:val="auto"/>
              </w:rPr>
            </w:pPr>
            <w:r>
              <w:rPr>
                <w:rFonts w:ascii="Arial" w:cs="Arial" w:eastAsia="Arial" w:hAnsi="Arial"/>
                <w:sz w:val="16"/>
                <w:szCs w:val="16"/>
                <w:color w:val="auto"/>
              </w:rPr>
              <w:t>Canadian ABL Facility</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80" w:type="dxa"/>
            <w:vAlign w:val="bottom"/>
            <w:shd w:val="clear" w:color="auto" w:fill="E7E7E8"/>
          </w:tcPr>
          <w:p>
            <w:pPr>
              <w:spacing w:after="0"/>
              <w:rPr>
                <w:sz w:val="21"/>
                <w:szCs w:val="21"/>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265,398</w:t>
            </w:r>
          </w:p>
        </w:tc>
        <w:tc>
          <w:tcPr>
            <w:tcW w:w="240" w:type="dxa"/>
            <w:vAlign w:val="bottom"/>
            <w:shd w:val="clear" w:color="auto" w:fill="E7E7E8"/>
          </w:tcPr>
          <w:p>
            <w:pPr>
              <w:spacing w:after="0"/>
              <w:rPr>
                <w:sz w:val="21"/>
                <w:szCs w:val="21"/>
                <w:color w:val="auto"/>
              </w:rPr>
            </w:pPr>
          </w:p>
        </w:tc>
        <w:tc>
          <w:tcPr>
            <w:tcW w:w="78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281,003</w:t>
            </w:r>
          </w:p>
        </w:tc>
        <w:tc>
          <w:tcPr>
            <w:tcW w:w="200" w:type="dxa"/>
            <w:vAlign w:val="bottom"/>
            <w:shd w:val="clear" w:color="auto" w:fill="E7E7E8"/>
          </w:tcPr>
          <w:p>
            <w:pPr>
              <w:spacing w:after="0"/>
              <w:rPr>
                <w:sz w:val="21"/>
                <w:szCs w:val="21"/>
                <w:color w:val="auto"/>
              </w:rPr>
            </w:pPr>
          </w:p>
        </w:tc>
        <w:tc>
          <w:tcPr>
            <w:tcW w:w="700" w:type="dxa"/>
            <w:vAlign w:val="bottom"/>
            <w:shd w:val="clear" w:color="auto" w:fill="E7E7E8"/>
          </w:tcPr>
          <w:p>
            <w:pPr>
              <w:ind w:lef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264,576</w:t>
            </w:r>
          </w:p>
        </w:tc>
        <w:tc>
          <w:tcPr>
            <w:tcW w:w="240" w:type="dxa"/>
            <w:vAlign w:val="bottom"/>
            <w:shd w:val="clear" w:color="auto" w:fill="E7E7E8"/>
          </w:tcPr>
          <w:p>
            <w:pPr>
              <w:spacing w:after="0"/>
              <w:rPr>
                <w:sz w:val="21"/>
                <w:szCs w:val="21"/>
                <w:color w:val="auto"/>
              </w:rPr>
            </w:pPr>
          </w:p>
        </w:tc>
        <w:tc>
          <w:tcPr>
            <w:tcW w:w="76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9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282,250</w:t>
            </w:r>
          </w:p>
        </w:tc>
        <w:tc>
          <w:tcPr>
            <w:tcW w:w="240" w:type="dxa"/>
            <w:vAlign w:val="bottom"/>
            <w:shd w:val="clear" w:color="auto" w:fill="E7E7E8"/>
          </w:tcPr>
          <w:p>
            <w:pPr>
              <w:spacing w:after="0"/>
              <w:rPr>
                <w:sz w:val="21"/>
                <w:szCs w:val="21"/>
                <w:color w:val="auto"/>
              </w:rPr>
            </w:pPr>
          </w:p>
        </w:tc>
        <w:tc>
          <w:tcPr>
            <w:tcW w:w="840" w:type="dxa"/>
            <w:vAlign w:val="bottom"/>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60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483,643</w:t>
            </w:r>
          </w:p>
        </w:tc>
        <w:tc>
          <w:tcPr>
            <w:tcW w:w="24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505,754</w:t>
            </w:r>
          </w:p>
        </w:tc>
        <w:tc>
          <w:tcPr>
            <w:tcW w:w="20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482,768</w:t>
            </w:r>
          </w:p>
        </w:tc>
        <w:tc>
          <w:tcPr>
            <w:tcW w:w="24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517,334</w:t>
            </w:r>
          </w:p>
        </w:tc>
        <w:tc>
          <w:tcPr>
            <w:tcW w:w="240" w:type="dxa"/>
            <w:vAlign w:val="bottom"/>
          </w:tcPr>
          <w:p>
            <w:pPr>
              <w:spacing w:after="0"/>
              <w:rPr>
                <w:sz w:val="20"/>
                <w:szCs w:val="20"/>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26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2025 Secured Notes</w:t>
            </w:r>
          </w:p>
        </w:tc>
        <w:tc>
          <w:tcPr>
            <w:tcW w:w="180" w:type="dxa"/>
            <w:vAlign w:val="bottom"/>
            <w:tcBorders>
              <w:bottom w:val="single" w:sz="8" w:color="auto"/>
            </w:tcBorders>
            <w:shd w:val="clear" w:color="auto" w:fill="E7E7E8"/>
          </w:tcPr>
          <w:p>
            <w:pPr>
              <w:spacing w:after="0"/>
              <w:rPr>
                <w:sz w:val="21"/>
                <w:szCs w:val="21"/>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636,442</w:t>
            </w:r>
          </w:p>
        </w:tc>
        <w:tc>
          <w:tcPr>
            <w:tcW w:w="240" w:type="dxa"/>
            <w:vAlign w:val="bottom"/>
            <w:tcBorders>
              <w:bottom w:val="single" w:sz="8" w:color="auto"/>
            </w:tcBorders>
            <w:shd w:val="clear" w:color="auto" w:fill="E7E7E8"/>
          </w:tcPr>
          <w:p>
            <w:pPr>
              <w:spacing w:after="0"/>
              <w:rPr>
                <w:sz w:val="21"/>
                <w:szCs w:val="21"/>
                <w:color w:val="auto"/>
              </w:rPr>
            </w:pPr>
          </w:p>
        </w:tc>
        <w:tc>
          <w:tcPr>
            <w:tcW w:w="780" w:type="dxa"/>
            <w:vAlign w:val="bottom"/>
            <w:tcBorders>
              <w:bottom w:val="single" w:sz="8" w:color="auto"/>
            </w:tcBorders>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spacing w:after="0"/>
              <w:rPr>
                <w:sz w:val="21"/>
                <w:szCs w:val="21"/>
                <w:color w:val="auto"/>
              </w:rPr>
            </w:pP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664,788</w:t>
            </w:r>
          </w:p>
        </w:tc>
        <w:tc>
          <w:tcPr>
            <w:tcW w:w="200" w:type="dxa"/>
            <w:vAlign w:val="bottom"/>
            <w:tcBorders>
              <w:bottom w:val="single" w:sz="8" w:color="auto"/>
            </w:tcBorders>
            <w:shd w:val="clear" w:color="auto" w:fill="E7E7E8"/>
          </w:tcPr>
          <w:p>
            <w:pPr>
              <w:spacing w:after="0"/>
              <w:rPr>
                <w:sz w:val="21"/>
                <w:szCs w:val="21"/>
                <w:color w:val="auto"/>
              </w:rPr>
            </w:pPr>
          </w:p>
        </w:tc>
        <w:tc>
          <w:tcPr>
            <w:tcW w:w="700" w:type="dxa"/>
            <w:vAlign w:val="bottom"/>
            <w:tcBorders>
              <w:bottom w:val="single" w:sz="8" w:color="auto"/>
            </w:tcBorders>
            <w:shd w:val="clear" w:color="auto" w:fill="E7E7E8"/>
          </w:tcPr>
          <w:p>
            <w:pPr>
              <w:ind w:left="4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7E7E8"/>
          </w:tcPr>
          <w:p>
            <w:pPr>
              <w:spacing w:after="0"/>
              <w:rPr>
                <w:sz w:val="21"/>
                <w:szCs w:val="21"/>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7E7E8"/>
          </w:tcPr>
          <w:p>
            <w:pPr>
              <w:spacing w:after="0"/>
              <w:rPr>
                <w:sz w:val="21"/>
                <w:szCs w:val="21"/>
                <w:color w:val="auto"/>
              </w:rPr>
            </w:pPr>
          </w:p>
        </w:tc>
        <w:tc>
          <w:tcPr>
            <w:tcW w:w="760" w:type="dxa"/>
            <w:vAlign w:val="bottom"/>
            <w:tcBorders>
              <w:bottom w:val="single" w:sz="8" w:color="auto"/>
            </w:tcBorders>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spacing w:after="0"/>
              <w:rPr>
                <w:sz w:val="21"/>
                <w:szCs w:val="21"/>
                <w:color w:val="auto"/>
              </w:rPr>
            </w:pPr>
          </w:p>
        </w:tc>
        <w:tc>
          <w:tcPr>
            <w:tcW w:w="9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7E7E8"/>
          </w:tcPr>
          <w:p>
            <w:pPr>
              <w:spacing w:after="0"/>
              <w:rPr>
                <w:sz w:val="21"/>
                <w:szCs w:val="21"/>
                <w:color w:val="auto"/>
              </w:rPr>
            </w:pPr>
          </w:p>
        </w:tc>
        <w:tc>
          <w:tcPr>
            <w:tcW w:w="840" w:type="dxa"/>
            <w:vAlign w:val="bottom"/>
            <w:tcBorders>
              <w:bottom w:val="single" w:sz="8" w:color="auto"/>
            </w:tcBorders>
            <w:shd w:val="clear" w:color="auto" w:fill="E7E7E8"/>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2,236,408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2,316,545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1,632,589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1,702,584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carrying value of the US ABL Facility, the 2022 Secured Notes, the 2023 Secured Notes, and the 2025 Secured Notes includes $14.1 million, $4.6 million, $6.4 million, and $13.6 million, respectively, of unamortized debt issuance costs as of June 30, 2020, which are presented as a direct reduction of the corresponding liability. The carrying value of the US ABL Facility, the 2022 Secured Notes and the 2023 Secured Notes includes $17.8 million, $5.4 million and $7.2 million, respectively, of unamortized debt issuance costs as of December 31, 2019, which are presented as a direct reduction of the corresponding liability.</w:t>
      </w:r>
    </w:p>
    <w:p>
      <w:pPr>
        <w:spacing w:after="0" w:line="4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carrying value of the US and Canadian ABL Facilities, excluding debt issuance costs, approximates fair value as the interest rates are variable and reflective of market rates. The fair value of the 2022 Secured Notes, the 2023 Secured Notes, and the 2025 Secured Notes is based on their last trading price at the end of each period obtained from a third party. The location and the fair value of derivative assets and liabilities designated as hedges in the condensed consolidated balance sheet are disclosed in Note 15.</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1D2758"/>
        </w:rPr>
        <w:t>NOTE 13 - Restructuring</w:t>
      </w:r>
    </w:p>
    <w:p>
      <w:pPr>
        <w:spacing w:after="0" w:line="5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FASB ASC Topic 420, </w:t>
      </w:r>
      <w:r>
        <w:rPr>
          <w:rFonts w:ascii="Arial" w:cs="Arial" w:eastAsia="Arial" w:hAnsi="Arial"/>
          <w:sz w:val="16"/>
          <w:szCs w:val="16"/>
          <w:i w:val="1"/>
          <w:iCs w:val="1"/>
          <w:color w:val="auto"/>
        </w:rPr>
        <w:t xml:space="preserve">Exit or Disposal Cost Obligations </w:t>
      </w:r>
      <w:r>
        <w:rPr>
          <w:rFonts w:ascii="Arial" w:cs="Arial" w:eastAsia="Arial" w:hAnsi="Arial"/>
          <w:sz w:val="16"/>
          <w:szCs w:val="16"/>
          <w:color w:val="auto"/>
        </w:rPr>
        <w:t>(“ASC 420”). The Company's restructuring plans are generally country or region specific and are typically completed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 one year period. Restructuring costs incurred under these plans include (i) one-time termination benefits related to employee separations, (ii) contract termination costs, and (iii) non lease costs for consolidating or closing facilities.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activity in the Company’s restructuring accruals for the three and six months ended June 30, 2020 and 2019:</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5"/>
        </w:trPr>
        <w:tc>
          <w:tcPr>
            <w:tcW w:w="330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96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40" w:type="dxa"/>
            <w:vAlign w:val="bottom"/>
            <w:shd w:val="clear" w:color="auto" w:fill="1D2758"/>
          </w:tcPr>
          <w:p>
            <w:pPr>
              <w:spacing w:after="0"/>
              <w:rPr>
                <w:sz w:val="20"/>
                <w:szCs w:val="20"/>
                <w:color w:val="auto"/>
              </w:rPr>
            </w:pPr>
          </w:p>
        </w:tc>
        <w:tc>
          <w:tcPr>
            <w:tcW w:w="2560" w:type="dxa"/>
            <w:vAlign w:val="bottom"/>
            <w:gridSpan w:val="9"/>
            <w:shd w:val="clear" w:color="auto" w:fill="1D2758"/>
          </w:tcPr>
          <w:p>
            <w:pPr>
              <w:ind w:left="40"/>
              <w:spacing w:after="0"/>
              <w:rPr>
                <w:sz w:val="20"/>
                <w:szCs w:val="20"/>
                <w:color w:val="auto"/>
              </w:rPr>
            </w:pPr>
            <w:r>
              <w:rPr>
                <w:rFonts w:ascii="Arial" w:cs="Arial" w:eastAsia="Arial" w:hAnsi="Arial"/>
                <w:sz w:val="16"/>
                <w:szCs w:val="16"/>
                <w:b w:val="1"/>
                <w:bCs w:val="1"/>
                <w:color w:val="FFFFFF"/>
              </w:rPr>
              <w:t>Three Months Ended June 30,</w:t>
            </w:r>
          </w:p>
        </w:tc>
        <w:tc>
          <w:tcPr>
            <w:tcW w:w="60" w:type="dxa"/>
            <w:vAlign w:val="bottom"/>
            <w:shd w:val="clear" w:color="auto" w:fill="1D2758"/>
          </w:tcPr>
          <w:p>
            <w:pPr>
              <w:spacing w:after="0"/>
              <w:rPr>
                <w:sz w:val="20"/>
                <w:szCs w:val="20"/>
                <w:color w:val="auto"/>
              </w:rPr>
            </w:pPr>
          </w:p>
        </w:tc>
        <w:tc>
          <w:tcPr>
            <w:tcW w:w="120" w:type="dxa"/>
            <w:vAlign w:val="bottom"/>
            <w:shd w:val="clear" w:color="auto" w:fill="1D2758"/>
          </w:tcPr>
          <w:p>
            <w:pPr>
              <w:spacing w:after="0"/>
              <w:rPr>
                <w:sz w:val="20"/>
                <w:szCs w:val="20"/>
                <w:color w:val="auto"/>
              </w:rPr>
            </w:pPr>
          </w:p>
        </w:tc>
        <w:tc>
          <w:tcPr>
            <w:tcW w:w="106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280" w:type="dxa"/>
            <w:vAlign w:val="bottom"/>
            <w:shd w:val="clear" w:color="auto" w:fill="1D2758"/>
          </w:tcPr>
          <w:p>
            <w:pPr>
              <w:spacing w:after="0"/>
              <w:rPr>
                <w:sz w:val="20"/>
                <w:szCs w:val="20"/>
                <w:color w:val="auto"/>
              </w:rPr>
            </w:pPr>
          </w:p>
        </w:tc>
        <w:tc>
          <w:tcPr>
            <w:tcW w:w="98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2020</w:t>
            </w:r>
          </w:p>
        </w:tc>
        <w:tc>
          <w:tcPr>
            <w:tcW w:w="1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86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060" w:type="dxa"/>
            <w:vAlign w:val="bottom"/>
            <w:vMerge w:val="restart"/>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300" w:type="dxa"/>
            <w:vAlign w:val="bottom"/>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920" w:type="dxa"/>
            <w:vAlign w:val="bottom"/>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2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960" w:type="dxa"/>
            <w:vAlign w:val="bottom"/>
            <w:vMerge w:val="continue"/>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40" w:type="dxa"/>
            <w:vAlign w:val="bottom"/>
            <w:shd w:val="clear" w:color="auto" w:fill="1D2758"/>
          </w:tcPr>
          <w:p>
            <w:pPr>
              <w:spacing w:after="0"/>
              <w:rPr>
                <w:sz w:val="7"/>
                <w:szCs w:val="7"/>
                <w:color w:val="auto"/>
              </w:rPr>
            </w:pPr>
          </w:p>
        </w:tc>
        <w:tc>
          <w:tcPr>
            <w:tcW w:w="60" w:type="dxa"/>
            <w:vAlign w:val="bottom"/>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4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080" w:type="dxa"/>
            <w:vAlign w:val="bottom"/>
            <w:shd w:val="clear" w:color="auto" w:fill="1D2758"/>
          </w:tcPr>
          <w:p>
            <w:pPr>
              <w:spacing w:after="0"/>
              <w:rPr>
                <w:sz w:val="7"/>
                <w:szCs w:val="7"/>
                <w:color w:val="auto"/>
              </w:rPr>
            </w:pPr>
          </w:p>
        </w:tc>
        <w:tc>
          <w:tcPr>
            <w:tcW w:w="60" w:type="dxa"/>
            <w:vAlign w:val="bottom"/>
            <w:shd w:val="clear" w:color="auto" w:fill="1D2758"/>
          </w:tcPr>
          <w:p>
            <w:pPr>
              <w:spacing w:after="0"/>
              <w:rPr>
                <w:sz w:val="7"/>
                <w:szCs w:val="7"/>
                <w:color w:val="auto"/>
              </w:rPr>
            </w:pPr>
          </w:p>
        </w:tc>
        <w:tc>
          <w:tcPr>
            <w:tcW w:w="40" w:type="dxa"/>
            <w:vAlign w:val="bottom"/>
            <w:shd w:val="clear" w:color="auto" w:fill="1D2758"/>
          </w:tcPr>
          <w:p>
            <w:pPr>
              <w:spacing w:after="0"/>
              <w:rPr>
                <w:sz w:val="7"/>
                <w:szCs w:val="7"/>
                <w:color w:val="auto"/>
              </w:rPr>
            </w:pPr>
          </w:p>
        </w:tc>
        <w:tc>
          <w:tcPr>
            <w:tcW w:w="60" w:type="dxa"/>
            <w:vAlign w:val="bottom"/>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106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160" w:type="dxa"/>
            <w:vAlign w:val="bottom"/>
            <w:gridSpan w:val="3"/>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Employee</w:t>
            </w:r>
          </w:p>
        </w:tc>
        <w:tc>
          <w:tcPr>
            <w:tcW w:w="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96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Facility Exit</w:t>
            </w:r>
          </w:p>
        </w:tc>
        <w:tc>
          <w:tcPr>
            <w:tcW w:w="1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86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180" w:type="dxa"/>
            <w:vAlign w:val="bottom"/>
            <w:gridSpan w:val="3"/>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Employee</w:t>
            </w:r>
          </w:p>
        </w:tc>
        <w:tc>
          <w:tcPr>
            <w:tcW w:w="6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Facility Exit</w:t>
            </w:r>
          </w:p>
        </w:tc>
        <w:tc>
          <w:tcPr>
            <w:tcW w:w="2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1000" w:type="dxa"/>
            <w:vAlign w:val="bottom"/>
            <w:gridSpan w:val="2"/>
            <w:shd w:val="clear" w:color="auto" w:fill="1D2758"/>
          </w:tcPr>
          <w:p>
            <w:pPr>
              <w:jc w:val="center"/>
              <w:ind w:right="400"/>
              <w:spacing w:after="0"/>
              <w:rPr>
                <w:sz w:val="20"/>
                <w:szCs w:val="20"/>
                <w:color w:val="auto"/>
              </w:rPr>
            </w:pPr>
            <w:r>
              <w:rPr>
                <w:rFonts w:ascii="Arial" w:cs="Arial" w:eastAsia="Arial" w:hAnsi="Arial"/>
                <w:sz w:val="16"/>
                <w:szCs w:val="16"/>
                <w:b w:val="1"/>
                <w:bCs w:val="1"/>
                <w:color w:val="FFFFFF"/>
                <w:w w:val="98"/>
              </w:rPr>
              <w:t>Costs</w:t>
            </w:r>
          </w:p>
        </w:tc>
        <w:tc>
          <w:tcPr>
            <w:tcW w:w="2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96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w w:val="98"/>
              </w:rPr>
              <w:t>Costs</w:t>
            </w:r>
          </w:p>
        </w:tc>
        <w:tc>
          <w:tcPr>
            <w:tcW w:w="16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40" w:type="dxa"/>
            <w:vAlign w:val="bottom"/>
            <w:shd w:val="clear" w:color="auto" w:fill="1D2758"/>
          </w:tcPr>
          <w:p>
            <w:pPr>
              <w:spacing w:after="0"/>
              <w:rPr>
                <w:sz w:val="20"/>
                <w:szCs w:val="20"/>
                <w:color w:val="auto"/>
              </w:rPr>
            </w:pPr>
          </w:p>
        </w:tc>
        <w:tc>
          <w:tcPr>
            <w:tcW w:w="6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1000" w:type="dxa"/>
            <w:vAlign w:val="bottom"/>
            <w:gridSpan w:val="3"/>
            <w:shd w:val="clear" w:color="auto" w:fill="1D2758"/>
          </w:tcPr>
          <w:p>
            <w:pPr>
              <w:ind w:left="10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1D2758"/>
          </w:tcPr>
          <w:p>
            <w:pPr>
              <w:spacing w:after="0"/>
              <w:rPr>
                <w:sz w:val="20"/>
                <w:szCs w:val="20"/>
                <w:color w:val="auto"/>
              </w:rPr>
            </w:pPr>
          </w:p>
        </w:tc>
        <w:tc>
          <w:tcPr>
            <w:tcW w:w="1180" w:type="dxa"/>
            <w:vAlign w:val="bottom"/>
            <w:gridSpan w:val="3"/>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Costs</w:t>
            </w:r>
          </w:p>
        </w:tc>
        <w:tc>
          <w:tcPr>
            <w:tcW w:w="60" w:type="dxa"/>
            <w:vAlign w:val="bottom"/>
            <w:shd w:val="clear" w:color="auto" w:fill="1D2758"/>
          </w:tcPr>
          <w:p>
            <w:pPr>
              <w:spacing w:after="0"/>
              <w:rPr>
                <w:sz w:val="20"/>
                <w:szCs w:val="20"/>
                <w:color w:val="auto"/>
              </w:rPr>
            </w:pPr>
          </w:p>
        </w:tc>
        <w:tc>
          <w:tcPr>
            <w:tcW w:w="120" w:type="dxa"/>
            <w:vAlign w:val="bottom"/>
            <w:shd w:val="clear" w:color="auto" w:fill="1D2758"/>
          </w:tcPr>
          <w:p>
            <w:pPr>
              <w:spacing w:after="0"/>
              <w:rPr>
                <w:sz w:val="20"/>
                <w:szCs w:val="20"/>
                <w:color w:val="auto"/>
              </w:rPr>
            </w:pPr>
          </w:p>
        </w:tc>
        <w:tc>
          <w:tcPr>
            <w:tcW w:w="116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w w:val="98"/>
              </w:rPr>
              <w:t>Costs</w:t>
            </w:r>
          </w:p>
        </w:tc>
        <w:tc>
          <w:tcPr>
            <w:tcW w:w="280" w:type="dxa"/>
            <w:vAlign w:val="bottom"/>
            <w:shd w:val="clear" w:color="auto" w:fill="1D2758"/>
          </w:tcPr>
          <w:p>
            <w:pPr>
              <w:spacing w:after="0"/>
              <w:rPr>
                <w:sz w:val="20"/>
                <w:szCs w:val="20"/>
                <w:color w:val="auto"/>
              </w:rPr>
            </w:pPr>
          </w:p>
        </w:tc>
        <w:tc>
          <w:tcPr>
            <w:tcW w:w="98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8"/>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 - March</w:t>
            </w:r>
          </w:p>
        </w:tc>
        <w:tc>
          <w:tcPr>
            <w:tcW w:w="16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2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86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31, 2020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8"/>
                <w:szCs w:val="18"/>
                <w:color w:val="auto"/>
              </w:rPr>
            </w:pPr>
          </w:p>
        </w:tc>
        <w:tc>
          <w:tcPr>
            <w:tcW w:w="9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168</w:t>
            </w:r>
          </w:p>
        </w:tc>
        <w:tc>
          <w:tcPr>
            <w:tcW w:w="80" w:type="dxa"/>
            <w:vAlign w:val="bottom"/>
            <w:shd w:val="clear" w:color="auto" w:fill="E7E7E8"/>
          </w:tcPr>
          <w:p>
            <w:pPr>
              <w:spacing w:after="0"/>
              <w:rPr>
                <w:sz w:val="18"/>
                <w:szCs w:val="18"/>
                <w:color w:val="auto"/>
              </w:rPr>
            </w:pPr>
          </w:p>
        </w:tc>
        <w:tc>
          <w:tcPr>
            <w:tcW w:w="1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4"/>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8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168</w:t>
            </w:r>
          </w:p>
        </w:tc>
        <w:tc>
          <w:tcPr>
            <w:tcW w:w="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2,847</w:t>
            </w:r>
          </w:p>
        </w:tc>
        <w:tc>
          <w:tcPr>
            <w:tcW w:w="6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180" w:type="dxa"/>
            <w:vAlign w:val="bottom"/>
            <w:gridSpan w:val="2"/>
            <w:shd w:val="clear" w:color="auto" w:fill="E7E7E8"/>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18"/>
        </w:trPr>
        <w:tc>
          <w:tcPr>
            <w:tcW w:w="3300" w:type="dxa"/>
            <w:vAlign w:val="bottom"/>
          </w:tcPr>
          <w:p>
            <w:pPr>
              <w:ind w:left="220"/>
              <w:spacing w:after="0"/>
              <w:rPr>
                <w:sz w:val="20"/>
                <w:szCs w:val="20"/>
                <w:color w:val="auto"/>
              </w:rPr>
            </w:pPr>
            <w:r>
              <w:rPr>
                <w:rFonts w:ascii="Arial" w:cs="Arial" w:eastAsia="Arial" w:hAnsi="Arial"/>
                <w:sz w:val="16"/>
                <w:szCs w:val="16"/>
                <w:color w:val="auto"/>
              </w:rPr>
              <w:t>Reclassification of liability to operating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220"/>
              <w:spacing w:after="0"/>
              <w:rPr>
                <w:sz w:val="20"/>
                <w:szCs w:val="20"/>
                <w:color w:val="auto"/>
              </w:rPr>
            </w:pPr>
            <w:r>
              <w:rPr>
                <w:rFonts w:ascii="Arial" w:cs="Arial" w:eastAsia="Arial" w:hAnsi="Arial"/>
                <w:sz w:val="16"/>
                <w:szCs w:val="16"/>
                <w:color w:val="auto"/>
              </w:rPr>
              <w:t>lease asset at the adoption of ASC 842(a)</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Charges</w:t>
            </w:r>
          </w:p>
        </w:tc>
        <w:tc>
          <w:tcPr>
            <w:tcW w:w="1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9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743</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8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748</w:t>
            </w:r>
          </w:p>
        </w:tc>
        <w:tc>
          <w:tcPr>
            <w:tcW w:w="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123</w:t>
            </w: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1,509</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33"/>
        </w:trPr>
        <w:tc>
          <w:tcPr>
            <w:tcW w:w="3300" w:type="dxa"/>
            <w:vAlign w:val="bottom"/>
          </w:tcPr>
          <w:p>
            <w:pPr>
              <w:ind w:left="220"/>
              <w:spacing w:after="0"/>
              <w:rPr>
                <w:sz w:val="20"/>
                <w:szCs w:val="20"/>
                <w:color w:val="auto"/>
              </w:rPr>
            </w:pPr>
            <w:r>
              <w:rPr>
                <w:rFonts w:ascii="Arial" w:cs="Arial" w:eastAsia="Arial" w:hAnsi="Arial"/>
                <w:sz w:val="16"/>
                <w:szCs w:val="16"/>
                <w:color w:val="auto"/>
              </w:rPr>
              <w:t>Cash payments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(1,704)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9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8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w:t>
            </w:r>
          </w:p>
        </w:tc>
        <w:tc>
          <w:tcPr>
            <w:tcW w:w="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w:t>
            </w: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1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Non-cash movements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E7E8"/>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60" w:type="dxa"/>
            <w:vAlign w:val="bottom"/>
            <w:tcBorders>
              <w:bottom w:val="single" w:sz="8" w:color="E7E7E8"/>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57"/>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end of period</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2"/>
                <w:szCs w:val="22"/>
                <w:color w:val="auto"/>
              </w:rPr>
            </w:pPr>
          </w:p>
        </w:tc>
        <w:tc>
          <w:tcPr>
            <w:tcW w:w="9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525</w:t>
            </w:r>
          </w:p>
        </w:tc>
        <w:tc>
          <w:tcPr>
            <w:tcW w:w="80" w:type="dxa"/>
            <w:vAlign w:val="bottom"/>
            <w:shd w:val="clear" w:color="auto" w:fill="E7E7E8"/>
          </w:tcPr>
          <w:p>
            <w:pPr>
              <w:spacing w:after="0"/>
              <w:rPr>
                <w:sz w:val="22"/>
                <w:szCs w:val="22"/>
                <w:color w:val="auto"/>
              </w:rPr>
            </w:pPr>
          </w:p>
        </w:tc>
        <w:tc>
          <w:tcPr>
            <w:tcW w:w="1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4"/>
            <w:shd w:val="clear" w:color="auto" w:fill="E7E7E8"/>
          </w:tcPr>
          <w:p>
            <w:pPr>
              <w:jc w:val="right"/>
              <w:ind w:right="20"/>
              <w:spacing w:after="0"/>
              <w:rPr>
                <w:sz w:val="20"/>
                <w:szCs w:val="20"/>
                <w:color w:val="auto"/>
              </w:rPr>
            </w:pPr>
            <w:r>
              <w:rPr>
                <w:rFonts w:ascii="Arial" w:cs="Arial" w:eastAsia="Arial" w:hAnsi="Arial"/>
                <w:sz w:val="16"/>
                <w:szCs w:val="16"/>
                <w:color w:val="auto"/>
              </w:rPr>
              <w:t>$</w:t>
            </w:r>
          </w:p>
        </w:tc>
        <w:tc>
          <w:tcPr>
            <w:tcW w:w="6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8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525</w:t>
            </w:r>
          </w:p>
        </w:tc>
        <w:tc>
          <w:tcPr>
            <w:tcW w:w="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1,143</w:t>
            </w:r>
          </w:p>
        </w:tc>
        <w:tc>
          <w:tcPr>
            <w:tcW w:w="60" w:type="dxa"/>
            <w:vAlign w:val="bottom"/>
            <w:shd w:val="clear" w:color="auto" w:fill="E7E7E8"/>
          </w:tcPr>
          <w:p>
            <w:pPr>
              <w:spacing w:after="0"/>
              <w:rPr>
                <w:sz w:val="22"/>
                <w:szCs w:val="22"/>
                <w:color w:val="auto"/>
              </w:rPr>
            </w:pPr>
          </w:p>
        </w:tc>
        <w:tc>
          <w:tcPr>
            <w:tcW w:w="40" w:type="dxa"/>
            <w:vAlign w:val="bottom"/>
            <w:shd w:val="clear" w:color="auto" w:fill="E7E7E8"/>
          </w:tcPr>
          <w:p>
            <w:pPr>
              <w:spacing w:after="0"/>
              <w:rPr>
                <w:sz w:val="22"/>
                <w:szCs w:val="22"/>
                <w:color w:val="auto"/>
              </w:rPr>
            </w:pPr>
          </w:p>
        </w:tc>
        <w:tc>
          <w:tcPr>
            <w:tcW w:w="180" w:type="dxa"/>
            <w:vAlign w:val="bottom"/>
            <w:gridSpan w:val="2"/>
            <w:shd w:val="clear" w:color="auto" w:fill="E7E7E8"/>
          </w:tcPr>
          <w:p>
            <w:pPr>
              <w:jc w:val="right"/>
              <w:ind w:right="80"/>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0"/>
        </w:trPr>
        <w:tc>
          <w:tcPr>
            <w:tcW w:w="33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E7E7E8"/>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3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1D2758"/>
          </w:tcPr>
          <w:p>
            <w:pPr>
              <w:spacing w:after="0"/>
              <w:rPr>
                <w:sz w:val="19"/>
                <w:szCs w:val="19"/>
                <w:color w:val="auto"/>
              </w:rPr>
            </w:pPr>
          </w:p>
        </w:tc>
        <w:tc>
          <w:tcPr>
            <w:tcW w:w="160" w:type="dxa"/>
            <w:vAlign w:val="bottom"/>
            <w:shd w:val="clear" w:color="auto" w:fill="1D2758"/>
          </w:tcPr>
          <w:p>
            <w:pPr>
              <w:spacing w:after="0"/>
              <w:rPr>
                <w:sz w:val="19"/>
                <w:szCs w:val="19"/>
                <w:color w:val="auto"/>
              </w:rPr>
            </w:pPr>
          </w:p>
        </w:tc>
        <w:tc>
          <w:tcPr>
            <w:tcW w:w="16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960" w:type="dxa"/>
            <w:vAlign w:val="bottom"/>
            <w:shd w:val="clear" w:color="auto" w:fill="1D2758"/>
          </w:tcPr>
          <w:p>
            <w:pPr>
              <w:spacing w:after="0"/>
              <w:rPr>
                <w:sz w:val="19"/>
                <w:szCs w:val="19"/>
                <w:color w:val="auto"/>
              </w:rPr>
            </w:pPr>
          </w:p>
        </w:tc>
        <w:tc>
          <w:tcPr>
            <w:tcW w:w="16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40" w:type="dxa"/>
            <w:vAlign w:val="bottom"/>
            <w:shd w:val="clear" w:color="auto" w:fill="1D2758"/>
          </w:tcPr>
          <w:p>
            <w:pPr>
              <w:spacing w:after="0"/>
              <w:rPr>
                <w:sz w:val="19"/>
                <w:szCs w:val="19"/>
                <w:color w:val="auto"/>
              </w:rPr>
            </w:pPr>
          </w:p>
        </w:tc>
        <w:tc>
          <w:tcPr>
            <w:tcW w:w="60" w:type="dxa"/>
            <w:vAlign w:val="bottom"/>
            <w:shd w:val="clear" w:color="auto" w:fill="1D2758"/>
          </w:tcPr>
          <w:p>
            <w:pPr>
              <w:spacing w:after="0"/>
              <w:rPr>
                <w:sz w:val="19"/>
                <w:szCs w:val="19"/>
                <w:color w:val="auto"/>
              </w:rPr>
            </w:pPr>
          </w:p>
        </w:tc>
        <w:tc>
          <w:tcPr>
            <w:tcW w:w="140" w:type="dxa"/>
            <w:vAlign w:val="bottom"/>
            <w:shd w:val="clear" w:color="auto" w:fill="1D2758"/>
          </w:tcPr>
          <w:p>
            <w:pPr>
              <w:spacing w:after="0"/>
              <w:rPr>
                <w:sz w:val="19"/>
                <w:szCs w:val="19"/>
                <w:color w:val="auto"/>
              </w:rPr>
            </w:pPr>
          </w:p>
        </w:tc>
        <w:tc>
          <w:tcPr>
            <w:tcW w:w="2360" w:type="dxa"/>
            <w:vAlign w:val="bottom"/>
            <w:gridSpan w:val="7"/>
            <w:shd w:val="clear" w:color="auto" w:fill="1D2758"/>
          </w:tcPr>
          <w:p>
            <w:pPr>
              <w:ind w:left="20"/>
              <w:spacing w:after="0"/>
              <w:rPr>
                <w:sz w:val="20"/>
                <w:szCs w:val="20"/>
                <w:color w:val="auto"/>
              </w:rPr>
            </w:pPr>
            <w:r>
              <w:rPr>
                <w:rFonts w:ascii="Arial" w:cs="Arial" w:eastAsia="Arial" w:hAnsi="Arial"/>
                <w:sz w:val="16"/>
                <w:szCs w:val="16"/>
                <w:b w:val="1"/>
                <w:bCs w:val="1"/>
                <w:color w:val="FFFFFF"/>
              </w:rPr>
              <w:t>Six Months Ended June 30,</w:t>
            </w:r>
          </w:p>
        </w:tc>
        <w:tc>
          <w:tcPr>
            <w:tcW w:w="60" w:type="dxa"/>
            <w:vAlign w:val="bottom"/>
            <w:shd w:val="clear" w:color="auto" w:fill="1D2758"/>
          </w:tcPr>
          <w:p>
            <w:pPr>
              <w:spacing w:after="0"/>
              <w:rPr>
                <w:sz w:val="19"/>
                <w:szCs w:val="19"/>
                <w:color w:val="auto"/>
              </w:rPr>
            </w:pPr>
          </w:p>
        </w:tc>
        <w:tc>
          <w:tcPr>
            <w:tcW w:w="120" w:type="dxa"/>
            <w:vAlign w:val="bottom"/>
            <w:shd w:val="clear" w:color="auto" w:fill="1D2758"/>
          </w:tcPr>
          <w:p>
            <w:pPr>
              <w:spacing w:after="0"/>
              <w:rPr>
                <w:sz w:val="19"/>
                <w:szCs w:val="19"/>
                <w:color w:val="auto"/>
              </w:rPr>
            </w:pPr>
          </w:p>
        </w:tc>
        <w:tc>
          <w:tcPr>
            <w:tcW w:w="106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280" w:type="dxa"/>
            <w:vAlign w:val="bottom"/>
            <w:shd w:val="clear" w:color="auto" w:fill="1D2758"/>
          </w:tcPr>
          <w:p>
            <w:pPr>
              <w:spacing w:after="0"/>
              <w:rPr>
                <w:sz w:val="19"/>
                <w:szCs w:val="19"/>
                <w:color w:val="auto"/>
              </w:rPr>
            </w:pPr>
          </w:p>
        </w:tc>
        <w:tc>
          <w:tcPr>
            <w:tcW w:w="98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1D2758"/>
          </w:tcPr>
          <w:p>
            <w:pPr>
              <w:spacing w:after="0"/>
              <w:rPr>
                <w:sz w:val="21"/>
                <w:szCs w:val="21"/>
                <w:color w:val="auto"/>
              </w:rPr>
            </w:pPr>
          </w:p>
        </w:tc>
        <w:tc>
          <w:tcPr>
            <w:tcW w:w="160" w:type="dxa"/>
            <w:vAlign w:val="bottom"/>
            <w:shd w:val="clear" w:color="auto" w:fill="1D2758"/>
          </w:tcPr>
          <w:p>
            <w:pPr>
              <w:spacing w:after="0"/>
              <w:rPr>
                <w:sz w:val="21"/>
                <w:szCs w:val="21"/>
                <w:color w:val="auto"/>
              </w:rPr>
            </w:pPr>
          </w:p>
        </w:tc>
        <w:tc>
          <w:tcPr>
            <w:tcW w:w="920" w:type="dxa"/>
            <w:vAlign w:val="bottom"/>
            <w:shd w:val="clear" w:color="auto" w:fill="1D2758"/>
          </w:tcPr>
          <w:p>
            <w:pPr>
              <w:spacing w:after="0"/>
              <w:rPr>
                <w:sz w:val="21"/>
                <w:szCs w:val="21"/>
                <w:color w:val="auto"/>
              </w:rPr>
            </w:pPr>
          </w:p>
        </w:tc>
        <w:tc>
          <w:tcPr>
            <w:tcW w:w="80" w:type="dxa"/>
            <w:vAlign w:val="bottom"/>
            <w:shd w:val="clear" w:color="auto" w:fill="1D2758"/>
          </w:tcPr>
          <w:p>
            <w:pPr>
              <w:spacing w:after="0"/>
              <w:rPr>
                <w:sz w:val="21"/>
                <w:szCs w:val="21"/>
                <w:color w:val="auto"/>
              </w:rPr>
            </w:pPr>
          </w:p>
        </w:tc>
        <w:tc>
          <w:tcPr>
            <w:tcW w:w="2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96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2020</w:t>
            </w:r>
          </w:p>
        </w:tc>
        <w:tc>
          <w:tcPr>
            <w:tcW w:w="160" w:type="dxa"/>
            <w:vAlign w:val="bottom"/>
            <w:shd w:val="clear" w:color="auto" w:fill="1D2758"/>
          </w:tcPr>
          <w:p>
            <w:pPr>
              <w:spacing w:after="0"/>
              <w:rPr>
                <w:sz w:val="21"/>
                <w:szCs w:val="21"/>
                <w:color w:val="auto"/>
              </w:rPr>
            </w:pPr>
          </w:p>
        </w:tc>
        <w:tc>
          <w:tcPr>
            <w:tcW w:w="8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40" w:type="dxa"/>
            <w:vAlign w:val="bottom"/>
            <w:shd w:val="clear" w:color="auto" w:fill="1D2758"/>
          </w:tcPr>
          <w:p>
            <w:pPr>
              <w:spacing w:after="0"/>
              <w:rPr>
                <w:sz w:val="21"/>
                <w:szCs w:val="21"/>
                <w:color w:val="auto"/>
              </w:rPr>
            </w:pPr>
          </w:p>
        </w:tc>
        <w:tc>
          <w:tcPr>
            <w:tcW w:w="60" w:type="dxa"/>
            <w:vAlign w:val="bottom"/>
            <w:shd w:val="clear" w:color="auto" w:fill="1D2758"/>
          </w:tcPr>
          <w:p>
            <w:pPr>
              <w:spacing w:after="0"/>
              <w:rPr>
                <w:sz w:val="21"/>
                <w:szCs w:val="21"/>
                <w:color w:val="auto"/>
              </w:rPr>
            </w:pPr>
          </w:p>
        </w:tc>
        <w:tc>
          <w:tcPr>
            <w:tcW w:w="140" w:type="dxa"/>
            <w:vAlign w:val="bottom"/>
            <w:shd w:val="clear" w:color="auto" w:fill="1D2758"/>
          </w:tcPr>
          <w:p>
            <w:pPr>
              <w:spacing w:after="0"/>
              <w:rPr>
                <w:sz w:val="21"/>
                <w:szCs w:val="21"/>
                <w:color w:val="auto"/>
              </w:rPr>
            </w:pPr>
          </w:p>
        </w:tc>
        <w:tc>
          <w:tcPr>
            <w:tcW w:w="860" w:type="dxa"/>
            <w:vAlign w:val="bottom"/>
            <w:shd w:val="clear" w:color="auto" w:fill="1D2758"/>
          </w:tcPr>
          <w:p>
            <w:pPr>
              <w:spacing w:after="0"/>
              <w:rPr>
                <w:sz w:val="21"/>
                <w:szCs w:val="21"/>
                <w:color w:val="auto"/>
              </w:rPr>
            </w:pPr>
          </w:p>
        </w:tc>
        <w:tc>
          <w:tcPr>
            <w:tcW w:w="4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180" w:type="dxa"/>
            <w:vAlign w:val="bottom"/>
            <w:shd w:val="clear" w:color="auto" w:fill="1D2758"/>
          </w:tcPr>
          <w:p>
            <w:pPr>
              <w:spacing w:after="0"/>
              <w:rPr>
                <w:sz w:val="21"/>
                <w:szCs w:val="21"/>
                <w:color w:val="auto"/>
              </w:rPr>
            </w:pPr>
          </w:p>
        </w:tc>
        <w:tc>
          <w:tcPr>
            <w:tcW w:w="1080" w:type="dxa"/>
            <w:vAlign w:val="bottom"/>
            <w:shd w:val="clear" w:color="auto" w:fill="1D2758"/>
          </w:tcPr>
          <w:p>
            <w:pPr>
              <w:spacing w:after="0"/>
              <w:rPr>
                <w:sz w:val="21"/>
                <w:szCs w:val="21"/>
                <w:color w:val="auto"/>
              </w:rPr>
            </w:pPr>
          </w:p>
        </w:tc>
        <w:tc>
          <w:tcPr>
            <w:tcW w:w="60" w:type="dxa"/>
            <w:vAlign w:val="bottom"/>
            <w:shd w:val="clear" w:color="auto" w:fill="1D2758"/>
          </w:tcPr>
          <w:p>
            <w:pPr>
              <w:spacing w:after="0"/>
              <w:rPr>
                <w:sz w:val="21"/>
                <w:szCs w:val="21"/>
                <w:color w:val="auto"/>
              </w:rPr>
            </w:pPr>
          </w:p>
        </w:tc>
        <w:tc>
          <w:tcPr>
            <w:tcW w:w="40" w:type="dxa"/>
            <w:vAlign w:val="bottom"/>
            <w:shd w:val="clear" w:color="auto" w:fill="1D2758"/>
          </w:tcPr>
          <w:p>
            <w:pPr>
              <w:spacing w:after="0"/>
              <w:rPr>
                <w:sz w:val="21"/>
                <w:szCs w:val="21"/>
                <w:color w:val="auto"/>
              </w:rPr>
            </w:pPr>
          </w:p>
        </w:tc>
        <w:tc>
          <w:tcPr>
            <w:tcW w:w="60" w:type="dxa"/>
            <w:vAlign w:val="bottom"/>
            <w:shd w:val="clear" w:color="auto" w:fill="1D2758"/>
          </w:tcPr>
          <w:p>
            <w:pPr>
              <w:spacing w:after="0"/>
              <w:rPr>
                <w:sz w:val="21"/>
                <w:szCs w:val="21"/>
                <w:color w:val="auto"/>
              </w:rPr>
            </w:pPr>
          </w:p>
        </w:tc>
        <w:tc>
          <w:tcPr>
            <w:tcW w:w="120" w:type="dxa"/>
            <w:vAlign w:val="bottom"/>
            <w:shd w:val="clear" w:color="auto" w:fill="1D2758"/>
          </w:tcPr>
          <w:p>
            <w:pPr>
              <w:spacing w:after="0"/>
              <w:rPr>
                <w:sz w:val="21"/>
                <w:szCs w:val="21"/>
                <w:color w:val="auto"/>
              </w:rPr>
            </w:pPr>
          </w:p>
        </w:tc>
        <w:tc>
          <w:tcPr>
            <w:tcW w:w="1060" w:type="dxa"/>
            <w:vAlign w:val="bottom"/>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21"/>
                <w:szCs w:val="21"/>
                <w:color w:val="auto"/>
              </w:rPr>
            </w:pPr>
          </w:p>
        </w:tc>
        <w:tc>
          <w:tcPr>
            <w:tcW w:w="280" w:type="dxa"/>
            <w:vAlign w:val="bottom"/>
            <w:shd w:val="clear" w:color="auto" w:fill="1D2758"/>
          </w:tcPr>
          <w:p>
            <w:pPr>
              <w:spacing w:after="0"/>
              <w:rPr>
                <w:sz w:val="21"/>
                <w:szCs w:val="21"/>
                <w:color w:val="auto"/>
              </w:rPr>
            </w:pPr>
          </w:p>
        </w:tc>
        <w:tc>
          <w:tcPr>
            <w:tcW w:w="98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30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000" w:type="dxa"/>
            <w:vAlign w:val="bottom"/>
            <w:gridSpan w:val="2"/>
            <w:shd w:val="clear" w:color="auto" w:fill="1D2758"/>
          </w:tcPr>
          <w:p>
            <w:pPr>
              <w:jc w:val="right"/>
              <w:ind w:right="200"/>
              <w:spacing w:after="0"/>
              <w:rPr>
                <w:sz w:val="20"/>
                <w:szCs w:val="20"/>
                <w:color w:val="auto"/>
              </w:rPr>
            </w:pPr>
            <w:r>
              <w:rPr>
                <w:rFonts w:ascii="Arial" w:cs="Arial" w:eastAsia="Arial" w:hAnsi="Arial"/>
                <w:sz w:val="16"/>
                <w:szCs w:val="16"/>
                <w:b w:val="1"/>
                <w:bCs w:val="1"/>
                <w:color w:val="FFFFFF"/>
              </w:rPr>
              <w:t>Employee</w:t>
            </w:r>
          </w:p>
        </w:tc>
        <w:tc>
          <w:tcPr>
            <w:tcW w:w="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340" w:type="dxa"/>
            <w:vAlign w:val="bottom"/>
            <w:gridSpan w:val="5"/>
            <w:shd w:val="clear" w:color="auto" w:fill="1D2758"/>
          </w:tcPr>
          <w:p>
            <w:pPr>
              <w:jc w:val="right"/>
              <w:ind w:right="240"/>
              <w:spacing w:after="0"/>
              <w:rPr>
                <w:sz w:val="20"/>
                <w:szCs w:val="20"/>
                <w:color w:val="auto"/>
              </w:rPr>
            </w:pPr>
            <w:r>
              <w:rPr>
                <w:rFonts w:ascii="Arial" w:cs="Arial" w:eastAsia="Arial" w:hAnsi="Arial"/>
                <w:sz w:val="16"/>
                <w:szCs w:val="16"/>
                <w:b w:val="1"/>
                <w:bCs w:val="1"/>
                <w:color w:val="FFFFFF"/>
              </w:rPr>
              <w:t>Facility Exit</w:t>
            </w:r>
          </w:p>
        </w:tc>
        <w:tc>
          <w:tcPr>
            <w:tcW w:w="6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86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4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6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Facility Exit</w:t>
            </w:r>
          </w:p>
        </w:tc>
        <w:tc>
          <w:tcPr>
            <w:tcW w:w="2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1000" w:type="dxa"/>
            <w:vAlign w:val="bottom"/>
            <w:gridSpan w:val="2"/>
            <w:shd w:val="clear" w:color="auto" w:fill="1D2758"/>
          </w:tcPr>
          <w:p>
            <w:pPr>
              <w:ind w:left="200"/>
              <w:spacing w:after="0"/>
              <w:rPr>
                <w:sz w:val="20"/>
                <w:szCs w:val="20"/>
                <w:color w:val="auto"/>
              </w:rPr>
            </w:pPr>
            <w:r>
              <w:rPr>
                <w:rFonts w:ascii="Arial" w:cs="Arial" w:eastAsia="Arial" w:hAnsi="Arial"/>
                <w:sz w:val="16"/>
                <w:szCs w:val="16"/>
                <w:b w:val="1"/>
                <w:bCs w:val="1"/>
                <w:color w:val="FFFFFF"/>
              </w:rPr>
              <w:t>Costs</w:t>
            </w:r>
          </w:p>
        </w:tc>
        <w:tc>
          <w:tcPr>
            <w:tcW w:w="2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96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Costs</w:t>
            </w:r>
          </w:p>
        </w:tc>
        <w:tc>
          <w:tcPr>
            <w:tcW w:w="16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40" w:type="dxa"/>
            <w:vAlign w:val="bottom"/>
            <w:shd w:val="clear" w:color="auto" w:fill="1D2758"/>
          </w:tcPr>
          <w:p>
            <w:pPr>
              <w:spacing w:after="0"/>
              <w:rPr>
                <w:sz w:val="20"/>
                <w:szCs w:val="20"/>
                <w:color w:val="auto"/>
              </w:rPr>
            </w:pPr>
          </w:p>
        </w:tc>
        <w:tc>
          <w:tcPr>
            <w:tcW w:w="6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1000" w:type="dxa"/>
            <w:vAlign w:val="bottom"/>
            <w:gridSpan w:val="3"/>
            <w:shd w:val="clear" w:color="auto" w:fill="1D2758"/>
          </w:tcPr>
          <w:p>
            <w:pPr>
              <w:ind w:left="180"/>
              <w:spacing w:after="0"/>
              <w:rPr>
                <w:sz w:val="20"/>
                <w:szCs w:val="20"/>
                <w:color w:val="auto"/>
              </w:rPr>
            </w:pPr>
            <w:r>
              <w:rPr>
                <w:rFonts w:ascii="Arial" w:cs="Arial" w:eastAsia="Arial" w:hAnsi="Arial"/>
                <w:sz w:val="16"/>
                <w:szCs w:val="16"/>
                <w:b w:val="1"/>
                <w:bCs w:val="1"/>
                <w:color w:val="FFFFFF"/>
              </w:rPr>
              <w:t>Total</w:t>
            </w:r>
          </w:p>
        </w:tc>
        <w:tc>
          <w:tcPr>
            <w:tcW w:w="1360" w:type="dxa"/>
            <w:vAlign w:val="bottom"/>
            <w:gridSpan w:val="4"/>
            <w:shd w:val="clear" w:color="auto" w:fill="1D2758"/>
          </w:tcPr>
          <w:p>
            <w:pPr>
              <w:ind w:left="20"/>
              <w:spacing w:after="0"/>
              <w:rPr>
                <w:sz w:val="20"/>
                <w:szCs w:val="20"/>
                <w:color w:val="auto"/>
              </w:rPr>
            </w:pPr>
            <w:r>
              <w:rPr>
                <w:rFonts w:ascii="Arial" w:cs="Arial" w:eastAsia="Arial" w:hAnsi="Arial"/>
                <w:sz w:val="16"/>
                <w:szCs w:val="16"/>
                <w:b w:val="1"/>
                <w:bCs w:val="1"/>
                <w:color w:val="FFFFFF"/>
              </w:rPr>
              <w:t>Employee Costs</w:t>
            </w:r>
          </w:p>
        </w:tc>
        <w:tc>
          <w:tcPr>
            <w:tcW w:w="60" w:type="dxa"/>
            <w:vAlign w:val="bottom"/>
            <w:shd w:val="clear" w:color="auto" w:fill="1D2758"/>
          </w:tcPr>
          <w:p>
            <w:pPr>
              <w:spacing w:after="0"/>
              <w:rPr>
                <w:sz w:val="20"/>
                <w:szCs w:val="20"/>
                <w:color w:val="auto"/>
              </w:rPr>
            </w:pPr>
          </w:p>
        </w:tc>
        <w:tc>
          <w:tcPr>
            <w:tcW w:w="120" w:type="dxa"/>
            <w:vAlign w:val="bottom"/>
            <w:shd w:val="clear" w:color="auto" w:fill="1D2758"/>
          </w:tcPr>
          <w:p>
            <w:pPr>
              <w:spacing w:after="0"/>
              <w:rPr>
                <w:sz w:val="20"/>
                <w:szCs w:val="20"/>
                <w:color w:val="auto"/>
              </w:rPr>
            </w:pPr>
          </w:p>
        </w:tc>
        <w:tc>
          <w:tcPr>
            <w:tcW w:w="1160" w:type="dxa"/>
            <w:vAlign w:val="bottom"/>
            <w:gridSpan w:val="2"/>
            <w:shd w:val="clear" w:color="auto" w:fill="1D2758"/>
          </w:tcPr>
          <w:p>
            <w:pPr>
              <w:jc w:val="center"/>
              <w:ind w:right="200"/>
              <w:spacing w:after="0"/>
              <w:rPr>
                <w:sz w:val="20"/>
                <w:szCs w:val="20"/>
                <w:color w:val="auto"/>
              </w:rPr>
            </w:pPr>
            <w:r>
              <w:rPr>
                <w:rFonts w:ascii="Arial" w:cs="Arial" w:eastAsia="Arial" w:hAnsi="Arial"/>
                <w:sz w:val="16"/>
                <w:szCs w:val="16"/>
                <w:b w:val="1"/>
                <w:bCs w:val="1"/>
                <w:color w:val="FFFFFF"/>
                <w:w w:val="98"/>
              </w:rPr>
              <w:t>Costs</w:t>
            </w:r>
          </w:p>
        </w:tc>
        <w:tc>
          <w:tcPr>
            <w:tcW w:w="280" w:type="dxa"/>
            <w:vAlign w:val="bottom"/>
            <w:shd w:val="clear" w:color="auto" w:fill="1D2758"/>
          </w:tcPr>
          <w:p>
            <w:pPr>
              <w:spacing w:after="0"/>
              <w:rPr>
                <w:sz w:val="20"/>
                <w:szCs w:val="20"/>
                <w:color w:val="auto"/>
              </w:rPr>
            </w:pPr>
          </w:p>
        </w:tc>
        <w:tc>
          <w:tcPr>
            <w:tcW w:w="98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8"/>
        </w:trPr>
        <w:tc>
          <w:tcPr>
            <w:tcW w:w="3460" w:type="dxa"/>
            <w:vAlign w:val="bottom"/>
            <w:gridSpan w:val="2"/>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 - December</w:t>
            </w:r>
          </w:p>
        </w:tc>
        <w:tc>
          <w:tcPr>
            <w:tcW w:w="160" w:type="dxa"/>
            <w:vAlign w:val="bottom"/>
            <w:shd w:val="clear" w:color="auto" w:fill="E7E7E8"/>
          </w:tcPr>
          <w:p>
            <w:pPr>
              <w:spacing w:after="0"/>
              <w:rPr>
                <w:sz w:val="18"/>
                <w:szCs w:val="18"/>
                <w:color w:val="auto"/>
              </w:rPr>
            </w:pPr>
          </w:p>
        </w:tc>
        <w:tc>
          <w:tcPr>
            <w:tcW w:w="92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86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08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6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0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31, 2020</w:t>
            </w:r>
          </w:p>
        </w:tc>
        <w:tc>
          <w:tcPr>
            <w:tcW w:w="160" w:type="dxa"/>
            <w:vAlign w:val="bottom"/>
            <w:shd w:val="clear" w:color="auto" w:fill="E7E7E8"/>
          </w:tcPr>
          <w:p>
            <w:pPr>
              <w:spacing w:after="0"/>
              <w:rPr>
                <w:sz w:val="18"/>
                <w:szCs w:val="18"/>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447</w:t>
            </w:r>
          </w:p>
        </w:tc>
        <w:tc>
          <w:tcPr>
            <w:tcW w:w="80" w:type="dxa"/>
            <w:vAlign w:val="bottom"/>
            <w:shd w:val="clear" w:color="auto" w:fill="E7E7E8"/>
          </w:tcPr>
          <w:p>
            <w:pPr>
              <w:spacing w:after="0"/>
              <w:rPr>
                <w:sz w:val="18"/>
                <w:szCs w:val="18"/>
                <w:color w:val="auto"/>
              </w:rPr>
            </w:pPr>
          </w:p>
        </w:tc>
        <w:tc>
          <w:tcPr>
            <w:tcW w:w="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960" w:type="dxa"/>
            <w:vAlign w:val="bottom"/>
            <w:shd w:val="clear" w:color="auto" w:fill="E7E7E8"/>
          </w:tcPr>
          <w:p>
            <w:pPr>
              <w:jc w:val="right"/>
              <w:ind w:right="779"/>
              <w:spacing w:after="0"/>
              <w:rPr>
                <w:sz w:val="20"/>
                <w:szCs w:val="20"/>
                <w:color w:val="auto"/>
              </w:rPr>
            </w:pPr>
            <w:r>
              <w:rPr>
                <w:rFonts w:ascii="Arial" w:cs="Arial" w:eastAsia="Arial" w:hAnsi="Arial"/>
                <w:sz w:val="16"/>
                <w:szCs w:val="16"/>
                <w:color w:val="auto"/>
                <w:w w:val="89"/>
              </w:rPr>
              <w:t>$</w:t>
            </w:r>
          </w:p>
        </w:tc>
        <w:tc>
          <w:tcPr>
            <w:tcW w:w="380" w:type="dxa"/>
            <w:vAlign w:val="bottom"/>
            <w:gridSpan w:val="4"/>
            <w:shd w:val="clear" w:color="auto" w:fill="E7E7E8"/>
          </w:tcPr>
          <w:p>
            <w:pPr>
              <w:jc w:val="right"/>
              <w:ind w:right="2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447</w:t>
            </w:r>
          </w:p>
        </w:tc>
        <w:tc>
          <w:tcPr>
            <w:tcW w:w="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4,544</w:t>
            </w:r>
          </w:p>
        </w:tc>
        <w:tc>
          <w:tcPr>
            <w:tcW w:w="6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18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5,516</w:t>
            </w:r>
          </w:p>
        </w:tc>
        <w:tc>
          <w:tcPr>
            <w:tcW w:w="0" w:type="dxa"/>
            <w:vAlign w:val="bottom"/>
          </w:tcPr>
          <w:p>
            <w:pPr>
              <w:spacing w:after="0"/>
              <w:rPr>
                <w:sz w:val="1"/>
                <w:szCs w:val="1"/>
                <w:color w:val="auto"/>
              </w:rPr>
            </w:pPr>
          </w:p>
        </w:tc>
      </w:tr>
      <w:tr>
        <w:trPr>
          <w:trHeight w:val="218"/>
        </w:trPr>
        <w:tc>
          <w:tcPr>
            <w:tcW w:w="3460" w:type="dxa"/>
            <w:vAlign w:val="bottom"/>
            <w:gridSpan w:val="2"/>
          </w:tcPr>
          <w:p>
            <w:pPr>
              <w:ind w:left="220"/>
              <w:spacing w:after="0"/>
              <w:rPr>
                <w:sz w:val="20"/>
                <w:szCs w:val="20"/>
                <w:color w:val="auto"/>
              </w:rPr>
            </w:pPr>
            <w:r>
              <w:rPr>
                <w:rFonts w:ascii="Arial" w:cs="Arial" w:eastAsia="Arial" w:hAnsi="Arial"/>
                <w:sz w:val="16"/>
                <w:szCs w:val="16"/>
                <w:color w:val="auto"/>
              </w:rPr>
              <w:t>Reclassification of liability to operating lease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220"/>
              <w:spacing w:after="0"/>
              <w:rPr>
                <w:sz w:val="20"/>
                <w:szCs w:val="20"/>
                <w:color w:val="auto"/>
              </w:rPr>
            </w:pPr>
            <w:r>
              <w:rPr>
                <w:rFonts w:ascii="Arial" w:cs="Arial" w:eastAsia="Arial" w:hAnsi="Arial"/>
                <w:sz w:val="16"/>
                <w:szCs w:val="16"/>
                <w:color w:val="auto"/>
              </w:rPr>
              <w:t>asset at the adoption of ASC 842(a)</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gridSpan w:val="4"/>
          </w:tcPr>
          <w:p>
            <w:pPr>
              <w:jc w:val="right"/>
              <w:ind w:right="20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Charges</w:t>
            </w:r>
          </w:p>
        </w:tc>
        <w:tc>
          <w:tcPr>
            <w:tcW w:w="1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671</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240" w:type="dxa"/>
            <w:vAlign w:val="bottom"/>
            <w:gridSpan w:val="2"/>
            <w:shd w:val="clear" w:color="auto" w:fill="E7E7E8"/>
          </w:tcPr>
          <w:p>
            <w:pPr>
              <w:jc w:val="right"/>
              <w:ind w:right="60"/>
              <w:spacing w:after="0"/>
              <w:rPr>
                <w:sz w:val="20"/>
                <w:szCs w:val="20"/>
                <w:color w:val="auto"/>
              </w:rPr>
            </w:pPr>
            <w:r>
              <w:rPr>
                <w:rFonts w:ascii="Arial" w:cs="Arial" w:eastAsia="Arial" w:hAnsi="Arial"/>
                <w:sz w:val="16"/>
                <w:szCs w:val="16"/>
                <w:color w:val="auto"/>
                <w:w w:val="89"/>
              </w:rPr>
              <w:t>17</w:t>
            </w:r>
          </w:p>
        </w:tc>
        <w:tc>
          <w:tcPr>
            <w:tcW w:w="10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8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688</w:t>
            </w:r>
          </w:p>
        </w:tc>
        <w:tc>
          <w:tcPr>
            <w:tcW w:w="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1,630</w:t>
            </w: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1,658</w:t>
            </w:r>
          </w:p>
        </w:tc>
        <w:tc>
          <w:tcPr>
            <w:tcW w:w="100" w:type="dxa"/>
            <w:vAlign w:val="bottom"/>
            <w:shd w:val="clear" w:color="auto" w:fill="E7E7E8"/>
          </w:tcPr>
          <w:p>
            <w:pPr>
              <w:spacing w:after="0"/>
              <w:rPr>
                <w:sz w:val="21"/>
                <w:szCs w:val="21"/>
                <w:color w:val="auto"/>
              </w:rPr>
            </w:pP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33"/>
        </w:trPr>
        <w:tc>
          <w:tcPr>
            <w:tcW w:w="3300" w:type="dxa"/>
            <w:vAlign w:val="bottom"/>
          </w:tcPr>
          <w:p>
            <w:pPr>
              <w:ind w:left="220"/>
              <w:spacing w:after="0"/>
              <w:rPr>
                <w:sz w:val="20"/>
                <w:szCs w:val="20"/>
                <w:color w:val="auto"/>
              </w:rPr>
            </w:pPr>
            <w:r>
              <w:rPr>
                <w:rFonts w:ascii="Arial" w:cs="Arial" w:eastAsia="Arial" w:hAnsi="Arial"/>
                <w:sz w:val="16"/>
                <w:szCs w:val="16"/>
                <w:color w:val="auto"/>
              </w:rPr>
              <w:t>Cash payments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4"/>
          </w:tcPr>
          <w:p>
            <w:pPr>
              <w:jc w:val="right"/>
              <w:ind w:right="20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(4,932)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(4,932)</w:t>
            </w:r>
          </w:p>
        </w:tc>
        <w:tc>
          <w:tcPr>
            <w:tcW w:w="0" w:type="dxa"/>
            <w:vAlign w:val="bottom"/>
          </w:tcPr>
          <w:p>
            <w:pPr>
              <w:spacing w:after="0"/>
              <w:rPr>
                <w:sz w:val="1"/>
                <w:szCs w:val="1"/>
                <w:color w:val="auto"/>
              </w:rPr>
            </w:pPr>
          </w:p>
        </w:tc>
      </w:tr>
      <w:tr>
        <w:trPr>
          <w:trHeight w:val="253"/>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7E7E8"/>
          </w:tcPr>
          <w:p>
            <w:pPr>
              <w:spacing w:after="0"/>
              <w:rPr>
                <w:sz w:val="21"/>
                <w:szCs w:val="21"/>
                <w:color w:val="auto"/>
              </w:rPr>
            </w:pPr>
          </w:p>
        </w:tc>
        <w:tc>
          <w:tcPr>
            <w:tcW w:w="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960" w:type="dxa"/>
            <w:vAlign w:val="bottom"/>
            <w:shd w:val="clear" w:color="auto" w:fill="E7E7E8"/>
          </w:tcPr>
          <w:p>
            <w:pPr>
              <w:spacing w:after="0"/>
              <w:rPr>
                <w:sz w:val="21"/>
                <w:szCs w:val="21"/>
                <w:color w:val="auto"/>
              </w:rPr>
            </w:pPr>
          </w:p>
        </w:tc>
        <w:tc>
          <w:tcPr>
            <w:tcW w:w="380" w:type="dxa"/>
            <w:vAlign w:val="bottom"/>
            <w:gridSpan w:val="4"/>
            <w:shd w:val="clear" w:color="auto" w:fill="E7E7E8"/>
          </w:tcPr>
          <w:p>
            <w:pPr>
              <w:jc w:val="right"/>
              <w:ind w:right="20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8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w:t>
            </w:r>
          </w:p>
        </w:tc>
        <w:tc>
          <w:tcPr>
            <w:tcW w:w="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E7E7E8"/>
          </w:tcPr>
          <w:p>
            <w:pPr>
              <w:spacing w:after="0"/>
              <w:rPr>
                <w:sz w:val="21"/>
                <w:szCs w:val="21"/>
                <w:color w:val="auto"/>
              </w:rPr>
            </w:pPr>
          </w:p>
        </w:tc>
        <w:tc>
          <w:tcPr>
            <w:tcW w:w="40" w:type="dxa"/>
            <w:vAlign w:val="bottom"/>
            <w:shd w:val="clear" w:color="auto" w:fill="E7E7E8"/>
          </w:tcPr>
          <w:p>
            <w:pPr>
              <w:spacing w:after="0"/>
              <w:rPr>
                <w:sz w:val="21"/>
                <w:szCs w:val="21"/>
                <w:color w:val="auto"/>
              </w:rPr>
            </w:pPr>
          </w:p>
        </w:tc>
        <w:tc>
          <w:tcPr>
            <w:tcW w:w="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1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Non-cash movements</w:t>
            </w:r>
          </w:p>
        </w:tc>
        <w:tc>
          <w:tcPr>
            <w:tcW w:w="16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40" w:type="dxa"/>
            <w:vAlign w:val="bottom"/>
            <w:tcBorders>
              <w:bottom w:val="single" w:sz="8" w:color="E7E7E8"/>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E7E7E8"/>
            </w:tcBorders>
          </w:tcPr>
          <w:p>
            <w:pPr>
              <w:spacing w:after="0"/>
              <w:rPr>
                <w:sz w:val="20"/>
                <w:szCs w:val="20"/>
                <w:color w:val="auto"/>
              </w:rPr>
            </w:pPr>
          </w:p>
        </w:tc>
        <w:tc>
          <w:tcPr>
            <w:tcW w:w="6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(1,215)</w:t>
            </w:r>
          </w:p>
        </w:tc>
        <w:tc>
          <w:tcPr>
            <w:tcW w:w="100" w:type="dxa"/>
            <w:vAlign w:val="bottom"/>
            <w:tcBorders>
              <w:bottom w:val="single" w:sz="8" w:color="E7E7E8"/>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56"/>
        </w:trPr>
        <w:tc>
          <w:tcPr>
            <w:tcW w:w="33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Balance at end of period</w:t>
            </w:r>
          </w:p>
        </w:tc>
        <w:tc>
          <w:tcPr>
            <w:tcW w:w="160" w:type="dxa"/>
            <w:vAlign w:val="bottom"/>
            <w:shd w:val="clear" w:color="auto" w:fill="E7E7E8"/>
          </w:tcPr>
          <w:p>
            <w:pPr>
              <w:spacing w:after="0"/>
              <w:rPr>
                <w:sz w:val="22"/>
                <w:szCs w:val="22"/>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525</w:t>
            </w:r>
          </w:p>
        </w:tc>
        <w:tc>
          <w:tcPr>
            <w:tcW w:w="80" w:type="dxa"/>
            <w:vAlign w:val="bottom"/>
            <w:shd w:val="clear" w:color="auto" w:fill="E7E7E8"/>
          </w:tcPr>
          <w:p>
            <w:pPr>
              <w:spacing w:after="0"/>
              <w:rPr>
                <w:sz w:val="22"/>
                <w:szCs w:val="22"/>
                <w:color w:val="auto"/>
              </w:rPr>
            </w:pPr>
          </w:p>
        </w:tc>
        <w:tc>
          <w:tcPr>
            <w:tcW w:w="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960" w:type="dxa"/>
            <w:vAlign w:val="bottom"/>
            <w:shd w:val="clear" w:color="auto" w:fill="E7E7E8"/>
          </w:tcPr>
          <w:p>
            <w:pPr>
              <w:jc w:val="right"/>
              <w:ind w:right="779"/>
              <w:spacing w:after="0"/>
              <w:rPr>
                <w:sz w:val="20"/>
                <w:szCs w:val="20"/>
                <w:color w:val="auto"/>
              </w:rPr>
            </w:pPr>
            <w:r>
              <w:rPr>
                <w:rFonts w:ascii="Arial" w:cs="Arial" w:eastAsia="Arial" w:hAnsi="Arial"/>
                <w:sz w:val="16"/>
                <w:szCs w:val="16"/>
                <w:color w:val="auto"/>
                <w:w w:val="89"/>
              </w:rPr>
              <w:t>$</w:t>
            </w:r>
          </w:p>
        </w:tc>
        <w:tc>
          <w:tcPr>
            <w:tcW w:w="380" w:type="dxa"/>
            <w:vAlign w:val="bottom"/>
            <w:gridSpan w:val="4"/>
            <w:shd w:val="clear" w:color="auto" w:fill="E7E7E8"/>
          </w:tcPr>
          <w:p>
            <w:pPr>
              <w:jc w:val="right"/>
              <w:ind w:right="2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525</w:t>
            </w:r>
          </w:p>
        </w:tc>
        <w:tc>
          <w:tcPr>
            <w:tcW w:w="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1,143</w:t>
            </w:r>
          </w:p>
        </w:tc>
        <w:tc>
          <w:tcPr>
            <w:tcW w:w="60" w:type="dxa"/>
            <w:vAlign w:val="bottom"/>
            <w:shd w:val="clear" w:color="auto" w:fill="E7E7E8"/>
          </w:tcPr>
          <w:p>
            <w:pPr>
              <w:spacing w:after="0"/>
              <w:rPr>
                <w:sz w:val="22"/>
                <w:szCs w:val="22"/>
                <w:color w:val="auto"/>
              </w:rPr>
            </w:pPr>
          </w:p>
        </w:tc>
        <w:tc>
          <w:tcPr>
            <w:tcW w:w="40" w:type="dxa"/>
            <w:vAlign w:val="bottom"/>
            <w:shd w:val="clear" w:color="auto" w:fill="E7E7E8"/>
          </w:tcPr>
          <w:p>
            <w:pPr>
              <w:spacing w:after="0"/>
              <w:rPr>
                <w:sz w:val="22"/>
                <w:szCs w:val="22"/>
                <w:color w:val="auto"/>
              </w:rPr>
            </w:pPr>
          </w:p>
        </w:tc>
        <w:tc>
          <w:tcPr>
            <w:tcW w:w="18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0"/>
        </w:trPr>
        <w:tc>
          <w:tcPr>
            <w:tcW w:w="33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7E7E8"/>
            </w:tcBorders>
          </w:tcPr>
          <w:p>
            <w:pPr>
              <w:spacing w:after="0" w:line="20" w:lineRule="exact"/>
              <w:rPr>
                <w:sz w:val="1"/>
                <w:szCs w:val="1"/>
                <w:color w:val="auto"/>
              </w:rPr>
            </w:pPr>
          </w:p>
        </w:tc>
        <w:tc>
          <w:tcPr>
            <w:tcW w:w="6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restructuring charges for the three and six months ended June 30, 2020 are primarily driven by termination costs related to reductions in force as a result of COVID-19.</w:t>
      </w:r>
    </w:p>
    <w:p>
      <w:pPr>
        <w:spacing w:after="0" w:line="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restructuring charges for the three and six months ended June 30, 2019 primarily relate to employee termination costs in order to capture operating synergies as a result of integrating ModSpace into WillScot. These costs were primarily the termination of employees in connection with the consolidation of overlapping facilities and functions within the existing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$0.7 million of restructuring charges for the three months ended June 30, 2020 includes $0.6 million of charges related to the Modular - US segment and less than $0.1 million of charges related to the Modular - Other North America segment.</w:t>
      </w:r>
    </w:p>
    <w:p>
      <w:pPr>
        <w:spacing w:after="0" w:line="2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$1.6 million of restructuring charges for the three months ended June 30, 2019 includes $1.7 million of charges related to the Modular - US segment, offset by a reversal of $(0.1) million of charges related to the Modular - Other North America segment.</w:t>
      </w:r>
    </w:p>
    <w:p>
      <w:pPr>
        <w:spacing w:after="0" w:line="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$0.7 million of restructuring charges for the six months ended June 30, 2020 includes $0.6 million of charges pertaining to the Modular - US segment and $0.1 million of charges pertaining to the Modular - Other North America segment.</w:t>
      </w:r>
    </w:p>
    <w:p>
      <w:pPr>
        <w:spacing w:after="0" w:line="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$3.3 million of restructuring charges for the six months ended June 30, 2019 include $2.9 million charges pertaining to the Modular - US segment and $0.4 million of charges related to the Modular - Other North America segment.</w:t>
      </w: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1D2758"/>
        </w:rPr>
        <w:t>NOTE 14 - Stock-Based Compensation</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six months ended June 30, 2020, 174,020 time-based restricted stock units ("Time-Based RSUs"), 65,959 restricted stock awards ("RSAs"), and 202,923 market-based restricted stock units ("Market-Based RSUs", and together with the Time-Based RSUs, the "RSUs") were granted under the WillScot Corporation 2017 Incentive Award Plan (the "Plan").</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six months ended June 30, 2020, 323,678 Time-Based RSUs, 52,755 RSAs, and 133,547 stock options vested in accordance with their terms, resulting in the issuance of 238,927 shares of Class A common stock to participants, net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20" w:name="page21"/>
    <w:bookmarkEnd w:id="20"/>
    <w:p>
      <w:pPr>
        <w:jc w:val="both"/>
        <w:spacing w:after="0" w:line="260" w:lineRule="auto"/>
        <w:rPr>
          <w:sz w:val="20"/>
          <w:szCs w:val="20"/>
          <w:color w:val="auto"/>
        </w:rPr>
      </w:pPr>
      <w:r>
        <w:rPr>
          <w:rFonts w:ascii="Arial" w:cs="Arial" w:eastAsia="Arial" w:hAnsi="Arial"/>
          <w:sz w:val="16"/>
          <w:szCs w:val="16"/>
          <w:color w:val="auto"/>
        </w:rPr>
        <w:t>of 84,751 shares withheld to cover taxes. During the six months ended June 30, 2020, 15,106 Time-Based RSUs and 12,700 Market-Based RSUs were forfeited.</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2020, 65,959 RSAs, 900,541 Time-Based RSUs, 478,504 Market-Based RSUs, and 253,328 stock options were unvested, with weighted average grant date fair values of $11.75, $13.49, $14.71, and $5.51,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w:t>
      </w:r>
    </w:p>
    <w:p>
      <w:pPr>
        <w:spacing w:after="0" w:line="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$0.3 million and $0.2 million for the three months ended June 30, 2020 and 2019, respectively. Compensation expense for RSAs on the condensed consolidated statements of operations was $0.5 million and $0.5 million for the six months ended June 30, 2020 and 2019, respectively, with associated tax benefits of $0.0 million and $0.1 million. At June 30, 2020, there was $0.7 million of unrecognized compensation cost related to RSAs that is expected to be recognized over the remaining weighted average vesting period of 0.9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Compensation expense for Time-Based RSUs recognized in SG&amp;A on the condensed consolidated statements of operations was $1.2 million and $1.2 million for the three months ended June 30, 2020 and 2019, respectively. Compensation expense for Time-Based RSUs recognized in SG&amp;A on the condensed consolidated statements of operations was $2.2 million and $1.9 million for the six months ended June 30, 2020 and 2019, respectively, with associated tax benefits of $0.0 million and $0.2 million. At June 30, 2020, unrecognized compensation cost related to Time-Based RSUs totaled $10.8 million and is expected to be recognized over the remaining weighted average vesting period of 2.5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RSUs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Compensation expense for Market-Based RSUs recognized in SG&amp;A on the condensed consolidated statements of operations was $0.6 million and $0.3 million for the three months ended June 30, 2020 and 2019, respectively. Compensation expense for Market-Based RSUs recognized in SG&amp;A on the condensed consolidated statements of operations was $0.9 million and $0.4 million for the six months ended June 30, 2020 and 2019, respectively, with associated tax benefits of $0.0 million and $0.1 million. At June 30, 2020, unrecognized compensation cost related to Market-Based RSUs totaled $5.1 million and is expected to be recognized over the remaining vesting period of 2.1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$0.2 million for the three months ended June 30, 2020 and 2019, respectively. Compensation expense for stock option awards, recognized in SG&amp;A on the condensed consolidated statements of operations, was $0.4 million and $0.4 million for the six months ended June 30, 2020 and 2019, respectively, with associated tax benefits of $0.0 million and $0.1 million. At June 30, 2020, unrecognized compensation cost related to stock option awards totaled $1.3 million and is expected to be recognized over the remaining vesting period of 1.7 years.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Incentive Plan</w:t>
      </w:r>
    </w:p>
    <w:p>
      <w:pPr>
        <w:spacing w:after="0" w:line="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June 24, 2020, WillScot’s stockholders approved the Company’s 2020 Incentive Award Plan (the “2020 Incentive Plan”), subject to completion of the Merger. The plan amends and restates in its entirety the WillScot Corporation 2017 Incentive Award Plan, as amended. As a result, all future incentive awards to the Company’s executive officers, including as contemplated by such officers’ employment agreements, in connection with the completion of the Merger or otherwise as determined by the Company’s compensation committee and the Board, as applicable, will be granted under the 2020 Incentive Plan. On July 2, 2020, the Company issued 122,332 performance based stock units ("PSUs") and 458,841 RSUs under the 2020 Incentive Plan.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1" w:name="page22"/>
    <w:bookmarkEnd w:id="21"/>
    <w:p>
      <w:pPr>
        <w:spacing w:after="0"/>
        <w:rPr>
          <w:sz w:val="20"/>
          <w:szCs w:val="20"/>
          <w:color w:val="auto"/>
        </w:rPr>
      </w:pPr>
      <w:r>
        <w:rPr>
          <w:rFonts w:ascii="Arial" w:cs="Arial" w:eastAsia="Arial" w:hAnsi="Arial"/>
          <w:sz w:val="23"/>
          <w:szCs w:val="23"/>
          <w:color w:val="1D2758"/>
        </w:rPr>
        <w:t>NOTE 15 - Derivatives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current and new ABL Facility into fixed-rate debt. The Swap Agreement will terminate on May 29, 2022. Under the terms of the Swap Agreement, the Company receives a floating rate equal to 1 month LIBOR and makes payments based on a fixed rate of 3.06% on the notional amount. The receive rate under the terms of the Swap Agreement was 0.18% and 1.74% at June 30, 2020 and December 31, 2019, respectively.</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at the respective balance sheet dates,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160" w:type="dxa"/>
            <w:vAlign w:val="bottom"/>
            <w:shd w:val="clear" w:color="auto" w:fill="1D2758"/>
          </w:tcPr>
          <w:p>
            <w:pPr>
              <w:ind w:left="1820"/>
              <w:spacing w:after="0"/>
              <w:rPr>
                <w:sz w:val="20"/>
                <w:szCs w:val="20"/>
                <w:color w:val="auto"/>
              </w:rPr>
            </w:pPr>
            <w:r>
              <w:rPr>
                <w:rFonts w:ascii="Arial" w:cs="Arial" w:eastAsia="Arial" w:hAnsi="Arial"/>
                <w:sz w:val="16"/>
                <w:szCs w:val="16"/>
                <w:b w:val="1"/>
                <w:bCs w:val="1"/>
                <w:color w:val="FFFFFF"/>
              </w:rPr>
              <w:t>Balance Sheet Location</w:t>
            </w:r>
          </w:p>
        </w:tc>
        <w:tc>
          <w:tcPr>
            <w:tcW w:w="840" w:type="dxa"/>
            <w:vAlign w:val="bottom"/>
            <w:shd w:val="clear" w:color="auto" w:fill="1D2758"/>
          </w:tcPr>
          <w:p>
            <w:pPr>
              <w:spacing w:after="0"/>
              <w:rPr>
                <w:sz w:val="21"/>
                <w:szCs w:val="21"/>
                <w:color w:val="auto"/>
              </w:rPr>
            </w:pPr>
          </w:p>
        </w:tc>
        <w:tc>
          <w:tcPr>
            <w:tcW w:w="170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June 30, 2020</w:t>
            </w:r>
          </w:p>
        </w:tc>
        <w:tc>
          <w:tcPr>
            <w:tcW w:w="280" w:type="dxa"/>
            <w:vAlign w:val="bottom"/>
            <w:shd w:val="clear" w:color="auto" w:fill="1D2758"/>
          </w:tcPr>
          <w:p>
            <w:pPr>
              <w:spacing w:after="0"/>
              <w:rPr>
                <w:sz w:val="21"/>
                <w:szCs w:val="21"/>
                <w:color w:val="auto"/>
              </w:rPr>
            </w:pPr>
          </w:p>
        </w:tc>
        <w:tc>
          <w:tcPr>
            <w:tcW w:w="1860" w:type="dxa"/>
            <w:vAlign w:val="bottom"/>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December 31, 2019</w:t>
            </w:r>
          </w:p>
        </w:tc>
      </w:tr>
      <w:tr>
        <w:trPr>
          <w:trHeight w:val="230"/>
        </w:trPr>
        <w:tc>
          <w:tcPr>
            <w:tcW w:w="24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4160" w:type="dxa"/>
            <w:vAlign w:val="bottom"/>
            <w:shd w:val="clear" w:color="auto" w:fill="E7E7E8"/>
          </w:tcPr>
          <w:p>
            <w:pPr>
              <w:spacing w:after="0"/>
              <w:rPr>
                <w:sz w:val="19"/>
                <w:szCs w:val="19"/>
                <w:color w:val="auto"/>
              </w:rPr>
            </w:pPr>
          </w:p>
        </w:tc>
        <w:tc>
          <w:tcPr>
            <w:tcW w:w="840" w:type="dxa"/>
            <w:vAlign w:val="bottom"/>
            <w:shd w:val="clear" w:color="auto" w:fill="E7E7E8"/>
          </w:tcPr>
          <w:p>
            <w:pPr>
              <w:spacing w:after="0"/>
              <w:rPr>
                <w:sz w:val="19"/>
                <w:szCs w:val="19"/>
                <w:color w:val="auto"/>
              </w:rPr>
            </w:pPr>
          </w:p>
        </w:tc>
        <w:tc>
          <w:tcPr>
            <w:tcW w:w="170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1860" w:type="dxa"/>
            <w:vAlign w:val="bottom"/>
            <w:shd w:val="clear" w:color="auto" w:fill="E7E7E8"/>
          </w:tcPr>
          <w:p>
            <w:pPr>
              <w:spacing w:after="0"/>
              <w:rPr>
                <w:sz w:val="19"/>
                <w:szCs w:val="19"/>
                <w:color w:val="auto"/>
              </w:rPr>
            </w:pPr>
          </w:p>
        </w:tc>
      </w:tr>
      <w:tr>
        <w:trPr>
          <w:trHeight w:val="233"/>
        </w:trPr>
        <w:tc>
          <w:tcPr>
            <w:tcW w:w="240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4160" w:type="dxa"/>
            <w:vAlign w:val="bottom"/>
          </w:tcPr>
          <w:p>
            <w:pPr>
              <w:ind w:left="880"/>
              <w:spacing w:after="0"/>
              <w:rPr>
                <w:sz w:val="20"/>
                <w:szCs w:val="20"/>
                <w:color w:val="auto"/>
              </w:rPr>
            </w:pPr>
            <w:r>
              <w:rPr>
                <w:rFonts w:ascii="Arial" w:cs="Arial" w:eastAsia="Arial" w:hAnsi="Arial"/>
                <w:sz w:val="16"/>
                <w:szCs w:val="16"/>
                <w:color w:val="auto"/>
              </w:rPr>
              <w:t>Accrued liabilities</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11,181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5,348</w:t>
            </w:r>
          </w:p>
        </w:tc>
      </w:tr>
      <w:tr>
        <w:trPr>
          <w:trHeight w:val="253"/>
        </w:trPr>
        <w:tc>
          <w:tcPr>
            <w:tcW w:w="240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4160" w:type="dxa"/>
            <w:vAlign w:val="bottom"/>
            <w:shd w:val="clear" w:color="auto" w:fill="E7E7E8"/>
          </w:tcPr>
          <w:p>
            <w:pPr>
              <w:ind w:left="880"/>
              <w:spacing w:after="0"/>
              <w:rPr>
                <w:sz w:val="20"/>
                <w:szCs w:val="20"/>
                <w:color w:val="auto"/>
              </w:rPr>
            </w:pPr>
            <w:r>
              <w:rPr>
                <w:rFonts w:ascii="Arial" w:cs="Arial" w:eastAsia="Arial" w:hAnsi="Arial"/>
                <w:sz w:val="16"/>
                <w:szCs w:val="16"/>
                <w:color w:val="auto"/>
              </w:rPr>
              <w:t>Other long-term liabilities</w:t>
            </w:r>
          </w:p>
        </w:tc>
        <w:tc>
          <w:tcPr>
            <w:tcW w:w="8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11,170</w:t>
            </w:r>
          </w:p>
        </w:tc>
        <w:tc>
          <w:tcPr>
            <w:tcW w:w="2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8,943</w:t>
            </w:r>
          </w:p>
        </w:tc>
      </w:tr>
    </w:tbl>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June 30, 2020 and December 31, 2019, respectively, for contracts involving the same attributes and maturity dates.</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AOCI and the Company’s statement of operations for the six months ending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940" w:type="dxa"/>
            <w:vAlign w:val="bottom"/>
            <w:shd w:val="clear" w:color="auto" w:fill="1D2758"/>
          </w:tcPr>
          <w:p>
            <w:pPr>
              <w:spacing w:after="0"/>
              <w:rPr>
                <w:sz w:val="21"/>
                <w:szCs w:val="21"/>
                <w:color w:val="auto"/>
              </w:rPr>
            </w:pPr>
          </w:p>
        </w:tc>
        <w:tc>
          <w:tcPr>
            <w:tcW w:w="15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280" w:type="dxa"/>
            <w:vAlign w:val="bottom"/>
            <w:shd w:val="clear" w:color="auto" w:fill="1D2758"/>
          </w:tcPr>
          <w:p>
            <w:pPr>
              <w:spacing w:after="0"/>
              <w:rPr>
                <w:sz w:val="21"/>
                <w:szCs w:val="21"/>
                <w:color w:val="auto"/>
              </w:rPr>
            </w:pPr>
          </w:p>
        </w:tc>
        <w:tc>
          <w:tcPr>
            <w:tcW w:w="15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2019</w:t>
            </w:r>
          </w:p>
        </w:tc>
      </w:tr>
      <w:tr>
        <w:trPr>
          <w:trHeight w:val="24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recognized in OCI</w:t>
            </w:r>
          </w:p>
        </w:tc>
        <w:tc>
          <w:tcPr>
            <w:tcW w:w="1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(7,783)</w:t>
            </w:r>
          </w:p>
        </w:tc>
        <w:tc>
          <w:tcPr>
            <w:tcW w:w="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(7,951)</w:t>
            </w:r>
          </w:p>
        </w:tc>
      </w:tr>
      <w:tr>
        <w:trPr>
          <w:trHeight w:val="233"/>
        </w:trPr>
        <w:tc>
          <w:tcPr>
            <w:tcW w:w="5980" w:type="dxa"/>
            <w:vAlign w:val="bottom"/>
          </w:tcPr>
          <w:p>
            <w:pPr>
              <w:ind w:left="20"/>
              <w:spacing w:after="0"/>
              <w:rPr>
                <w:sz w:val="20"/>
                <w:szCs w:val="20"/>
                <w:color w:val="auto"/>
              </w:rPr>
            </w:pPr>
            <w:r>
              <w:rPr>
                <w:rFonts w:ascii="Arial" w:cs="Arial" w:eastAsia="Arial" w:hAnsi="Arial"/>
                <w:sz w:val="16"/>
                <w:szCs w:val="16"/>
                <w:color w:val="auto"/>
              </w:rPr>
              <w:t>Location of loss recognized in income</w:t>
            </w:r>
          </w:p>
        </w:tc>
        <w:tc>
          <w:tcPr>
            <w:tcW w:w="1940" w:type="dxa"/>
            <w:vAlign w:val="bottom"/>
          </w:tcPr>
          <w:p>
            <w:pPr>
              <w:spacing w:after="0"/>
              <w:rPr>
                <w:sz w:val="20"/>
                <w:szCs w:val="20"/>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Interest expense</w:t>
            </w:r>
          </w:p>
        </w:tc>
      </w:tr>
      <w:tr>
        <w:trPr>
          <w:trHeight w:val="253"/>
        </w:trPr>
        <w:tc>
          <w:tcPr>
            <w:tcW w:w="5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reclassified from AOCI into income (effective portion)</w:t>
            </w:r>
          </w:p>
        </w:tc>
        <w:tc>
          <w:tcPr>
            <w:tcW w:w="1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(4,189)</w:t>
            </w:r>
          </w:p>
        </w:tc>
        <w:tc>
          <w:tcPr>
            <w:tcW w:w="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(1,181)</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2" w:name="page23"/>
    <w:bookmarkEnd w:id="22"/>
    <w:p>
      <w:pPr>
        <w:spacing w:after="0"/>
        <w:rPr>
          <w:sz w:val="20"/>
          <w:szCs w:val="20"/>
          <w:color w:val="auto"/>
        </w:rPr>
      </w:pPr>
      <w:r>
        <w:rPr>
          <w:rFonts w:ascii="Arial" w:cs="Arial" w:eastAsia="Arial" w:hAnsi="Arial"/>
          <w:sz w:val="23"/>
          <w:szCs w:val="23"/>
          <w:color w:val="1D2758"/>
        </w:rPr>
        <w:t>NOTE 16 - Commitments and Contingencies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2020 and December 31, 2019, commitments for the acquisition of rental equipment and property, plant and equipment were $4.7 million and $4.5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1D2758"/>
        </w:rPr>
        <w:t>NOTE 17 - Segment Reporting</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operates in one principal line of business: modular leasing and sales. 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Total assets for each reportable segment are not available because the Company utilizes a centralized approach to working capital management. Transactions between reportable segments are not significant. As a result of the Merger, the Company will evaluate its operating segments for future reporting.</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Chief Operating Decision Maker ("CODM") evaluates business segment performance utilizing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the intrinsic operating results of the Company.</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Reportable Segments</w:t>
      </w:r>
    </w:p>
    <w:p>
      <w:pPr>
        <w:spacing w:after="0" w:line="14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and six months ended June 30,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01" w:lineRule="exact"/>
        <w:rPr>
          <w:sz w:val="20"/>
          <w:szCs w:val="20"/>
          <w:color w:val="auto"/>
        </w:rPr>
      </w:pPr>
    </w:p>
    <w:p>
      <w:pPr>
        <w:ind w:left="7240"/>
        <w:spacing w:after="0"/>
        <w:rPr>
          <w:sz w:val="20"/>
          <w:szCs w:val="20"/>
          <w:color w:val="auto"/>
        </w:rPr>
      </w:pPr>
      <w:r>
        <w:rPr>
          <w:rFonts w:ascii="Arial" w:cs="Arial" w:eastAsia="Arial" w:hAnsi="Arial"/>
          <w:sz w:val="16"/>
          <w:szCs w:val="16"/>
          <w:b w:val="1"/>
          <w:bCs w:val="1"/>
          <w:color w:val="FFFFFF"/>
        </w:rPr>
        <w:t>Three Months Ended June 30,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4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34"/>
        </w:trPr>
        <w:tc>
          <w:tcPr>
            <w:tcW w:w="59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1560" w:type="dxa"/>
            <w:vAlign w:val="bottom"/>
            <w:gridSpan w:val="2"/>
            <w:shd w:val="clear" w:color="auto" w:fill="1D2758"/>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16"/>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175,285</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14,858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190,143</w:t>
            </w: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47,213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4,427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51,640</w:t>
            </w: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9,763</w:t>
            </w: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4,144</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5,316</w:t>
            </w:r>
          </w:p>
        </w:tc>
      </w:tr>
      <w:tr>
        <w:trPr>
          <w:trHeight w:val="227"/>
        </w:trPr>
        <w:tc>
          <w:tcPr>
            <w:tcW w:w="592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236,048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20,814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256,862</w:t>
            </w:r>
          </w:p>
        </w:tc>
      </w:tr>
      <w:tr>
        <w:trPr>
          <w:trHeight w:val="266"/>
        </w:trPr>
        <w:tc>
          <w:tcPr>
            <w:tcW w:w="5920" w:type="dxa"/>
            <w:vAlign w:val="bottom"/>
            <w:shd w:val="clear" w:color="auto" w:fill="E7E7E8"/>
          </w:tcPr>
          <w:p>
            <w:pPr>
              <w:spacing w:after="0"/>
              <w:rPr>
                <w:sz w:val="23"/>
                <w:szCs w:val="23"/>
                <w:color w:val="auto"/>
              </w:rPr>
            </w:pPr>
          </w:p>
        </w:tc>
        <w:tc>
          <w:tcPr>
            <w:tcW w:w="240" w:type="dxa"/>
            <w:vAlign w:val="bottom"/>
            <w:shd w:val="clear" w:color="auto" w:fill="E7E7E8"/>
          </w:tcPr>
          <w:p>
            <w:pPr>
              <w:spacing w:after="0"/>
              <w:rPr>
                <w:sz w:val="23"/>
                <w:szCs w:val="23"/>
                <w:color w:val="auto"/>
              </w:rPr>
            </w:pPr>
          </w:p>
        </w:tc>
        <w:tc>
          <w:tcPr>
            <w:tcW w:w="146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5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44,567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47,747</w:t>
            </w: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39,758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43,523</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6,160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6,331</w:t>
            </w:r>
          </w:p>
        </w:tc>
      </w:tr>
      <w:tr>
        <w:trPr>
          <w:trHeight w:val="233"/>
        </w:trPr>
        <w:tc>
          <w:tcPr>
            <w:tcW w:w="592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3,803</w:t>
            </w: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41,651</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3,843</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45,494</w:t>
            </w:r>
          </w:p>
        </w:tc>
      </w:tr>
      <w:tr>
        <w:trPr>
          <w:trHeight w:val="230"/>
        </w:trPr>
        <w:tc>
          <w:tcPr>
            <w:tcW w:w="592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100,951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109,964</w:t>
            </w:r>
          </w:p>
        </w:tc>
      </w:tr>
      <w:tr>
        <w:trPr>
          <w:trHeight w:val="21"/>
        </w:trPr>
        <w:tc>
          <w:tcPr>
            <w:tcW w:w="592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6"/>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90,613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6,907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97,520</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59,328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5,944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65,272</w:t>
            </w: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2,704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2,883</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Purchases of rental equipment and refurbishments</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38,065</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40,034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left="720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06285" cy="428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428625"/>
                    </a:xfrm>
                    <a:prstGeom prst="rect">
                      <a:avLst/>
                    </a:prstGeom>
                    <a:noFill/>
                  </pic:spPr>
                </pic:pic>
              </a:graphicData>
            </a:graphic>
          </wp:anchor>
        </w:drawing>
        <w:t>Three Months Ended June 30,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4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34"/>
        </w:trPr>
        <w:tc>
          <w:tcPr>
            <w:tcW w:w="59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1560" w:type="dxa"/>
            <w:vAlign w:val="bottom"/>
            <w:gridSpan w:val="2"/>
            <w:shd w:val="clear" w:color="auto" w:fill="1D2758"/>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1D2758"/>
          </w:tcPr>
          <w:p>
            <w:pPr>
              <w:spacing w:after="0"/>
              <w:rPr>
                <w:sz w:val="20"/>
                <w:szCs w:val="20"/>
                <w:color w:val="auto"/>
              </w:rPr>
            </w:pPr>
          </w:p>
        </w:tc>
        <w:tc>
          <w:tcPr>
            <w:tcW w:w="162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168,826</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16,992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185,818</w:t>
            </w: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52,495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3,471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55,966</w:t>
            </w:r>
          </w:p>
        </w:tc>
      </w:tr>
      <w:tr>
        <w:trPr>
          <w:trHeight w:val="253"/>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10,293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11,507</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4,888</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5,534</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10,422</w:t>
            </w:r>
          </w:p>
        </w:tc>
      </w:tr>
      <w:tr>
        <w:trPr>
          <w:trHeight w:val="227"/>
        </w:trPr>
        <w:tc>
          <w:tcPr>
            <w:tcW w:w="59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236,502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27,211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263,713</w:t>
            </w:r>
          </w:p>
        </w:tc>
      </w:tr>
      <w:tr>
        <w:trPr>
          <w:trHeight w:val="266"/>
        </w:trPr>
        <w:tc>
          <w:tcPr>
            <w:tcW w:w="5900" w:type="dxa"/>
            <w:vAlign w:val="bottom"/>
            <w:shd w:val="clear" w:color="auto" w:fill="E7E7E8"/>
          </w:tcPr>
          <w:p>
            <w:pPr>
              <w:spacing w:after="0"/>
              <w:rPr>
                <w:sz w:val="23"/>
                <w:szCs w:val="23"/>
                <w:color w:val="auto"/>
              </w:rPr>
            </w:pPr>
          </w:p>
        </w:tc>
        <w:tc>
          <w:tcPr>
            <w:tcW w:w="240" w:type="dxa"/>
            <w:vAlign w:val="bottom"/>
            <w:shd w:val="clear" w:color="auto" w:fill="E7E7E8"/>
          </w:tcPr>
          <w:p>
            <w:pPr>
              <w:spacing w:after="0"/>
              <w:rPr>
                <w:sz w:val="23"/>
                <w:szCs w:val="23"/>
                <w:color w:val="auto"/>
              </w:rPr>
            </w:pPr>
          </w:p>
        </w:tc>
        <w:tc>
          <w:tcPr>
            <w:tcW w:w="146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5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51,083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3,990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55,073</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43,949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4,519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48,468</w:t>
            </w: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7,138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7,999</w:t>
            </w: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4,060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6,721</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4,768</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43,968</w:t>
            </w:r>
          </w:p>
        </w:tc>
      </w:tr>
      <w:tr>
        <w:trPr>
          <w:trHeight w:val="230"/>
        </w:trPr>
        <w:tc>
          <w:tcPr>
            <w:tcW w:w="590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92,471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101,484</w:t>
            </w:r>
          </w:p>
        </w:tc>
      </w:tr>
      <w:tr>
        <w:trPr>
          <w:trHeight w:val="20"/>
        </w:trPr>
        <w:tc>
          <w:tcPr>
            <w:tcW w:w="590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6"/>
        </w:trPr>
        <w:tc>
          <w:tcPr>
            <w:tcW w:w="59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80,547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7,007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87,554</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62,627</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7,758</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70,385</w:t>
            </w:r>
          </w:p>
        </w:tc>
      </w:tr>
      <w:tr>
        <w:trPr>
          <w:trHeight w:val="233"/>
        </w:trPr>
        <w:tc>
          <w:tcPr>
            <w:tcW w:w="590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2,743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2,949</w:t>
            </w:r>
          </w:p>
        </w:tc>
      </w:tr>
      <w:tr>
        <w:trPr>
          <w:trHeight w:val="253"/>
        </w:trPr>
        <w:tc>
          <w:tcPr>
            <w:tcW w:w="59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Purchases of rental equipment and refurbishments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58,241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2,974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5" w:name="page26"/>
    <w:bookmarkEnd w:id="25"/>
    <w:p>
      <w:pPr>
        <w:ind w:left="73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428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Six Months Ended June 30,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60" w:type="dxa"/>
            <w:vAlign w:val="bottom"/>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4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1D2758"/>
          </w:tcPr>
          <w:p>
            <w:pPr>
              <w:spacing w:after="0"/>
              <w:rPr>
                <w:sz w:val="17"/>
                <w:szCs w:val="17"/>
                <w:color w:val="auto"/>
              </w:rPr>
            </w:pPr>
          </w:p>
        </w:tc>
        <w:tc>
          <w:tcPr>
            <w:tcW w:w="1300" w:type="dxa"/>
            <w:vAlign w:val="bottom"/>
            <w:shd w:val="clear" w:color="auto" w:fill="1D2758"/>
          </w:tcPr>
          <w:p>
            <w:pPr>
              <w:spacing w:after="0"/>
              <w:rPr>
                <w:sz w:val="17"/>
                <w:szCs w:val="17"/>
                <w:color w:val="auto"/>
              </w:rPr>
            </w:pPr>
          </w:p>
        </w:tc>
      </w:tr>
      <w:tr>
        <w:trPr>
          <w:trHeight w:val="234"/>
        </w:trPr>
        <w:tc>
          <w:tcPr>
            <w:tcW w:w="59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1560" w:type="dxa"/>
            <w:vAlign w:val="bottom"/>
            <w:gridSpan w:val="2"/>
            <w:shd w:val="clear" w:color="auto" w:fill="1D2758"/>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1D2758"/>
          </w:tcPr>
          <w:p>
            <w:pPr>
              <w:spacing w:after="0"/>
              <w:rPr>
                <w:sz w:val="20"/>
                <w:szCs w:val="20"/>
                <w:color w:val="auto"/>
              </w:rPr>
            </w:pPr>
          </w:p>
        </w:tc>
        <w:tc>
          <w:tcPr>
            <w:tcW w:w="1620" w:type="dxa"/>
            <w:vAlign w:val="bottom"/>
            <w:gridSpan w:val="2"/>
            <w:shd w:val="clear" w:color="auto" w:fill="1D2758"/>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1D2758"/>
          </w:tcPr>
          <w:p>
            <w:pPr>
              <w:spacing w:after="0"/>
              <w:rPr>
                <w:sz w:val="20"/>
                <w:szCs w:val="20"/>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347,860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30,635</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378,495</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94,830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7,880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102,710</w:t>
            </w: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 revenue:</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18,673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19,376</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8,549</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3,553</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12,102</w:t>
            </w:r>
          </w:p>
        </w:tc>
      </w:tr>
      <w:tr>
        <w:trPr>
          <w:trHeight w:val="227"/>
        </w:trPr>
        <w:tc>
          <w:tcPr>
            <w:tcW w:w="59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469,912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42,771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512,683</w:t>
            </w:r>
          </w:p>
        </w:tc>
      </w:tr>
      <w:tr>
        <w:trPr>
          <w:trHeight w:val="280"/>
        </w:trPr>
        <w:tc>
          <w:tcPr>
            <w:tcW w:w="596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4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Modular leasing</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91,451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6,105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97,556</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delivery and installation</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80,464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6,924</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87,388</w:t>
            </w:r>
          </w:p>
        </w:tc>
      </w:tr>
      <w:tr>
        <w:trPr>
          <w:trHeight w:val="233"/>
        </w:trPr>
        <w:tc>
          <w:tcPr>
            <w:tcW w:w="59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12,167</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12,534</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2,343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7,609</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83,304</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8,138</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91,442</w:t>
            </w:r>
          </w:p>
        </w:tc>
      </w:tr>
      <w:tr>
        <w:trPr>
          <w:trHeight w:val="230"/>
        </w:trPr>
        <w:tc>
          <w:tcPr>
            <w:tcW w:w="5960" w:type="dxa"/>
            <w:vAlign w:val="bottom"/>
          </w:tcPr>
          <w:p>
            <w:pPr>
              <w:ind w:left="4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197,260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18,894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216,154</w:t>
            </w:r>
          </w:p>
        </w:tc>
      </w:tr>
      <w:tr>
        <w:trPr>
          <w:trHeight w:val="21"/>
        </w:trPr>
        <w:tc>
          <w:tcPr>
            <w:tcW w:w="596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6"/>
        </w:trPr>
        <w:tc>
          <w:tcPr>
            <w:tcW w:w="5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172,296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14,766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187,062</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127,991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12,249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140,240</w:t>
            </w:r>
          </w:p>
        </w:tc>
      </w:tr>
      <w:tr>
        <w:trPr>
          <w:trHeight w:val="233"/>
        </w:trPr>
        <w:tc>
          <w:tcPr>
            <w:tcW w:w="596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5,581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5,957</w:t>
            </w:r>
          </w:p>
        </w:tc>
      </w:tr>
      <w:tr>
        <w:trPr>
          <w:trHeight w:val="253"/>
        </w:trPr>
        <w:tc>
          <w:tcPr>
            <w:tcW w:w="59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75,071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4,611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79,682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ind w:left="73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428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t>Six Months Ended June 30,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4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r>
      <w:tr>
        <w:trPr>
          <w:trHeight w:val="234"/>
        </w:trPr>
        <w:tc>
          <w:tcPr>
            <w:tcW w:w="59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1D2758"/>
          </w:tcPr>
          <w:p>
            <w:pPr>
              <w:spacing w:after="0"/>
              <w:rPr>
                <w:sz w:val="20"/>
                <w:szCs w:val="20"/>
                <w:color w:val="auto"/>
              </w:rPr>
            </w:pPr>
          </w:p>
        </w:tc>
        <w:tc>
          <w:tcPr>
            <w:tcW w:w="1560" w:type="dxa"/>
            <w:vAlign w:val="bottom"/>
            <w:gridSpan w:val="2"/>
            <w:shd w:val="clear" w:color="auto" w:fill="1D2758"/>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330,711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32,399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363,110</w:t>
            </w: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98,501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7,465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105,966</w:t>
            </w: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24,254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2,094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26,348</w:t>
            </w:r>
          </w:p>
        </w:tc>
      </w:tr>
      <w:tr>
        <w:trPr>
          <w:trHeight w:val="246"/>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13,211</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8,763</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21,974</w:t>
            </w:r>
          </w:p>
        </w:tc>
      </w:tr>
      <w:tr>
        <w:trPr>
          <w:trHeight w:val="233"/>
        </w:trPr>
        <w:tc>
          <w:tcPr>
            <w:tcW w:w="592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466,677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50,721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517,398</w:t>
            </w:r>
          </w:p>
        </w:tc>
      </w:tr>
      <w:tr>
        <w:trPr>
          <w:trHeight w:val="266"/>
        </w:trPr>
        <w:tc>
          <w:tcPr>
            <w:tcW w:w="5920" w:type="dxa"/>
            <w:vAlign w:val="bottom"/>
            <w:shd w:val="clear" w:color="auto" w:fill="E7E7E8"/>
          </w:tcPr>
          <w:p>
            <w:pPr>
              <w:spacing w:after="0"/>
              <w:rPr>
                <w:sz w:val="23"/>
                <w:szCs w:val="23"/>
                <w:color w:val="auto"/>
              </w:rPr>
            </w:pPr>
          </w:p>
        </w:tc>
        <w:tc>
          <w:tcPr>
            <w:tcW w:w="240" w:type="dxa"/>
            <w:vAlign w:val="bottom"/>
            <w:shd w:val="clear" w:color="auto" w:fill="E7E7E8"/>
          </w:tcPr>
          <w:p>
            <w:pPr>
              <w:spacing w:after="0"/>
              <w:rPr>
                <w:sz w:val="23"/>
                <w:szCs w:val="23"/>
                <w:color w:val="auto"/>
              </w:rPr>
            </w:pPr>
          </w:p>
        </w:tc>
        <w:tc>
          <w:tcPr>
            <w:tcW w:w="146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5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spacing w:after="0"/>
              <w:rPr>
                <w:sz w:val="21"/>
                <w:szCs w:val="21"/>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Modular space leasing</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94,966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7,342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102,308</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83,700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8,111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91,811</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New units</w:t>
            </w:r>
          </w:p>
        </w:tc>
        <w:tc>
          <w:tcPr>
            <w:tcW w:w="240" w:type="dxa"/>
            <w:vAlign w:val="bottom"/>
            <w:shd w:val="clear" w:color="auto" w:fill="E7E7E8"/>
          </w:tcPr>
          <w:p>
            <w:pPr>
              <w:spacing w:after="0"/>
              <w:rPr>
                <w:sz w:val="21"/>
                <w:szCs w:val="21"/>
                <w:color w:val="auto"/>
              </w:rPr>
            </w:pP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17,388</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1,489</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18,877</w:t>
            </w: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8,530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5,986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14,516</w:t>
            </w:r>
          </w:p>
        </w:tc>
      </w:tr>
      <w:tr>
        <w:trPr>
          <w:trHeight w:val="246"/>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40" w:type="dxa"/>
            <w:vAlign w:val="bottom"/>
            <w:tcBorders>
              <w:bottom w:val="single" w:sz="8" w:color="auto"/>
            </w:tcBorders>
            <w:shd w:val="clear" w:color="auto" w:fill="E7E7E8"/>
          </w:tcPr>
          <w:p>
            <w:pPr>
              <w:spacing w:after="0"/>
              <w:rPr>
                <w:sz w:val="21"/>
                <w:szCs w:val="21"/>
                <w:color w:val="auto"/>
              </w:rPr>
            </w:pPr>
          </w:p>
        </w:tc>
        <w:tc>
          <w:tcPr>
            <w:tcW w:w="14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75,674</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9,397</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85,071</w:t>
            </w:r>
          </w:p>
        </w:tc>
      </w:tr>
      <w:tr>
        <w:trPr>
          <w:trHeight w:val="243"/>
        </w:trPr>
        <w:tc>
          <w:tcPr>
            <w:tcW w:w="5920" w:type="dxa"/>
            <w:vAlign w:val="bottom"/>
          </w:tcPr>
          <w:p>
            <w:pPr>
              <w:ind w:left="5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186,419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18,396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204,815</w:t>
            </w:r>
          </w:p>
        </w:tc>
      </w:tr>
      <w:tr>
        <w:trPr>
          <w:trHeight w:val="20"/>
        </w:trPr>
        <w:tc>
          <w:tcPr>
            <w:tcW w:w="5920" w:type="dxa"/>
            <w:vAlign w:val="bottom"/>
            <w:tcBorders>
              <w:bottom w:val="single" w:sz="8" w:color="E7E7E8"/>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7E7E8"/>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592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40" w:type="dxa"/>
            <w:vAlign w:val="bottom"/>
            <w:shd w:val="clear" w:color="auto" w:fill="E7E7E8"/>
          </w:tcPr>
          <w:p>
            <w:pPr>
              <w:spacing w:after="0"/>
              <w:rPr>
                <w:sz w:val="18"/>
                <w:szCs w:val="18"/>
                <w:color w:val="auto"/>
              </w:rPr>
            </w:pPr>
          </w:p>
        </w:tc>
        <w:tc>
          <w:tcPr>
            <w:tcW w:w="146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156,490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14,415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170,905</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128,557</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15,147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143,704</w:t>
            </w:r>
          </w:p>
        </w:tc>
      </w:tr>
      <w:tr>
        <w:trPr>
          <w:trHeight w:val="233"/>
        </w:trPr>
        <w:tc>
          <w:tcPr>
            <w:tcW w:w="592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5,317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5,733</w:t>
            </w:r>
          </w:p>
        </w:tc>
      </w:tr>
      <w:tr>
        <w:trPr>
          <w:trHeight w:val="253"/>
        </w:trPr>
        <w:tc>
          <w:tcPr>
            <w:tcW w:w="59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108,162</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113,088</w:t>
            </w:r>
          </w:p>
        </w:tc>
      </w:tr>
    </w:tbl>
    <w:p>
      <w:pPr>
        <w:spacing w:after="0" w:line="200" w:lineRule="exact"/>
        <w:rPr>
          <w:sz w:val="20"/>
          <w:szCs w:val="20"/>
          <w:color w:val="auto"/>
        </w:rPr>
      </w:pPr>
    </w:p>
    <w:p>
      <w:pPr>
        <w:spacing w:after="0" w:line="24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income (loss) from operations before income tax to Adjusted EBITDA by segment for the three and six months ended June 30,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428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6"/>
          <w:szCs w:val="16"/>
          <w:b w:val="1"/>
          <w:bCs w:val="1"/>
          <w:color w:val="FFFFFF"/>
        </w:rPr>
        <w:t>Three Months Ended June 30,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38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4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40" w:type="dxa"/>
            <w:vAlign w:val="bottom"/>
            <w:shd w:val="clear" w:color="auto" w:fill="1D2758"/>
          </w:tcPr>
          <w:p>
            <w:pPr>
              <w:spacing w:after="0"/>
              <w:rPr>
                <w:sz w:val="17"/>
                <w:szCs w:val="17"/>
                <w:color w:val="auto"/>
              </w:rPr>
            </w:pPr>
          </w:p>
        </w:tc>
        <w:tc>
          <w:tcPr>
            <w:tcW w:w="1220" w:type="dxa"/>
            <w:vAlign w:val="bottom"/>
            <w:shd w:val="clear" w:color="auto" w:fill="1D2758"/>
          </w:tcPr>
          <w:p>
            <w:pPr>
              <w:spacing w:after="0"/>
              <w:rPr>
                <w:sz w:val="17"/>
                <w:szCs w:val="17"/>
                <w:color w:val="auto"/>
              </w:rPr>
            </w:pPr>
          </w:p>
        </w:tc>
      </w:tr>
      <w:tr>
        <w:trPr>
          <w:trHeight w:val="234"/>
        </w:trPr>
        <w:tc>
          <w:tcPr>
            <w:tcW w:w="63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1D2758"/>
          </w:tcPr>
          <w:p>
            <w:pPr>
              <w:spacing w:after="0"/>
              <w:rPr>
                <w:sz w:val="20"/>
                <w:szCs w:val="20"/>
                <w:color w:val="auto"/>
              </w:rPr>
            </w:pPr>
          </w:p>
        </w:tc>
        <w:tc>
          <w:tcPr>
            <w:tcW w:w="1480" w:type="dxa"/>
            <w:vAlign w:val="bottom"/>
            <w:gridSpan w:val="2"/>
            <w:shd w:val="clear" w:color="auto" w:fill="1D2758"/>
          </w:tcPr>
          <w:p>
            <w:pPr>
              <w:ind w:left="8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1D2758"/>
          </w:tcPr>
          <w:p>
            <w:pPr>
              <w:spacing w:after="0"/>
              <w:rPr>
                <w:sz w:val="20"/>
                <w:szCs w:val="20"/>
                <w:color w:val="auto"/>
              </w:rPr>
            </w:pPr>
          </w:p>
        </w:tc>
        <w:tc>
          <w:tcPr>
            <w:tcW w:w="154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4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(loss) from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9,950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2,598</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12,548</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28,208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28,519</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44,355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4,022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48,377</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2,143</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1,619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1,619</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2,153</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2,227</w:t>
            </w:r>
          </w:p>
        </w:tc>
      </w:tr>
      <w:tr>
        <w:trPr>
          <w:trHeight w:val="246"/>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314</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90,613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6,907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97,520</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ind w:left="740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06285" cy="428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428625"/>
                    </a:xfrm>
                    <a:prstGeom prst="rect">
                      <a:avLst/>
                    </a:prstGeom>
                    <a:noFill/>
                  </pic:spPr>
                </pic:pic>
              </a:graphicData>
            </a:graphic>
          </wp:anchor>
        </w:drawing>
        <w:t>Three Months Ended June 30,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8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5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40" w:type="dxa"/>
            <w:vAlign w:val="bottom"/>
            <w:shd w:val="clear" w:color="auto" w:fill="1D2758"/>
          </w:tcPr>
          <w:p>
            <w:pPr>
              <w:spacing w:after="0"/>
              <w:rPr>
                <w:sz w:val="17"/>
                <w:szCs w:val="17"/>
                <w:color w:val="auto"/>
              </w:rPr>
            </w:pPr>
          </w:p>
        </w:tc>
        <w:tc>
          <w:tcPr>
            <w:tcW w:w="1220" w:type="dxa"/>
            <w:vAlign w:val="bottom"/>
            <w:shd w:val="clear" w:color="auto" w:fill="1D2758"/>
          </w:tcPr>
          <w:p>
            <w:pPr>
              <w:spacing w:after="0"/>
              <w:rPr>
                <w:sz w:val="17"/>
                <w:szCs w:val="17"/>
                <w:color w:val="auto"/>
              </w:rPr>
            </w:pPr>
          </w:p>
        </w:tc>
      </w:tr>
      <w:tr>
        <w:trPr>
          <w:trHeight w:val="234"/>
        </w:trPr>
        <w:tc>
          <w:tcPr>
            <w:tcW w:w="63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20"/>
                <w:szCs w:val="20"/>
                <w:color w:val="auto"/>
              </w:rPr>
            </w:pPr>
          </w:p>
        </w:tc>
        <w:tc>
          <w:tcPr>
            <w:tcW w:w="1480" w:type="dxa"/>
            <w:vAlign w:val="bottom"/>
            <w:gridSpan w:val="2"/>
            <w:shd w:val="clear" w:color="auto" w:fill="1D2758"/>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1D2758"/>
          </w:tcPr>
          <w:p>
            <w:pPr>
              <w:spacing w:after="0"/>
              <w:rPr>
                <w:sz w:val="20"/>
                <w:szCs w:val="20"/>
                <w:color w:val="auto"/>
              </w:rPr>
            </w:pPr>
          </w:p>
        </w:tc>
        <w:tc>
          <w:tcPr>
            <w:tcW w:w="15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North America</w:t>
            </w:r>
          </w:p>
        </w:tc>
        <w:tc>
          <w:tcPr>
            <w:tcW w:w="34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(13,473)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(12,618)</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7,244</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31,214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31,668</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41,943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4,974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46,917</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net</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(354)</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18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3,152</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348</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18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8,242</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180" w:type="dxa"/>
            <w:vAlign w:val="bottom"/>
            <w:shd w:val="clear" w:color="auto" w:fill="E7E7E8"/>
          </w:tcPr>
          <w:p>
            <w:pPr>
              <w:spacing w:after="0"/>
              <w:rPr>
                <w:sz w:val="21"/>
                <w:szCs w:val="21"/>
                <w:color w:val="auto"/>
              </w:rPr>
            </w:pP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2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1,900</w:t>
            </w:r>
          </w:p>
        </w:tc>
      </w:tr>
      <w:tr>
        <w:trPr>
          <w:trHeight w:val="237"/>
        </w:trPr>
        <w:tc>
          <w:tcPr>
            <w:tcW w:w="63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1,055</w:t>
            </w:r>
          </w:p>
        </w:tc>
      </w:tr>
      <w:tr>
        <w:trPr>
          <w:trHeight w:val="268"/>
        </w:trPr>
        <w:tc>
          <w:tcPr>
            <w:tcW w:w="63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80,547</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7,007</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87,554</w:t>
            </w:r>
          </w:p>
        </w:tc>
      </w:tr>
      <w:tr>
        <w:trPr>
          <w:trHeight w:val="20"/>
        </w:trPr>
        <w:tc>
          <w:tcPr>
            <w:tcW w:w="63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4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220" w:type="dxa"/>
            <w:vAlign w:val="bottom"/>
            <w:tcBorders>
              <w:top w:val="single" w:sz="8" w:color="E7E7E8"/>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FFFFFF"/>
        </w:rPr>
        <w:t>Six Months Ended June 30,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spacing w:after="0"/>
              <w:rPr>
                <w:sz w:val="17"/>
                <w:szCs w:val="17"/>
                <w:color w:val="auto"/>
              </w:rPr>
            </w:pPr>
          </w:p>
        </w:tc>
      </w:tr>
      <w:tr>
        <w:trPr>
          <w:trHeight w:val="234"/>
        </w:trPr>
        <w:tc>
          <w:tcPr>
            <w:tcW w:w="63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ind w:left="8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1D2758"/>
          </w:tcPr>
          <w:p>
            <w:pPr>
              <w:spacing w:after="0"/>
              <w:rPr>
                <w:sz w:val="20"/>
                <w:szCs w:val="20"/>
                <w:color w:val="auto"/>
              </w:rPr>
            </w:pPr>
          </w:p>
        </w:tc>
        <w:tc>
          <w:tcPr>
            <w:tcW w:w="15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1D2758"/>
          </w:tcPr>
          <w:p>
            <w:pPr>
              <w:spacing w:after="0"/>
              <w:rPr>
                <w:sz w:val="20"/>
                <w:szCs w:val="20"/>
                <w:color w:val="auto"/>
              </w:rPr>
            </w:pPr>
          </w:p>
        </w:tc>
        <w:tc>
          <w:tcPr>
            <w:tcW w:w="124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Income (loss) from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5,678</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3,986</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9,664</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56,136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56,776</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88,885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8,514</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97,399</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973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518</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3,066</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678</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3,744</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11,050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11,050</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3,855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3,839</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4,014</w:t>
            </w:r>
          </w:p>
        </w:tc>
      </w:tr>
      <w:tr>
        <w:trPr>
          <w:trHeight w:val="246"/>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w:t>
            </w:r>
          </w:p>
        </w:tc>
        <w:tc>
          <w:tcPr>
            <w:tcW w:w="8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58</w:t>
            </w:r>
          </w:p>
        </w:tc>
      </w:tr>
      <w:tr>
        <w:trPr>
          <w:trHeight w:val="243"/>
        </w:trPr>
        <w:tc>
          <w:tcPr>
            <w:tcW w:w="63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172,296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14,766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187,062</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FFFFFF"/>
        </w:rPr>
        <w:t>Six Months Ended June 30,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1D2758"/>
          </w:tcPr>
          <w:p>
            <w:pPr>
              <w:spacing w:after="0"/>
              <w:rPr>
                <w:sz w:val="17"/>
                <w:szCs w:val="17"/>
                <w:color w:val="auto"/>
              </w:rPr>
            </w:pPr>
          </w:p>
        </w:tc>
        <w:tc>
          <w:tcPr>
            <w:tcW w:w="1240" w:type="dxa"/>
            <w:vAlign w:val="bottom"/>
            <w:shd w:val="clear" w:color="auto" w:fill="1D2758"/>
          </w:tcPr>
          <w:p>
            <w:pPr>
              <w:spacing w:after="0"/>
              <w:rPr>
                <w:sz w:val="17"/>
                <w:szCs w:val="17"/>
                <w:color w:val="auto"/>
              </w:rPr>
            </w:pPr>
          </w:p>
        </w:tc>
      </w:tr>
      <w:tr>
        <w:trPr>
          <w:trHeight w:val="234"/>
        </w:trPr>
        <w:tc>
          <w:tcPr>
            <w:tcW w:w="63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ind w:left="8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1D2758"/>
          </w:tcPr>
          <w:p>
            <w:pPr>
              <w:spacing w:after="0"/>
              <w:rPr>
                <w:sz w:val="20"/>
                <w:szCs w:val="20"/>
                <w:color w:val="auto"/>
              </w:rPr>
            </w:pPr>
          </w:p>
        </w:tc>
        <w:tc>
          <w:tcPr>
            <w:tcW w:w="152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1D2758"/>
          </w:tcPr>
          <w:p>
            <w:pPr>
              <w:spacing w:after="0"/>
              <w:rPr>
                <w:sz w:val="20"/>
                <w:szCs w:val="20"/>
                <w:color w:val="auto"/>
              </w:rPr>
            </w:pPr>
          </w:p>
        </w:tc>
        <w:tc>
          <w:tcPr>
            <w:tcW w:w="124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32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(23,520)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1,251</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(22,269)</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7,244</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61,796</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987</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62,783</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80,992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9,812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90,804</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net</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(465)</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(670)</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2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7,381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7,893</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2,069</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4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569</w:t>
            </w:r>
          </w:p>
        </w:tc>
        <w:tc>
          <w:tcPr>
            <w:tcW w:w="8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2,638</w:t>
            </w:r>
          </w:p>
        </w:tc>
      </w:tr>
      <w:tr>
        <w:trPr>
          <w:trHeight w:val="233"/>
        </w:trPr>
        <w:tc>
          <w:tcPr>
            <w:tcW w:w="632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16,612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1,768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18,380</w:t>
            </w:r>
          </w:p>
        </w:tc>
      </w:tr>
      <w:tr>
        <w:trPr>
          <w:trHeight w:val="253"/>
        </w:trPr>
        <w:tc>
          <w:tcPr>
            <w:tcW w:w="63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3,190</w:t>
            </w:r>
          </w:p>
        </w:tc>
        <w:tc>
          <w:tcPr>
            <w:tcW w:w="10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5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3,190</w:t>
            </w:r>
          </w:p>
        </w:tc>
      </w:tr>
      <w:tr>
        <w:trPr>
          <w:trHeight w:val="236"/>
        </w:trPr>
        <w:tc>
          <w:tcPr>
            <w:tcW w:w="632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912</w:t>
            </w:r>
          </w:p>
        </w:tc>
      </w:tr>
      <w:tr>
        <w:trPr>
          <w:trHeight w:val="268"/>
        </w:trPr>
        <w:tc>
          <w:tcPr>
            <w:tcW w:w="63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156,490</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14,415</w:t>
            </w:r>
          </w:p>
        </w:tc>
        <w:tc>
          <w:tcPr>
            <w:tcW w:w="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170,905</w:t>
            </w:r>
          </w:p>
        </w:tc>
      </w:tr>
      <w:tr>
        <w:trPr>
          <w:trHeight w:val="20"/>
        </w:trPr>
        <w:tc>
          <w:tcPr>
            <w:tcW w:w="632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3"/>
          <w:szCs w:val="23"/>
          <w:color w:val="1D2758"/>
        </w:rPr>
        <w:t>NOTE 18 - Income (Loss) Per Share</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Basic income (loss) per share (“EPS”) is calculated by dividing net income/(loss) attributable to WillScot by the weighted average number of shares of Class A common stock outstanding during the period. The shares of Class A common stock issued as a result of the vesting of RSUs and for warrants exercised or redeemed during the three and six months ended June 30, 2020, were included in EPS based on the weighted average number of days in which they were vested and outstanding during the period.</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Shares of Class B common stock have no rights to dividends or distributions made by the Company and, in turn, are excluded from the EPS calculation. As contemplated by the Merger Agreement on June 30, 2020, the Sapphire Exchange was completed and all shares of Class B common stock were cancelled and Sapphire Holdings received 10,641,182 shares of Class A common stock.</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Diluted EPS is computed similarly to basic EPS, except that it includes the potential dilution that would occur if dilutive securities were exercised.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Effects of potentially dilutive securities are presented only in periods in which they are dilutive.</w:t>
      </w:r>
    </w:p>
    <w:p>
      <w:pPr>
        <w:spacing w:after="0" w:line="358" w:lineRule="exact"/>
        <w:rPr>
          <w:sz w:val="20"/>
          <w:szCs w:val="20"/>
          <w:color w:val="auto"/>
        </w:rPr>
      </w:pPr>
    </w:p>
    <w:p>
      <w:pPr>
        <w:spacing w:after="0"/>
        <w:rPr>
          <w:sz w:val="20"/>
          <w:szCs w:val="20"/>
          <w:color w:val="auto"/>
        </w:rPr>
      </w:pPr>
      <w:r>
        <w:rPr>
          <w:rFonts w:ascii="Arial" w:cs="Arial" w:eastAsia="Arial" w:hAnsi="Arial"/>
          <w:sz w:val="23"/>
          <w:szCs w:val="23"/>
          <w:color w:val="1D2758"/>
        </w:rPr>
        <w:t>NOTE 19 - Related Parties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Related party balances included in the Company’s consolidated balance sheets at June 30, 2020 and December 31, 2019, consisted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020" w:type="dxa"/>
            <w:vAlign w:val="bottom"/>
            <w:shd w:val="clear" w:color="auto" w:fill="1D2758"/>
          </w:tcPr>
          <w:p>
            <w:pPr>
              <w:ind w:left="1780"/>
              <w:spacing w:after="0"/>
              <w:rPr>
                <w:sz w:val="20"/>
                <w:szCs w:val="20"/>
                <w:color w:val="auto"/>
              </w:rPr>
            </w:pPr>
            <w:r>
              <w:rPr>
                <w:rFonts w:ascii="Arial" w:cs="Arial" w:eastAsia="Arial" w:hAnsi="Arial"/>
                <w:sz w:val="16"/>
                <w:szCs w:val="16"/>
                <w:b w:val="1"/>
                <w:bCs w:val="1"/>
                <w:color w:val="FFFFFF"/>
              </w:rPr>
              <w:t>Financial statement line Item</w:t>
            </w:r>
          </w:p>
        </w:tc>
        <w:tc>
          <w:tcPr>
            <w:tcW w:w="180" w:type="dxa"/>
            <w:vAlign w:val="bottom"/>
            <w:shd w:val="clear" w:color="auto" w:fill="1D2758"/>
          </w:tcPr>
          <w:p>
            <w:pPr>
              <w:spacing w:after="0"/>
              <w:rPr>
                <w:sz w:val="21"/>
                <w:szCs w:val="21"/>
                <w:color w:val="auto"/>
              </w:rPr>
            </w:pPr>
          </w:p>
        </w:tc>
        <w:tc>
          <w:tcPr>
            <w:tcW w:w="1480" w:type="dxa"/>
            <w:vAlign w:val="bottom"/>
            <w:gridSpan w:val="2"/>
            <w:shd w:val="clear" w:color="auto" w:fill="1D2758"/>
          </w:tcPr>
          <w:p>
            <w:pPr>
              <w:ind w:left="60"/>
              <w:spacing w:after="0"/>
              <w:rPr>
                <w:sz w:val="20"/>
                <w:szCs w:val="20"/>
                <w:color w:val="auto"/>
              </w:rPr>
            </w:pPr>
            <w:r>
              <w:rPr>
                <w:rFonts w:ascii="Arial" w:cs="Arial" w:eastAsia="Arial" w:hAnsi="Arial"/>
                <w:sz w:val="16"/>
                <w:szCs w:val="16"/>
                <w:b w:val="1"/>
                <w:bCs w:val="1"/>
                <w:color w:val="FFFFFF"/>
              </w:rPr>
              <w:t>June 30, 2020</w:t>
            </w:r>
          </w:p>
        </w:tc>
        <w:tc>
          <w:tcPr>
            <w:tcW w:w="156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 2019</w:t>
            </w:r>
          </w:p>
        </w:tc>
      </w:tr>
      <w:tr>
        <w:trPr>
          <w:trHeight w:val="243"/>
        </w:trPr>
        <w:tc>
          <w:tcPr>
            <w:tcW w:w="3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5020" w:type="dxa"/>
            <w:vAlign w:val="bottom"/>
            <w:shd w:val="clear" w:color="auto" w:fill="E7E7E8"/>
          </w:tcPr>
          <w:p>
            <w:pPr>
              <w:ind w:left="78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w:t>
            </w:r>
          </w:p>
        </w:tc>
      </w:tr>
      <w:tr>
        <w:trPr>
          <w:trHeight w:val="243"/>
        </w:trPr>
        <w:tc>
          <w:tcPr>
            <w:tcW w:w="3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r>
              <w:rPr>
                <w:rFonts w:ascii="Arial" w:cs="Arial" w:eastAsia="Arial" w:hAnsi="Arial"/>
                <w:sz w:val="21"/>
                <w:szCs w:val="21"/>
                <w:color w:val="auto"/>
                <w:vertAlign w:val="superscript"/>
              </w:rPr>
              <w:t>(a)</w:t>
            </w:r>
          </w:p>
        </w:tc>
        <w:tc>
          <w:tcPr>
            <w:tcW w:w="5020" w:type="dxa"/>
            <w:vAlign w:val="bottom"/>
            <w:tcBorders>
              <w:bottom w:val="single" w:sz="8" w:color="E7E7E8"/>
            </w:tcBorders>
          </w:tcPr>
          <w:p>
            <w:pPr>
              <w:ind w:left="78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E7E7E8"/>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(883)</w:t>
            </w:r>
          </w:p>
        </w:tc>
      </w:tr>
      <w:tr>
        <w:trPr>
          <w:trHeight w:val="255"/>
        </w:trPr>
        <w:tc>
          <w:tcPr>
            <w:tcW w:w="3000" w:type="dxa"/>
            <w:vAlign w:val="bottom"/>
            <w:tcBorders>
              <w:bottom w:val="single" w:sz="8" w:color="E7E7E8"/>
            </w:tcBorders>
            <w:shd w:val="clear" w:color="auto" w:fill="E7E7E8"/>
          </w:tcPr>
          <w:p>
            <w:pPr>
              <w:spacing w:after="0"/>
              <w:rPr>
                <w:sz w:val="21"/>
                <w:szCs w:val="21"/>
                <w:color w:val="auto"/>
              </w:rPr>
            </w:pPr>
          </w:p>
        </w:tc>
        <w:tc>
          <w:tcPr>
            <w:tcW w:w="5020" w:type="dxa"/>
            <w:vAlign w:val="bottom"/>
            <w:tcBorders>
              <w:bottom w:val="single" w:sz="8" w:color="E7E7E8"/>
            </w:tcBorders>
            <w:shd w:val="clear" w:color="auto" w:fill="E7E7E8"/>
          </w:tcPr>
          <w:p>
            <w:pPr>
              <w:ind w:left="780"/>
              <w:spacing w:after="0"/>
              <w:rPr>
                <w:sz w:val="20"/>
                <w:szCs w:val="20"/>
                <w:color w:val="auto"/>
              </w:rPr>
            </w:pPr>
            <w:r>
              <w:rPr>
                <w:rFonts w:ascii="Arial" w:cs="Arial" w:eastAsia="Arial" w:hAnsi="Arial"/>
                <w:sz w:val="16"/>
                <w:szCs w:val="16"/>
                <w:color w:val="auto"/>
              </w:rPr>
              <w:t>Total related party liabilities, net</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(2,154)</w:t>
            </w:r>
          </w:p>
        </w:tc>
        <w:tc>
          <w:tcPr>
            <w:tcW w:w="100" w:type="dxa"/>
            <w:vAlign w:val="bottom"/>
            <w:tcBorders>
              <w:bottom w:val="single" w:sz="8" w:color="E7E7E8"/>
            </w:tcBorders>
            <w:shd w:val="clear" w:color="auto" w:fill="E7E7E8"/>
          </w:tcPr>
          <w:p>
            <w:pPr>
              <w:spacing w:after="0"/>
              <w:rPr>
                <w:sz w:val="21"/>
                <w:szCs w:val="21"/>
                <w:color w:val="auto"/>
              </w:rPr>
            </w:pPr>
          </w:p>
        </w:tc>
        <w:tc>
          <w:tcPr>
            <w:tcW w:w="580" w:type="dxa"/>
            <w:vAlign w:val="bottom"/>
            <w:tcBorders>
              <w:bottom w:val="single" w:sz="8" w:color="auto"/>
            </w:tcBorders>
            <w:shd w:val="clear" w:color="auto" w:fill="E7E7E8"/>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(857)</w:t>
            </w:r>
          </w:p>
        </w:tc>
      </w:tr>
      <w:tr>
        <w:trPr>
          <w:trHeight w:val="20"/>
        </w:trPr>
        <w:tc>
          <w:tcPr>
            <w:tcW w:w="3000" w:type="dxa"/>
            <w:vAlign w:val="bottom"/>
            <w:tcBorders>
              <w:top w:val="single" w:sz="8" w:color="E7E7E8"/>
            </w:tcBorders>
          </w:tcPr>
          <w:p>
            <w:pPr>
              <w:spacing w:after="0" w:line="20" w:lineRule="exact"/>
              <w:rPr>
                <w:sz w:val="1"/>
                <w:szCs w:val="1"/>
                <w:color w:val="auto"/>
              </w:rPr>
            </w:pPr>
          </w:p>
        </w:tc>
        <w:tc>
          <w:tcPr>
            <w:tcW w:w="50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both"/>
        <w:ind w:firstLine="8"/>
        <w:spacing w:after="0" w:line="249" w:lineRule="auto"/>
        <w:tabs>
          <w:tab w:leader="none" w:pos="21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had accrued expenses of $0.0 million and $0.6 million at June 30, 2020 and December 31, 2019, respectively, included in amounts due to affiliates, related to rental equipment purchases from an entity within the Algeco Group. Two of the Company's directors also serve on the board of directors to a consulting firm with which the Company incurs professional fees.</w:t>
      </w:r>
    </w:p>
    <w:p>
      <w:pPr>
        <w:spacing w:after="0" w:line="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condensed consolidated statements of operations for the three and six months ended June 30, 2020 and 2019, respectively, consisted of the following: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shd w:val="clear" w:color="auto" w:fill="1D2758"/>
          </w:tcPr>
          <w:p>
            <w:pPr>
              <w:spacing w:after="0"/>
              <w:rPr>
                <w:sz w:val="15"/>
                <w:szCs w:val="15"/>
                <w:color w:val="auto"/>
              </w:rPr>
            </w:pPr>
          </w:p>
        </w:tc>
        <w:tc>
          <w:tcPr>
            <w:tcW w:w="386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960" w:type="dxa"/>
            <w:vAlign w:val="bottom"/>
            <w:gridSpan w:val="5"/>
            <w:shd w:val="clear" w:color="auto" w:fill="1D2758"/>
          </w:tcPr>
          <w:p>
            <w:pPr>
              <w:ind w:left="100"/>
              <w:spacing w:after="0"/>
              <w:rPr>
                <w:sz w:val="20"/>
                <w:szCs w:val="20"/>
                <w:color w:val="auto"/>
              </w:rPr>
            </w:pPr>
            <w:r>
              <w:rPr>
                <w:rFonts w:ascii="Arial" w:cs="Arial" w:eastAsia="Arial" w:hAnsi="Arial"/>
                <w:sz w:val="14"/>
                <w:szCs w:val="14"/>
                <w:b w:val="1"/>
                <w:bCs w:val="1"/>
                <w:color w:val="FFFFFF"/>
              </w:rPr>
              <w:t>Three Months Ended</w:t>
            </w:r>
          </w:p>
        </w:tc>
        <w:tc>
          <w:tcPr>
            <w:tcW w:w="180" w:type="dxa"/>
            <w:vAlign w:val="bottom"/>
            <w:shd w:val="clear" w:color="auto" w:fill="1D2758"/>
          </w:tcPr>
          <w:p>
            <w:pPr>
              <w:spacing w:after="0"/>
              <w:rPr>
                <w:sz w:val="15"/>
                <w:szCs w:val="15"/>
                <w:color w:val="auto"/>
              </w:rPr>
            </w:pPr>
          </w:p>
        </w:tc>
        <w:tc>
          <w:tcPr>
            <w:tcW w:w="1680" w:type="dxa"/>
            <w:vAlign w:val="bottom"/>
            <w:gridSpan w:val="4"/>
            <w:shd w:val="clear" w:color="auto" w:fill="1D2758"/>
          </w:tcPr>
          <w:p>
            <w:pPr>
              <w:ind w:left="120"/>
              <w:spacing w:after="0"/>
              <w:rPr>
                <w:sz w:val="20"/>
                <w:szCs w:val="20"/>
                <w:color w:val="auto"/>
              </w:rPr>
            </w:pPr>
            <w:r>
              <w:rPr>
                <w:rFonts w:ascii="Arial" w:cs="Arial" w:eastAsia="Arial" w:hAnsi="Arial"/>
                <w:sz w:val="14"/>
                <w:szCs w:val="14"/>
                <w:b w:val="1"/>
                <w:bCs w:val="1"/>
                <w:color w:val="FFFFFF"/>
              </w:rPr>
              <w:t>Six Months Ended</w:t>
            </w:r>
          </w:p>
        </w:tc>
      </w:tr>
      <w:tr>
        <w:trPr>
          <w:trHeight w:val="190"/>
        </w:trPr>
        <w:tc>
          <w:tcPr>
            <w:tcW w:w="3340" w:type="dxa"/>
            <w:vAlign w:val="bottom"/>
            <w:shd w:val="clear" w:color="auto" w:fill="1D2758"/>
          </w:tcPr>
          <w:p>
            <w:pPr>
              <w:spacing w:after="0"/>
              <w:rPr>
                <w:sz w:val="16"/>
                <w:szCs w:val="16"/>
                <w:color w:val="auto"/>
              </w:rPr>
            </w:pPr>
          </w:p>
        </w:tc>
        <w:tc>
          <w:tcPr>
            <w:tcW w:w="386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1160" w:type="dxa"/>
            <w:vAlign w:val="bottom"/>
            <w:gridSpan w:val="3"/>
            <w:shd w:val="clear" w:color="auto" w:fill="1D2758"/>
          </w:tcPr>
          <w:p>
            <w:pPr>
              <w:jc w:val="right"/>
              <w:spacing w:after="0"/>
              <w:rPr>
                <w:sz w:val="20"/>
                <w:szCs w:val="20"/>
                <w:color w:val="auto"/>
              </w:rPr>
            </w:pPr>
            <w:r>
              <w:rPr>
                <w:rFonts w:ascii="Arial" w:cs="Arial" w:eastAsia="Arial" w:hAnsi="Arial"/>
                <w:sz w:val="14"/>
                <w:szCs w:val="14"/>
                <w:b w:val="1"/>
                <w:bCs w:val="1"/>
                <w:color w:val="FFFFFF"/>
              </w:rPr>
              <w:t>June 30,</w:t>
            </w:r>
          </w:p>
        </w:tc>
        <w:tc>
          <w:tcPr>
            <w:tcW w:w="68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040" w:type="dxa"/>
            <w:vAlign w:val="bottom"/>
            <w:gridSpan w:val="3"/>
            <w:shd w:val="clear" w:color="auto" w:fill="1D2758"/>
          </w:tcPr>
          <w:p>
            <w:pPr>
              <w:ind w:left="460"/>
              <w:spacing w:after="0"/>
              <w:rPr>
                <w:sz w:val="20"/>
                <w:szCs w:val="20"/>
                <w:color w:val="auto"/>
              </w:rPr>
            </w:pPr>
            <w:r>
              <w:rPr>
                <w:rFonts w:ascii="Arial" w:cs="Arial" w:eastAsia="Arial" w:hAnsi="Arial"/>
                <w:sz w:val="14"/>
                <w:szCs w:val="14"/>
                <w:b w:val="1"/>
                <w:bCs w:val="1"/>
                <w:color w:val="FFFFFF"/>
                <w:w w:val="99"/>
              </w:rPr>
              <w:t>June 30,</w:t>
            </w:r>
          </w:p>
        </w:tc>
        <w:tc>
          <w:tcPr>
            <w:tcW w:w="640" w:type="dxa"/>
            <w:vAlign w:val="bottom"/>
            <w:shd w:val="clear" w:color="auto" w:fill="1D2758"/>
          </w:tcPr>
          <w:p>
            <w:pPr>
              <w:spacing w:after="0"/>
              <w:rPr>
                <w:sz w:val="16"/>
                <w:szCs w:val="16"/>
                <w:color w:val="auto"/>
              </w:rPr>
            </w:pPr>
          </w:p>
        </w:tc>
      </w:tr>
      <w:tr>
        <w:trPr>
          <w:trHeight w:val="255"/>
        </w:trPr>
        <w:tc>
          <w:tcPr>
            <w:tcW w:w="33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60" w:type="dxa"/>
            <w:vAlign w:val="bottom"/>
            <w:shd w:val="clear" w:color="auto" w:fill="1D2758"/>
          </w:tcPr>
          <w:p>
            <w:pPr>
              <w:ind w:left="820"/>
              <w:spacing w:after="0"/>
              <w:rPr>
                <w:sz w:val="20"/>
                <w:szCs w:val="20"/>
                <w:color w:val="auto"/>
              </w:rPr>
            </w:pPr>
            <w:r>
              <w:rPr>
                <w:rFonts w:ascii="Arial" w:cs="Arial" w:eastAsia="Arial" w:hAnsi="Arial"/>
                <w:sz w:val="16"/>
                <w:szCs w:val="16"/>
                <w:b w:val="1"/>
                <w:bCs w:val="1"/>
                <w:color w:val="FFFFFF"/>
              </w:rPr>
              <w:t>Financial statement line item</w:t>
            </w:r>
          </w:p>
        </w:tc>
        <w:tc>
          <w:tcPr>
            <w:tcW w:w="220" w:type="dxa"/>
            <w:vAlign w:val="bottom"/>
            <w:shd w:val="clear" w:color="auto" w:fill="1D2758"/>
          </w:tcPr>
          <w:p>
            <w:pPr>
              <w:spacing w:after="0"/>
              <w:rPr>
                <w:sz w:val="22"/>
                <w:szCs w:val="22"/>
                <w:color w:val="auto"/>
              </w:rPr>
            </w:pPr>
          </w:p>
        </w:tc>
        <w:tc>
          <w:tcPr>
            <w:tcW w:w="860" w:type="dxa"/>
            <w:vAlign w:val="bottom"/>
            <w:shd w:val="clear" w:color="auto" w:fill="1D2758"/>
          </w:tcPr>
          <w:p>
            <w:pPr>
              <w:jc w:val="right"/>
              <w:ind w:right="287"/>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22"/>
                <w:szCs w:val="22"/>
                <w:color w:val="auto"/>
              </w:rPr>
            </w:pPr>
          </w:p>
        </w:tc>
        <w:tc>
          <w:tcPr>
            <w:tcW w:w="180" w:type="dxa"/>
            <w:vAlign w:val="bottom"/>
            <w:shd w:val="clear" w:color="auto" w:fill="1D2758"/>
          </w:tcPr>
          <w:p>
            <w:pPr>
              <w:spacing w:after="0"/>
              <w:rPr>
                <w:sz w:val="22"/>
                <w:szCs w:val="22"/>
                <w:color w:val="auto"/>
              </w:rPr>
            </w:pPr>
          </w:p>
        </w:tc>
        <w:tc>
          <w:tcPr>
            <w:tcW w:w="680" w:type="dxa"/>
            <w:vAlign w:val="bottom"/>
            <w:shd w:val="clear" w:color="auto" w:fill="1D2758"/>
          </w:tcPr>
          <w:p>
            <w:pPr>
              <w:jc w:val="right"/>
              <w:ind w:right="166"/>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1D2758"/>
          </w:tcPr>
          <w:p>
            <w:pPr>
              <w:spacing w:after="0"/>
              <w:rPr>
                <w:sz w:val="22"/>
                <w:szCs w:val="22"/>
                <w:color w:val="auto"/>
              </w:rPr>
            </w:pPr>
          </w:p>
        </w:tc>
        <w:tc>
          <w:tcPr>
            <w:tcW w:w="180" w:type="dxa"/>
            <w:vAlign w:val="bottom"/>
            <w:shd w:val="clear" w:color="auto" w:fill="1D2758"/>
          </w:tcPr>
          <w:p>
            <w:pPr>
              <w:spacing w:after="0"/>
              <w:rPr>
                <w:sz w:val="22"/>
                <w:szCs w:val="22"/>
                <w:color w:val="auto"/>
              </w:rPr>
            </w:pPr>
          </w:p>
        </w:tc>
        <w:tc>
          <w:tcPr>
            <w:tcW w:w="700" w:type="dxa"/>
            <w:vAlign w:val="bottom"/>
            <w:shd w:val="clear" w:color="auto" w:fill="1D2758"/>
          </w:tcPr>
          <w:p>
            <w:pPr>
              <w:jc w:val="right"/>
              <w:ind w:right="187"/>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22"/>
                <w:szCs w:val="22"/>
                <w:color w:val="auto"/>
              </w:rPr>
            </w:pPr>
          </w:p>
        </w:tc>
        <w:tc>
          <w:tcPr>
            <w:tcW w:w="260" w:type="dxa"/>
            <w:vAlign w:val="bottom"/>
            <w:shd w:val="clear" w:color="auto" w:fill="1D2758"/>
          </w:tcPr>
          <w:p>
            <w:pPr>
              <w:spacing w:after="0"/>
              <w:rPr>
                <w:sz w:val="22"/>
                <w:szCs w:val="22"/>
                <w:color w:val="auto"/>
              </w:rPr>
            </w:pPr>
          </w:p>
        </w:tc>
        <w:tc>
          <w:tcPr>
            <w:tcW w:w="640" w:type="dxa"/>
            <w:vAlign w:val="bottom"/>
            <w:shd w:val="clear" w:color="auto" w:fill="1D2758"/>
          </w:tcPr>
          <w:p>
            <w:pPr>
              <w:jc w:val="right"/>
              <w:ind w:right="186"/>
              <w:spacing w:after="0"/>
              <w:rPr>
                <w:sz w:val="20"/>
                <w:szCs w:val="20"/>
                <w:color w:val="auto"/>
              </w:rPr>
            </w:pPr>
            <w:r>
              <w:rPr>
                <w:rFonts w:ascii="Arial" w:cs="Arial" w:eastAsia="Arial" w:hAnsi="Arial"/>
                <w:sz w:val="16"/>
                <w:szCs w:val="16"/>
                <w:b w:val="1"/>
                <w:bCs w:val="1"/>
                <w:color w:val="FFFFFF"/>
              </w:rPr>
              <w:t>2019</w:t>
            </w:r>
          </w:p>
        </w:tc>
      </w:tr>
      <w:tr>
        <w:trPr>
          <w:trHeight w:val="216"/>
        </w:trPr>
        <w:tc>
          <w:tcPr>
            <w:tcW w:w="3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Leasing revenue from related parties</w:t>
            </w:r>
          </w:p>
        </w:tc>
        <w:tc>
          <w:tcPr>
            <w:tcW w:w="3860" w:type="dxa"/>
            <w:vAlign w:val="bottom"/>
            <w:shd w:val="clear" w:color="auto" w:fill="E7E7E8"/>
          </w:tcPr>
          <w:p>
            <w:pPr>
              <w:ind w:left="20"/>
              <w:spacing w:after="0"/>
              <w:rPr>
                <w:sz w:val="20"/>
                <w:szCs w:val="20"/>
                <w:color w:val="auto"/>
              </w:rPr>
            </w:pPr>
            <w:r>
              <w:rPr>
                <w:rFonts w:ascii="Arial" w:cs="Arial" w:eastAsia="Arial" w:hAnsi="Arial"/>
                <w:sz w:val="14"/>
                <w:szCs w:val="14"/>
                <w:color w:val="auto"/>
              </w:rPr>
              <w:t>Modular leasing revenue</w:t>
            </w:r>
          </w:p>
        </w:tc>
        <w:tc>
          <w:tcPr>
            <w:tcW w:w="22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E7E7E8"/>
          </w:tcPr>
          <w:p>
            <w:pPr>
              <w:jc w:val="right"/>
              <w:ind w:right="67"/>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E7E7E8"/>
          </w:tcPr>
          <w:p>
            <w:pPr>
              <w:spacing w:after="0"/>
              <w:rPr>
                <w:sz w:val="18"/>
                <w:szCs w:val="18"/>
                <w:color w:val="auto"/>
              </w:rPr>
            </w:pPr>
          </w:p>
        </w:tc>
        <w:tc>
          <w:tcPr>
            <w:tcW w:w="18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E7E7E8"/>
          </w:tcPr>
          <w:p>
            <w:pPr>
              <w:jc w:val="right"/>
              <w:ind w:right="6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E7E7E8"/>
          </w:tcPr>
          <w:p>
            <w:pPr>
              <w:spacing w:after="0"/>
              <w:rPr>
                <w:sz w:val="18"/>
                <w:szCs w:val="18"/>
                <w:color w:val="auto"/>
              </w:rPr>
            </w:pPr>
          </w:p>
        </w:tc>
        <w:tc>
          <w:tcPr>
            <w:tcW w:w="18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E7E7E8"/>
          </w:tcPr>
          <w:p>
            <w:pPr>
              <w:jc w:val="right"/>
              <w:ind w:right="87"/>
              <w:spacing w:after="0"/>
              <w:rPr>
                <w:sz w:val="20"/>
                <w:szCs w:val="20"/>
                <w:color w:val="auto"/>
              </w:rPr>
            </w:pPr>
            <w:r>
              <w:rPr>
                <w:rFonts w:ascii="Arial" w:cs="Arial" w:eastAsia="Arial" w:hAnsi="Arial"/>
                <w:sz w:val="14"/>
                <w:szCs w:val="14"/>
                <w:color w:val="auto"/>
              </w:rPr>
              <w:t>827</w:t>
            </w:r>
          </w:p>
        </w:tc>
        <w:tc>
          <w:tcPr>
            <w:tcW w:w="80" w:type="dxa"/>
            <w:vAlign w:val="bottom"/>
            <w:shd w:val="clear" w:color="auto" w:fill="E7E7E8"/>
          </w:tcPr>
          <w:p>
            <w:pPr>
              <w:spacing w:after="0"/>
              <w:rPr>
                <w:sz w:val="18"/>
                <w:szCs w:val="18"/>
                <w:color w:val="auto"/>
              </w:rPr>
            </w:pPr>
          </w:p>
        </w:tc>
        <w:tc>
          <w:tcPr>
            <w:tcW w:w="260" w:type="dxa"/>
            <w:vAlign w:val="bottom"/>
            <w:shd w:val="clear" w:color="auto" w:fill="E7E7E8"/>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E7E7E8"/>
          </w:tcPr>
          <w:p>
            <w:pPr>
              <w:jc w:val="center"/>
              <w:ind w:left="46"/>
              <w:spacing w:after="0"/>
              <w:rPr>
                <w:sz w:val="20"/>
                <w:szCs w:val="20"/>
                <w:color w:val="auto"/>
              </w:rPr>
            </w:pPr>
            <w:r>
              <w:rPr>
                <w:rFonts w:ascii="Arial" w:cs="Arial" w:eastAsia="Arial" w:hAnsi="Arial"/>
                <w:sz w:val="14"/>
                <w:szCs w:val="14"/>
                <w:color w:val="auto"/>
              </w:rPr>
              <w:t>150</w:t>
            </w:r>
          </w:p>
        </w:tc>
      </w:tr>
      <w:tr>
        <w:trPr>
          <w:trHeight w:val="216"/>
        </w:trPr>
        <w:tc>
          <w:tcPr>
            <w:tcW w:w="3340" w:type="dxa"/>
            <w:vAlign w:val="bottom"/>
            <w:tcBorders>
              <w:bottom w:val="single" w:sz="8" w:color="E7E7E8"/>
            </w:tcBorders>
          </w:tcPr>
          <w:p>
            <w:pPr>
              <w:ind w:left="20"/>
              <w:spacing w:after="0"/>
              <w:rPr>
                <w:sz w:val="20"/>
                <w:szCs w:val="20"/>
                <w:color w:val="auto"/>
              </w:rPr>
            </w:pPr>
            <w:r>
              <w:rPr>
                <w:rFonts w:ascii="Arial" w:cs="Arial" w:eastAsia="Arial" w:hAnsi="Arial"/>
                <w:sz w:val="14"/>
                <w:szCs w:val="14"/>
                <w:color w:val="auto"/>
              </w:rPr>
              <w:t>Consulting expense to related party</w:t>
            </w:r>
            <w:r>
              <w:rPr>
                <w:rFonts w:ascii="Arial" w:cs="Arial" w:eastAsia="Arial" w:hAnsi="Arial"/>
                <w:sz w:val="18"/>
                <w:szCs w:val="18"/>
                <w:color w:val="auto"/>
                <w:vertAlign w:val="superscript"/>
              </w:rPr>
              <w:t>(a)</w:t>
            </w:r>
          </w:p>
        </w:tc>
        <w:tc>
          <w:tcPr>
            <w:tcW w:w="3860" w:type="dxa"/>
            <w:vAlign w:val="bottom"/>
            <w:tcBorders>
              <w:bottom w:val="single" w:sz="8" w:color="E7E7E8"/>
            </w:tcBorders>
          </w:tcPr>
          <w:p>
            <w:pPr>
              <w:ind w:left="20"/>
              <w:spacing w:after="0"/>
              <w:rPr>
                <w:sz w:val="20"/>
                <w:szCs w:val="20"/>
                <w:color w:val="auto"/>
              </w:rPr>
            </w:pPr>
            <w:r>
              <w:rPr>
                <w:rFonts w:ascii="Arial" w:cs="Arial" w:eastAsia="Arial" w:hAnsi="Arial"/>
                <w:sz w:val="14"/>
                <w:szCs w:val="14"/>
                <w:color w:val="auto"/>
              </w:rPr>
              <w:t>Selling, general &amp; administrative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(2,158)</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(2,996)</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color w:val="auto"/>
              </w:rPr>
              <w:t>(501)</w:t>
            </w:r>
          </w:p>
        </w:tc>
      </w:tr>
      <w:tr>
        <w:trPr>
          <w:trHeight w:val="228"/>
        </w:trPr>
        <w:tc>
          <w:tcPr>
            <w:tcW w:w="3340" w:type="dxa"/>
            <w:vAlign w:val="bottom"/>
            <w:tcBorders>
              <w:bottom w:val="single" w:sz="8" w:color="E7E7E8"/>
            </w:tcBorders>
            <w:shd w:val="clear" w:color="auto" w:fill="E7E7E8"/>
          </w:tcPr>
          <w:p>
            <w:pPr>
              <w:spacing w:after="0"/>
              <w:rPr>
                <w:sz w:val="19"/>
                <w:szCs w:val="19"/>
                <w:color w:val="auto"/>
              </w:rPr>
            </w:pPr>
          </w:p>
        </w:tc>
        <w:tc>
          <w:tcPr>
            <w:tcW w:w="38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4"/>
                <w:szCs w:val="14"/>
                <w:color w:val="auto"/>
              </w:rPr>
              <w:t>Total related party expense, net</w:t>
            </w:r>
          </w:p>
        </w:tc>
        <w:tc>
          <w:tcPr>
            <w:tcW w:w="220" w:type="dxa"/>
            <w:vAlign w:val="bottom"/>
            <w:tcBorders>
              <w:bottom w:val="single" w:sz="8" w:color="auto"/>
            </w:tcBorders>
            <w:shd w:val="clear" w:color="auto" w:fill="E7E7E8"/>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7E7E8"/>
          </w:tcPr>
          <w:p>
            <w:pPr>
              <w:jc w:val="right"/>
              <w:ind w:right="27"/>
              <w:spacing w:after="0"/>
              <w:rPr>
                <w:sz w:val="20"/>
                <w:szCs w:val="20"/>
                <w:color w:val="auto"/>
              </w:rPr>
            </w:pPr>
            <w:r>
              <w:rPr>
                <w:rFonts w:ascii="Arial" w:cs="Arial" w:eastAsia="Arial" w:hAnsi="Arial"/>
                <w:sz w:val="14"/>
                <w:szCs w:val="14"/>
                <w:color w:val="auto"/>
              </w:rPr>
              <w:t>(1,864)</w:t>
            </w:r>
          </w:p>
        </w:tc>
        <w:tc>
          <w:tcPr>
            <w:tcW w:w="120" w:type="dxa"/>
            <w:vAlign w:val="bottom"/>
            <w:tcBorders>
              <w:bottom w:val="single" w:sz="8" w:color="E7E7E8"/>
            </w:tcBorders>
            <w:shd w:val="clear" w:color="auto" w:fill="E7E7E8"/>
          </w:tcPr>
          <w:p>
            <w:pPr>
              <w:spacing w:after="0"/>
              <w:rPr>
                <w:sz w:val="19"/>
                <w:szCs w:val="19"/>
                <w:color w:val="auto"/>
              </w:rPr>
            </w:pPr>
          </w:p>
        </w:tc>
        <w:tc>
          <w:tcPr>
            <w:tcW w:w="180" w:type="dxa"/>
            <w:vAlign w:val="bottom"/>
            <w:tcBorders>
              <w:bottom w:val="single" w:sz="8" w:color="auto"/>
            </w:tcBorders>
            <w:shd w:val="clear" w:color="auto" w:fill="E7E7E8"/>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E7E7E8"/>
          </w:tcPr>
          <w:p>
            <w:pPr>
              <w:jc w:val="right"/>
              <w:ind w:right="26"/>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E7E7E8"/>
            </w:tcBorders>
            <w:shd w:val="clear" w:color="auto" w:fill="E7E7E8"/>
          </w:tcPr>
          <w:p>
            <w:pPr>
              <w:spacing w:after="0"/>
              <w:rPr>
                <w:sz w:val="19"/>
                <w:szCs w:val="19"/>
                <w:color w:val="auto"/>
              </w:rPr>
            </w:pPr>
          </w:p>
        </w:tc>
        <w:tc>
          <w:tcPr>
            <w:tcW w:w="180" w:type="dxa"/>
            <w:vAlign w:val="bottom"/>
            <w:tcBorders>
              <w:bottom w:val="single" w:sz="8" w:color="auto"/>
            </w:tcBorders>
            <w:shd w:val="clear" w:color="auto" w:fill="E7E7E8"/>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E7E7E8"/>
          </w:tcPr>
          <w:p>
            <w:pPr>
              <w:ind w:left="140"/>
              <w:spacing w:after="0"/>
              <w:rPr>
                <w:sz w:val="20"/>
                <w:szCs w:val="20"/>
                <w:color w:val="auto"/>
              </w:rPr>
            </w:pPr>
            <w:r>
              <w:rPr>
                <w:rFonts w:ascii="Arial" w:cs="Arial" w:eastAsia="Arial" w:hAnsi="Arial"/>
                <w:sz w:val="14"/>
                <w:szCs w:val="14"/>
                <w:color w:val="auto"/>
              </w:rPr>
              <w:t>(2,169)</w:t>
            </w:r>
          </w:p>
        </w:tc>
        <w:tc>
          <w:tcPr>
            <w:tcW w:w="80" w:type="dxa"/>
            <w:vAlign w:val="bottom"/>
            <w:tcBorders>
              <w:bottom w:val="single" w:sz="8" w:color="E7E7E8"/>
            </w:tcBorders>
            <w:shd w:val="clear" w:color="auto" w:fill="E7E7E8"/>
          </w:tcPr>
          <w:p>
            <w:pPr>
              <w:spacing w:after="0"/>
              <w:rPr>
                <w:sz w:val="19"/>
                <w:szCs w:val="19"/>
                <w:color w:val="auto"/>
              </w:rPr>
            </w:pPr>
          </w:p>
        </w:tc>
        <w:tc>
          <w:tcPr>
            <w:tcW w:w="260" w:type="dxa"/>
            <w:vAlign w:val="bottom"/>
            <w:tcBorders>
              <w:bottom w:val="single" w:sz="8" w:color="auto"/>
            </w:tcBorders>
            <w:shd w:val="clear" w:color="auto" w:fill="E7E7E8"/>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E7E7E8"/>
          </w:tcPr>
          <w:p>
            <w:pPr>
              <w:jc w:val="center"/>
              <w:ind w:left="26"/>
              <w:spacing w:after="0"/>
              <w:rPr>
                <w:sz w:val="20"/>
                <w:szCs w:val="20"/>
                <w:color w:val="auto"/>
              </w:rPr>
            </w:pPr>
            <w:r>
              <w:rPr>
                <w:rFonts w:ascii="Arial" w:cs="Arial" w:eastAsia="Arial" w:hAnsi="Arial"/>
                <w:sz w:val="14"/>
                <w:szCs w:val="14"/>
                <w:color w:val="auto"/>
              </w:rPr>
              <w:t>(351)</w:t>
            </w:r>
          </w:p>
        </w:tc>
      </w:tr>
      <w:tr>
        <w:trPr>
          <w:trHeight w:val="20"/>
        </w:trPr>
        <w:tc>
          <w:tcPr>
            <w:tcW w:w="3340" w:type="dxa"/>
            <w:vAlign w:val="bottom"/>
            <w:tcBorders>
              <w:top w:val="single" w:sz="8" w:color="E7E7E8"/>
            </w:tcBorders>
          </w:tcPr>
          <w:p>
            <w:pPr>
              <w:spacing w:after="0" w:line="20" w:lineRule="exact"/>
              <w:rPr>
                <w:sz w:val="1"/>
                <w:szCs w:val="1"/>
                <w:color w:val="auto"/>
              </w:rPr>
            </w:pPr>
          </w:p>
        </w:tc>
        <w:tc>
          <w:tcPr>
            <w:tcW w:w="386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6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70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(a) Two of the Company's directors also serve on the board of directors to a consulting firm with which the Company incurs professional fees.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August 22, 2018, WillScot’s majority stockholder, Sapphire Holdings, entered into a margin loan (the "Margin Loan") under which all of its WillScot Class A common stock was pledged to secure $125.0 million of borrowings under the loan agreement. WillScot is not a party to the loan agreement and has no obligations thereunder, but WillScot delivered an issuer agreement to the lenders under which WillScot has agreed to certain obligations relating to the shares pledged by Sapphire Holdings and, subject to applicable law and stock exchange rules, not to take any actions that are intended to materially hinder or delay the exercise of any remedies with respect to the pledged shares. In connection with the Margin Loan, on August 24, 2018, WSII entered into a two-year supply agreement with Target Logistics Management LLC, an affiliate controlled by Sapphire Holdings, under which, subject to limited exceptions, WSII acquired the exclusive right to supply modular units, portable storage units, and other ancillary products ordered by the affiliate in the US. As of June 30, 2020, the 59,708,536 shares of WillScot Class A common stock pledged by Sapphire Holdings represented approximately 49% of WillScot’s issued and outstanding Class A shares. As of July 31, 2020, Sapphire Holdings represented approximately 26% of WIllScot Mobile Mini's issued and outstanding common stock.</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June 30, 2020, as contemplated by the Merger Agreement, and pursuant to the terms of an exercise notice delivered by Sapphire Holdings to WillScot, Sapphire Holdings exchanged each of its shares of common stock, par value $0.0001, of Holdings, pursuant to that certain existing exchange agreement, between WillScot and Sapphire Holdings, for 1.3261 shares of newly issued Class A Common Stock (the “Sapphire Exchange”). As a result of the Sapphire Exchange, all issued and outstanding shares of WillScot’s Class B common stock, par value $0.0001 per share (the “Class B Common Stock”), were automatically canceled for no consideration and the existing exchange agreement was automatically terminated.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ind w:right="20"/>
        <w:spacing w:after="0" w:line="260" w:lineRule="auto"/>
        <w:rPr>
          <w:sz w:val="20"/>
          <w:szCs w:val="20"/>
          <w:color w:val="auto"/>
        </w:rPr>
      </w:pPr>
      <w:r>
        <w:rPr>
          <w:rFonts w:ascii="Arial" w:cs="Arial" w:eastAsia="Arial" w:hAnsi="Arial"/>
          <w:sz w:val="16"/>
          <w:szCs w:val="16"/>
          <w:color w:val="auto"/>
        </w:rPr>
        <w:t>As a result of the Sapphire Exchange, Holdings became a wholly-owned subsidiary of WillScot. Sapphire Holdings received 10,641,182 shares of Class A Common Stock in the Sapphire Exchange (the “Exchange Shares”).</w:t>
      </w:r>
    </w:p>
    <w:p>
      <w:pPr>
        <w:spacing w:after="0" w:line="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$1.4 million and $1.7 million for three months ended June 30, 2020 and 2019, respectively. The Company had capital expenditures of rental equipment purchased from related party affiliates of $1.6 million and $3.2 million for six months ended June 30, 2020 and 2019, respectively.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color w:val="1D2758"/>
        </w:rPr>
        <w:t>NOTE 20 - Subsequent Events</w:t>
      </w:r>
    </w:p>
    <w:p>
      <w:pPr>
        <w:spacing w:after="0" w:line="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27, 2020, the Company announced the redemption of $49.0 million of its 2023 Senior Notes. The redemption will take place on August 11, 2020, at a redemption price equal to 103% plus accrued and unpaid interest.</w:t>
      </w:r>
    </w:p>
    <w:p>
      <w:pPr>
        <w:spacing w:after="0" w:line="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August 7, 2020, the Board approved a stock repurchase program that authorizes the Company, to deploy up to $250 million of its outstanding shares of common stock. The stock repurchase program does not obligate the Company to purchase any particular number of shares, and the timing and exact amount of any repurchases will depend on various factors, including market pricing and conditions, business, legal, accounting and other considerations.</w:t>
      </w:r>
    </w:p>
    <w:p>
      <w:pPr>
        <w:spacing w:after="0" w:line="2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plans to repurchase its shares in open market transactions from time to time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will be conducted subject to the covenants in the agreements governing our indebtedness.</w:t>
      </w:r>
    </w:p>
    <w:p>
      <w:pPr>
        <w:spacing w:after="0" w:line="305" w:lineRule="exact"/>
        <w:rPr>
          <w:sz w:val="20"/>
          <w:szCs w:val="20"/>
          <w:color w:val="auto"/>
        </w:rPr>
      </w:pPr>
    </w:p>
    <w:p>
      <w:pPr>
        <w:ind w:left="1960" w:right="580" w:hanging="1943"/>
        <w:spacing w:after="0" w:line="275" w:lineRule="auto"/>
        <w:rPr>
          <w:sz w:val="20"/>
          <w:szCs w:val="20"/>
          <w:color w:val="auto"/>
        </w:rPr>
      </w:pPr>
      <w:r>
        <w:rPr>
          <w:rFonts w:ascii="Arial" w:cs="Arial" w:eastAsia="Arial" w:hAnsi="Arial"/>
          <w:sz w:val="39"/>
          <w:szCs w:val="39"/>
          <w:b w:val="1"/>
          <w:bCs w:val="1"/>
          <w:color w:val="auto"/>
        </w:rPr>
        <w:t>ITEM 2. Management’s Discussion and Analysis of Financial Condition and Results of Operations</w:t>
      </w:r>
    </w:p>
    <w:p>
      <w:pPr>
        <w:spacing w:after="0" w:line="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Corporation ("WillScot"),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six months ended June 30, 2020 or prior periods. As the Merger with Mobile Mini (hereinafter defined) was completed on July 1, 2020, unless the context otherwise requires, the terms “we”, “us”, “our” “Company” and “WillScot Mobile Mini” as used in these financial statements mean WillScot Corporation and its subsidiaries when referring to periods prior to July 1, 2020 (prior to the Merger) and to the combined company WillScot Mobile Mini Holdings Corp. when referring to periods on or after July 1, 2020 (after the Merger).</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December 31, 2019, the 2019 financial statement amounts were adjusted for the adoption ASU 2016-02, Leases (Topic 842) ("ASC 842"), effective retroactively to January 1, 2019, and therefore may not agree to the Quarterly Reports filed on Form 10-Q for the respective periods of 2019.</w:t>
      </w:r>
    </w:p>
    <w:p>
      <w:pPr>
        <w:spacing w:after="0" w:line="90" w:lineRule="exact"/>
        <w:rPr>
          <w:sz w:val="20"/>
          <w:szCs w:val="20"/>
          <w:color w:val="auto"/>
        </w:rPr>
      </w:pPr>
    </w:p>
    <w:p>
      <w:pPr>
        <w:spacing w:after="0"/>
        <w:rPr>
          <w:sz w:val="20"/>
          <w:szCs w:val="20"/>
          <w:color w:val="auto"/>
        </w:rPr>
      </w:pPr>
      <w:r>
        <w:rPr>
          <w:rFonts w:ascii="Arial" w:cs="Arial" w:eastAsia="Arial" w:hAnsi="Arial"/>
          <w:sz w:val="23"/>
          <w:szCs w:val="23"/>
          <w:color w:val="1D2758"/>
        </w:rPr>
        <w:t>Executive Summary and Outlook</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leading provider of modular space and portable storage solutions in the United States (“US”), Canada and Mexico. As of June 30, 2020, our branch network included approximately 120 locations and additional drop lots to service our more than 50,000 customers across the US, Canada and Mexico. We offer our customers an extensive selection of “Ready to Work” modular space and portable storage solutions with over 125,000 modular space units and over 25,000 portable storage units in our fleet.</w:t>
      </w:r>
    </w:p>
    <w:p>
      <w:pPr>
        <w:spacing w:after="0" w:line="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Equipment leasing is our core business. Over 90% of new lease orders are on our standard lease agreement, pre-negotiated master lease or national account agreements. The initial lease periods vary, and our leases are customarily renewable on a month-to-month basis after their initial term. Our Modular Lease Revenue is highly predictable due to its reoccurring nature and the underlying stability and diversification of our lease portfolio. Our average minimum contractual lease term at the time of delivery is over 11 months. However, given our customers value flexibility, they consistently extend their leases or renew on a month-to-month basis such that the average effective duration of our lease portfolio is 34 months.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6"/>
          <w:szCs w:val="16"/>
          <w:color w:val="auto"/>
        </w:rPr>
        <w:t>We remain focused on our core priorities of growing modular leasing revenues by increasing modular space units on rent, both organically and through our consolidation strategy, delivering “Ready to Work” solutions to our customers with value added products and services ("VAPS"), and on continually improving the overall customer experience.</w:t>
      </w:r>
    </w:p>
    <w:p>
      <w:pPr>
        <w:spacing w:after="0" w:line="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customers operate in a diversified set of end-markets,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82% of our revenues for the three months ended June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Mobile Mini Merger</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March 2, 2020, we announced that we entered into an Agreement and Plan of Merger (the "Merger") with Mobile Mini, Inc. (“Mobile Mini”). During the second quarter, we obtained all required regulatory approvals and stockholder approvals from the Company's and Mobile Mini’s stockholders and we closed the Merger on July 1, 2020 at which time Mobile Mini became a wholly-owned subsidiary of WillScot. Concurrent with the closing of the Merger, WillScot changed its name to WillScot Mobile Mini Holdings Corp ("WillScot Mobile Mini"). We believe that the merger will result in strategic and financial benefits by combining the two industry leaders in the complementary modular space and portable storage solutions markets.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5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anticipation of the Merger, on June 15, 2020, we completed a private offering of $650.0 million in aggregate principal amount of 6.125% senior secured notes due 2025 (the “2025 Secured Notes”). The gross offering proceeds from the 2025 Secured Notes of $650.0 million and $5.1 million of interest due through August 1, 2020 were deposited into an escrow account, pending the closing of the Merger. In connection with completion of the Merger on July 1, 2020, the net offering proceeds were released and the proceeds were utilized to repay the 2022 Secured Notes (see Note 9 – Debt), repay Mobile Mini secured notes and pay certain fees and expenses related to the Merger and financing transactions. At June 30, 2020 the $655.1 million in the escrow account is reported as restricted cash on the condensed consolidated balance sheet.</w:t>
      </w:r>
    </w:p>
    <w:p>
      <w:pPr>
        <w:spacing w:after="0" w:line="9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July 1, 2020, in connection with the completion of the Merger, Williams Scotsman Holdings Corp. (“Holdings”), WSII, and certain of its subsidiaries, including Mobile Mini and certain of its consolidated subsidiaries (the “Mobile Mini Entities”), entered into a new asset-based credit agreement (the "New ABL Facility"), that provides for revolving credit facilities in the aggregate principal amount of up to $2.4 billion. On July 1, 2020, in connection with the completion of the Merger, approximately $1.47 billion of proceeds from the New ABL Facility were used to finance the repayment of the Willscot ABL facility, the Mobile Mini ABL facility, fees and expenses related to the Merger and the financing transactions, including $36 million related to the New ABL Facility upfront fees which will be recorded as deferred financing costs in the third quarter. The New ABL Facility matures July 1 2025 (see Note 9 – Debt).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Upon completion of the aforementioned transactions, WillScot Mobile Mini Holdings Corp. had approximately $2,683.7 million of gross debt and finance leases outstanding and approximately $915 million of availability under its New ABL Facility, and 227,721,220 shares outstanding as of July 31, 2020. On July 27, 2020 the Company announced an opportunistic redemption of $49 million of its 2023 senior secured notes. The redemption will occur on August 11, 2020 and is expected to further optimize our debt structure and reduce future interest expense.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COVID-19 Impact on Business</w:t>
      </w:r>
    </w:p>
    <w:p>
      <w:pPr>
        <w:spacing w:after="0" w:line="25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During the three and six months ended June 30, 2020, financial results for our operations were impacted by the COVID-19 outbreak as we began to experience reduced demand as a portion of new project deliveries from our customers were either cancelled or delayed as a result of the COVID-19 pandemic and we expect our financial results may continue to be adversely impacted in the future. During the second quarter of 2020, our modular space deliveries were down 19% year over year due to reduced demand primarily attributable to the current global economic situation as a consequence of the COVID-19 pandemic. The reduced delivery demand has impacted our modular leasing revenues as well as our delivery and installation revenues. As a result, we have taken significant actions to reduce variable costs and capital spending. Due to the long lease durations in our business, the predictability of our cash inflows, and the fact that the majority of our gross profit is from units already out on rent at the beginning of the period, we believe we have forward visibility into our cash flows and are able to plan ahead to adjust for varying demand levels.</w:t>
      </w:r>
    </w:p>
    <w:p>
      <w:pPr>
        <w:spacing w:after="0" w:line="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Since the outbreak of COVID-19 was designated as a global pandemic by the World Health Organization in March, our operations have generally continued to operate normally, albeit at lower activity levels, with additional safety protocols in place as we have been considered an essential business in most jurisdictions. However, there have been significant changes to the global economic situation as a consequence of the COVID-19 pandemic. The global pandemic has resulted in significant global social and business disruption, and in response we have modified the way we communicate and conduct business with our customers, suppliers and employees. The following summarizes many of the key actions we have taken in response to the pandemic.</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Employee Safety and Health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1" w:name="page32"/>
    <w:bookmarkEnd w:id="31"/>
    <w:p>
      <w:pPr>
        <w:jc w:val="both"/>
        <w:ind w:firstLine="648"/>
        <w:spacing w:after="0" w:line="251" w:lineRule="auto"/>
        <w:rPr>
          <w:sz w:val="20"/>
          <w:szCs w:val="20"/>
          <w:color w:val="auto"/>
        </w:rPr>
      </w:pPr>
      <w:r>
        <w:rPr>
          <w:rFonts w:ascii="Arial" w:cs="Arial" w:eastAsia="Arial" w:hAnsi="Arial"/>
          <w:sz w:val="16"/>
          <w:szCs w:val="16"/>
          <w:color w:val="auto"/>
        </w:rPr>
        <w:t>The Company has implemented various employee safety measures to contain the spread of COVID-19, including domestic and international travel restrictions, the promotion of social distancing and work-from-home practices, extensive cleaning protocols, daily symptom assessments, and enhanced use of personal protective equipment such as masks. We are closely monitoring all guidance provided by public agencies such as the Centers for Disease Control and Prevention in the US or the Public Health Agency of Canada to ensure the safety of our employees, vendors, and customers as our top priority.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Sales and Leasing Operations</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is responding to shelter-in-place and similar government orders, which vary significantly across our geographic markets. As a result of the shelter-in-place orders and increased social distancing measures, some of our markets, such as special events and sports and entertainment, have experienced sustained reductions in demand for new projects. Other sectors such as health care have seen increased demand, and other sectors such as construction have remained active but with varying degrees of project disruption, some of which are quite significant. We are also responding to demand across our end markets from customers in need of additional office space to facilitate social distancing. As the Company serves many critical sectors of the economy, the Company will continue to help support customers who remain operational, as well as those who are actively engaged in the COVID-19 response. We believe that our branch locations are considered essential businesses in most jurisdictions and as such have continued to operate normally with the aforementioned safety protocols in place, while our customer service and sales teams are working closely with customers to meet current demand. The impact on future demand for new projects will depend greatly on the degree and duration to which governments restrict business and personal activities going forward and when businesses resume normal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Cost Reductions</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Early in the second quarter, in anticipation of a potential decline in demand for new projects, the Company implemented a range of actions aimed at temporarily reducing costs and preserving liquidity. These actions include suspending previously planned compensation increases for its corporate and shared services employees until the third quarter of 2020, included putting a temporary freeze on hiring, significant planned reductions to overtime and external variable labor costs, and significant reductions in other discretionary spending including marketing, travel and entertainment, outside professional fees and other aspects of the business. As we saw reduced demand persist through the second quarter, we also implemented several internal labor cost reductions to right-size our operations for these lower demand levels. Lastly, reduced demand for new projects has allowed the Company to reduce or delay capital spending, including new fleet purchases, refurbishments of existing equipment, and improvements to branch infrastructure. The Company continues to monitor new project demand on a daily basis, and given the flexibility in our cost structure, can adjust costs and capital spending rapidly to align with demand levels.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June 30, 2020, key drivers of financial performance included:</w:t>
      </w:r>
    </w:p>
    <w:p>
      <w:pPr>
        <w:spacing w:after="0" w:line="59" w:lineRule="exact"/>
        <w:rPr>
          <w:sz w:val="20"/>
          <w:szCs w:val="20"/>
          <w:color w:val="auto"/>
        </w:rPr>
      </w:pPr>
    </w:p>
    <w:p>
      <w:pPr>
        <w:jc w:val="both"/>
        <w:ind w:left="1300" w:hanging="320"/>
        <w:spacing w:after="0" w:line="250" w:lineRule="auto"/>
        <w:tabs>
          <w:tab w:leader="none" w:pos="1289"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color w:val="auto"/>
        </w:rPr>
        <w:t>Modular leasing revenue increased by $4.3 million, or 2.3%, as compared to the same period in 2019, however total revenues decreased by $6.8 million, or 2.6%, driven by a $5.1 million, or 49.0% decrease in rental unit sales revenue, a $4.4 million or 7.9% decrease in modular delivery and installation revenue primarily driven by reduced demand for new project deliveries since mid-March of 2020 as a result of new project cancellations and delays as a result of the COVID-19 pandemic, and a $1.7 million or 14.8% decrease in new sale revenue. Key modular leasing revenue drivers include:</w:t>
      </w:r>
    </w:p>
    <w:p>
      <w:pPr>
        <w:spacing w:after="0" w:line="40" w:lineRule="exact"/>
        <w:rPr>
          <w:rFonts w:ascii="Arial" w:cs="Arial" w:eastAsia="Arial" w:hAnsi="Arial"/>
          <w:sz w:val="16"/>
          <w:szCs w:val="16"/>
          <w:b w:val="1"/>
          <w:bCs w:val="1"/>
          <w:i w:val="1"/>
          <w:iCs w:val="1"/>
          <w:color w:val="auto"/>
        </w:rPr>
      </w:pPr>
    </w:p>
    <w:p>
      <w:pPr>
        <w:ind w:left="162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   Consolidated modular space average monthly rental rate increased to $669 representing a 9.5% increase year over year.</w:t>
      </w:r>
    </w:p>
    <w:p>
      <w:pPr>
        <w:spacing w:after="0" w:line="43" w:lineRule="exact"/>
        <w:rPr>
          <w:rFonts w:ascii="Arial" w:cs="Arial" w:eastAsia="Arial" w:hAnsi="Arial"/>
          <w:sz w:val="16"/>
          <w:szCs w:val="16"/>
          <w:b w:val="1"/>
          <w:bCs w:val="1"/>
          <w:i w:val="1"/>
          <w:iCs w:val="1"/>
          <w:color w:val="auto"/>
        </w:rPr>
      </w:pPr>
    </w:p>
    <w:p>
      <w:pPr>
        <w:ind w:left="1960" w:hanging="324"/>
        <w:spacing w:after="0" w:line="253" w:lineRule="auto"/>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average modular space units on rent decreased 5,204 or 5.6% year over year, driven by lower deliveries,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demand for new project deliveries as a result of the COVID-19 pandemic, and average modular space utilization decreased 340 basis points year over year to 68.5%. Modular - US segment revenues, which represented 91.9% of revenue for the three months ended June 30, 2020, decreased by $0.5 million, or 0.2%, as compared to the same period in 2019 driven primarily by reduced delivery and installation revenues due to reduced demand for new project deliveries, however modular leasing revenues increased $6.5 million, or 3.9% through:</w:t>
      </w:r>
    </w:p>
    <w:p>
      <w:pPr>
        <w:spacing w:after="0" w:line="40" w:lineRule="exact"/>
        <w:rPr>
          <w:rFonts w:ascii="Arial" w:cs="Arial" w:eastAsia="Arial" w:hAnsi="Arial"/>
          <w:sz w:val="16"/>
          <w:szCs w:val="16"/>
          <w:b w:val="1"/>
          <w:bCs w:val="1"/>
          <w:i w:val="1"/>
          <w:iCs w:val="1"/>
          <w:color w:val="auto"/>
        </w:rPr>
      </w:pPr>
    </w:p>
    <w:p>
      <w:pPr>
        <w:ind w:left="1960" w:hanging="324"/>
        <w:spacing w:after="0" w:line="253" w:lineRule="auto"/>
        <w:rPr>
          <w:rFonts w:ascii="Arial" w:cs="Arial" w:eastAsia="Arial" w:hAnsi="Arial"/>
          <w:sz w:val="16"/>
          <w:szCs w:val="16"/>
          <w:b w:val="1"/>
          <w:bCs w:val="1"/>
          <w:i w:val="1"/>
          <w:iCs w:val="1"/>
          <w:color w:val="auto"/>
        </w:rPr>
      </w:pPr>
      <w:r>
        <w:rPr>
          <w:rFonts w:ascii="Arial" w:cs="Arial" w:eastAsia="Arial" w:hAnsi="Arial"/>
          <w:sz w:val="16"/>
          <w:szCs w:val="16"/>
          <w:color w:val="auto"/>
        </w:rPr>
        <w:t>– Modular space average monthly rental rate of $681, increased 11.3% year over year. Improved pricing was driven by a combination of our price optimization tools and processes, as well as by continued growth in our “Ready to Work” solutions and increased VAPS penetration across our customer base.</w:t>
      </w:r>
    </w:p>
    <w:p>
      <w:pPr>
        <w:spacing w:after="0" w:line="39" w:lineRule="exact"/>
        <w:rPr>
          <w:rFonts w:ascii="Arial" w:cs="Arial" w:eastAsia="Arial" w:hAnsi="Arial"/>
          <w:sz w:val="16"/>
          <w:szCs w:val="16"/>
          <w:b w:val="1"/>
          <w:bCs w:val="1"/>
          <w:i w:val="1"/>
          <w:iCs w:val="1"/>
          <w:color w:val="auto"/>
        </w:rPr>
      </w:pPr>
    </w:p>
    <w:p>
      <w:pPr>
        <w:ind w:left="162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   Average modular space units on rent decreased 4,780, or a 5.7% year over year decrease.</w:t>
      </w:r>
    </w:p>
    <w:p>
      <w:pPr>
        <w:spacing w:after="0" w:line="59" w:lineRule="exact"/>
        <w:rPr>
          <w:rFonts w:ascii="Arial" w:cs="Arial" w:eastAsia="Arial" w:hAnsi="Arial"/>
          <w:sz w:val="16"/>
          <w:szCs w:val="16"/>
          <w:b w:val="1"/>
          <w:bCs w:val="1"/>
          <w:i w:val="1"/>
          <w:iCs w:val="1"/>
          <w:color w:val="auto"/>
        </w:rPr>
      </w:pPr>
    </w:p>
    <w:p>
      <w:pPr>
        <w:ind w:left="1960" w:right="20" w:hanging="324"/>
        <w:spacing w:after="0" w:line="260" w:lineRule="auto"/>
        <w:rPr>
          <w:rFonts w:ascii="Arial" w:cs="Arial" w:eastAsia="Arial" w:hAnsi="Arial"/>
          <w:sz w:val="16"/>
          <w:szCs w:val="16"/>
          <w:b w:val="1"/>
          <w:bCs w:val="1"/>
          <w:i w:val="1"/>
          <w:iCs w:val="1"/>
          <w:color w:val="auto"/>
        </w:rPr>
      </w:pPr>
      <w:r>
        <w:rPr>
          <w:rFonts w:ascii="Arial" w:cs="Arial" w:eastAsia="Arial" w:hAnsi="Arial"/>
          <w:sz w:val="16"/>
          <w:szCs w:val="16"/>
          <w:color w:val="auto"/>
        </w:rPr>
        <w:t>– Average modular space monthly utilization decreased 350 basis points to 70.6% for the three months ended June 30, 2020, as compared to the three months ended June 30, 2019.</w:t>
      </w:r>
    </w:p>
    <w:p>
      <w:pPr>
        <w:spacing w:after="0" w:line="33" w:lineRule="exact"/>
        <w:rPr>
          <w:rFonts w:ascii="Arial" w:cs="Arial" w:eastAsia="Arial" w:hAnsi="Arial"/>
          <w:sz w:val="16"/>
          <w:szCs w:val="16"/>
          <w:b w:val="1"/>
          <w:bCs w:val="1"/>
          <w:i w:val="1"/>
          <w:iCs w:val="1"/>
          <w:color w:val="auto"/>
        </w:rPr>
      </w:pPr>
    </w:p>
    <w:p>
      <w:pPr>
        <w:jc w:val="both"/>
        <w:ind w:left="1300" w:hanging="320"/>
        <w:spacing w:after="0" w:line="251" w:lineRule="auto"/>
        <w:tabs>
          <w:tab w:leader="none" w:pos="1289" w:val="left"/>
        </w:tabs>
        <w:numPr>
          <w:ilvl w:val="0"/>
          <w:numId w:val="6"/>
        </w:numPr>
        <w:rPr>
          <w:rFonts w:ascii="Arial" w:cs="Arial" w:eastAsia="Arial" w:hAnsi="Arial"/>
          <w:sz w:val="16"/>
          <w:szCs w:val="16"/>
          <w:color w:val="auto"/>
        </w:rPr>
      </w:pPr>
      <w:r>
        <w:rPr>
          <w:rFonts w:ascii="Arial" w:cs="Arial" w:eastAsia="Arial" w:hAnsi="Arial"/>
          <w:sz w:val="16"/>
          <w:szCs w:val="16"/>
          <w:color w:val="auto"/>
        </w:rPr>
        <w:t>Modular - Other North America segment revenues which represented 8.1% of revenues for the three months ended June 30, 2020, decreased by $6.4 million, or 23.5% as compared to the same period in 2019. Decreases were driven primarily by decreased new and rental unit sales which decreased by $5.2 million. Modular space leasing revenues decreased by $2.1 million, or 12.4%, driven by lower average units on rent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2" w:name="page33"/>
    <w:bookmarkEnd w:id="32"/>
    <w:p>
      <w:pPr>
        <w:ind w:left="320" w:right="20"/>
        <w:spacing w:after="0" w:line="260" w:lineRule="auto"/>
        <w:rPr>
          <w:sz w:val="20"/>
          <w:szCs w:val="20"/>
          <w:color w:val="auto"/>
        </w:rPr>
      </w:pPr>
      <w:r>
        <w:rPr>
          <w:rFonts w:ascii="Arial" w:cs="Arial" w:eastAsia="Arial" w:hAnsi="Arial"/>
          <w:sz w:val="16"/>
          <w:szCs w:val="16"/>
          <w:color w:val="auto"/>
        </w:rPr>
        <w:t>and stronger US dollar in Q2 2020 relative to prior year. These decreases were partially offset by net increases in modular delivery and installation revenues, which supported sequential unit on rent growth within the quarter:</w:t>
      </w:r>
    </w:p>
    <w:p>
      <w:pPr>
        <w:spacing w:after="0" w:line="17" w:lineRule="exact"/>
        <w:rPr>
          <w:sz w:val="20"/>
          <w:szCs w:val="20"/>
          <w:color w:val="auto"/>
        </w:rPr>
      </w:pPr>
    </w:p>
    <w:p>
      <w:pPr>
        <w:ind w:left="980" w:hanging="324"/>
        <w:spacing w:after="0" w:line="263" w:lineRule="auto"/>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Average modular space monthly rental rate decreased 6.8% to $562, which was significantly impacted by unfavorable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movements. On a constant currency basis, modular space average rental rate was down 0.8% year over year primarily due to major project timing in Alaska.</w:t>
      </w:r>
    </w:p>
    <w:p>
      <w:pPr>
        <w:spacing w:after="0" w:line="32" w:lineRule="exact"/>
        <w:rPr>
          <w:sz w:val="20"/>
          <w:szCs w:val="20"/>
          <w:color w:val="auto"/>
        </w:rPr>
      </w:pPr>
    </w:p>
    <w:p>
      <w:pPr>
        <w:ind w:left="980" w:right="20" w:hanging="324"/>
        <w:spacing w:after="0" w:line="260" w:lineRule="auto"/>
        <w:rPr>
          <w:sz w:val="20"/>
          <w:szCs w:val="20"/>
          <w:color w:val="auto"/>
        </w:rPr>
      </w:pPr>
      <w:r>
        <w:rPr>
          <w:rFonts w:ascii="Arial" w:cs="Arial" w:eastAsia="Arial" w:hAnsi="Arial"/>
          <w:sz w:val="16"/>
          <w:szCs w:val="16"/>
          <w:color w:val="auto"/>
        </w:rPr>
        <w:t>– Average modular space units on rent decreased by 424 units, or 4.7% as compared to the same period in 2019, however increased 2.9% sequentially from March to June 2020.</w:t>
      </w:r>
    </w:p>
    <w:p>
      <w:pPr>
        <w:spacing w:after="0" w:line="33" w:lineRule="exact"/>
        <w:rPr>
          <w:sz w:val="20"/>
          <w:szCs w:val="20"/>
          <w:color w:val="auto"/>
        </w:rPr>
      </w:pPr>
    </w:p>
    <w:p>
      <w:pPr>
        <w:ind w:left="980" w:hanging="324"/>
        <w:spacing w:after="0" w:line="260" w:lineRule="auto"/>
        <w:rPr>
          <w:sz w:val="20"/>
          <w:szCs w:val="20"/>
          <w:color w:val="auto"/>
        </w:rPr>
      </w:pPr>
      <w:r>
        <w:rPr>
          <w:rFonts w:ascii="Arial" w:cs="Arial" w:eastAsia="Arial" w:hAnsi="Arial"/>
          <w:sz w:val="16"/>
          <w:szCs w:val="16"/>
          <w:color w:val="auto"/>
        </w:rPr>
        <w:t>– Average modular space monthly utilization decreased by 260 basis points as compared to the same period in 2019 to 53.7%, however increased 170 basis points from March to June 2020.</w:t>
      </w:r>
    </w:p>
    <w:p>
      <w:pPr>
        <w:spacing w:after="0" w:line="33" w:lineRule="exact"/>
        <w:rPr>
          <w:sz w:val="20"/>
          <w:szCs w:val="20"/>
          <w:color w:val="auto"/>
        </w:rPr>
      </w:pPr>
    </w:p>
    <w:p>
      <w:pPr>
        <w:jc w:val="both"/>
        <w:ind w:left="320" w:hanging="320"/>
        <w:spacing w:after="0" w:line="251" w:lineRule="auto"/>
        <w:tabs>
          <w:tab w:leader="none" w:pos="309"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Generated consolidated net income of $12.8 million for the three months ended June 30, 2020, which included $5.9 million of discrete costs expensed in the period related to acquisition and integration activities, including $1.6 million of transaction costs related to the announced Mobile Mini merger, $2.2 million of integration costs, and $2.1 million of restructuring costs, lease impairment expense and other related charges.</w:t>
      </w:r>
    </w:p>
    <w:p>
      <w:pPr>
        <w:spacing w:after="0" w:line="40" w:lineRule="exact"/>
        <w:rPr>
          <w:rFonts w:ascii="Arial" w:cs="Arial" w:eastAsia="Arial" w:hAnsi="Arial"/>
          <w:sz w:val="16"/>
          <w:szCs w:val="16"/>
          <w:b w:val="1"/>
          <w:bCs w:val="1"/>
          <w:color w:val="auto"/>
        </w:rPr>
      </w:pPr>
    </w:p>
    <w:p>
      <w:pPr>
        <w:jc w:val="both"/>
        <w:ind w:left="320" w:hanging="320"/>
        <w:spacing w:after="0" w:line="250" w:lineRule="auto"/>
        <w:tabs>
          <w:tab w:leader="none" w:pos="309"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Generated Adjusted EBITDA of $97.5 million for the three months ended June 30, 2020, representing an increase of $10.0 million, or 11.4%, as compared to the same period in 2019, which includes continued realization of commercial and cost synergies associated with the ModSpace acquisition, and significant cost reductions as a result of actions taken to reduce variable cost in a reduced demand environment as a consequence of the COVID-19 pandemic. Our Adjusted EBITDA Margin of 38.0% in the second quarter increased 480 basis points relative to prior year.</w:t>
      </w:r>
    </w:p>
    <w:p>
      <w:pPr>
        <w:spacing w:after="0" w:line="40" w:lineRule="exact"/>
        <w:rPr>
          <w:rFonts w:ascii="Arial" w:cs="Arial" w:eastAsia="Arial" w:hAnsi="Arial"/>
          <w:sz w:val="16"/>
          <w:szCs w:val="16"/>
          <w:color w:val="auto"/>
        </w:rPr>
      </w:pPr>
    </w:p>
    <w:p>
      <w:pPr>
        <w:jc w:val="both"/>
        <w:ind w:left="320" w:hanging="320"/>
        <w:spacing w:after="0" w:line="251" w:lineRule="auto"/>
        <w:tabs>
          <w:tab w:leader="none" w:pos="309"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Free Cash Flow of $39.0 million for the three months ended June 30, 2020, representing an increase of $37.4 million as compared to the same period in 2019, as net cash provided by operating activities of $75.4 million was partially reinvested in value added products and fleet refurbishments (net cash used in investing activities of $36.4 million), however, reinvestment was at lower levels than originally planned as a result of reduced capital spending needs given reduced demand for new project deliveries.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229235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113" w:right="339" w:bottom="1440" w:gutter="0" w:footer="0" w:header="0"/>
        </w:sectPr>
      </w:pPr>
    </w:p>
    <w:bookmarkStart w:id="33" w:name="page34"/>
    <w:bookmarkEnd w:id="33"/>
    <w:p>
      <w:pPr>
        <w:spacing w:after="0"/>
        <w:rPr>
          <w:sz w:val="20"/>
          <w:szCs w:val="20"/>
          <w:color w:val="auto"/>
        </w:rPr>
      </w:pPr>
      <w:r>
        <w:rPr>
          <w:rFonts w:ascii="Arial" w:cs="Arial" w:eastAsia="Arial" w:hAnsi="Arial"/>
          <w:sz w:val="23"/>
          <w:szCs w:val="23"/>
          <w:color w:val="1D2758"/>
        </w:rPr>
        <w:t>Consolidated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the Three Months Ended June 30,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0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operations for the three months ended June 30, 2020 and 2019 are presented below:</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6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20" w:type="dxa"/>
            <w:vAlign w:val="bottom"/>
            <w:gridSpan w:val="3"/>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4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1D2758"/>
          </w:tcPr>
          <w:p>
            <w:pPr>
              <w:spacing w:after="0"/>
              <w:rPr>
                <w:sz w:val="21"/>
                <w:szCs w:val="21"/>
                <w:color w:val="auto"/>
              </w:rPr>
            </w:pPr>
          </w:p>
        </w:tc>
        <w:tc>
          <w:tcPr>
            <w:tcW w:w="2920" w:type="dxa"/>
            <w:vAlign w:val="bottom"/>
            <w:gridSpan w:val="5"/>
            <w:shd w:val="clear" w:color="auto" w:fill="1D2758"/>
          </w:tcPr>
          <w:p>
            <w:pPr>
              <w:ind w:left="160"/>
              <w:spacing w:after="0"/>
              <w:rPr>
                <w:sz w:val="20"/>
                <w:szCs w:val="20"/>
                <w:color w:val="auto"/>
              </w:rPr>
            </w:pPr>
            <w:r>
              <w:rPr>
                <w:rFonts w:ascii="Arial" w:cs="Arial" w:eastAsia="Arial" w:hAnsi="Arial"/>
                <w:sz w:val="16"/>
                <w:szCs w:val="16"/>
                <w:b w:val="1"/>
                <w:bCs w:val="1"/>
                <w:color w:val="FFFFFF"/>
              </w:rPr>
              <w:t>Three Months Ended June 30,</w:t>
            </w:r>
          </w:p>
        </w:tc>
        <w:tc>
          <w:tcPr>
            <w:tcW w:w="140" w:type="dxa"/>
            <w:vAlign w:val="bottom"/>
            <w:shd w:val="clear" w:color="auto" w:fill="1D2758"/>
          </w:tcPr>
          <w:p>
            <w:pPr>
              <w:spacing w:after="0"/>
              <w:rPr>
                <w:sz w:val="21"/>
                <w:szCs w:val="21"/>
                <w:color w:val="auto"/>
              </w:rPr>
            </w:pPr>
          </w:p>
        </w:tc>
        <w:tc>
          <w:tcPr>
            <w:tcW w:w="136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2020 vs. 2019 $</w:t>
            </w:r>
          </w:p>
        </w:tc>
        <w:tc>
          <w:tcPr>
            <w:tcW w:w="0" w:type="dxa"/>
            <w:vAlign w:val="bottom"/>
          </w:tcPr>
          <w:p>
            <w:pPr>
              <w:spacing w:after="0"/>
              <w:rPr>
                <w:sz w:val="1"/>
                <w:szCs w:val="1"/>
                <w:color w:val="auto"/>
              </w:rPr>
            </w:pPr>
          </w:p>
        </w:tc>
      </w:tr>
      <w:tr>
        <w:trPr>
          <w:trHeight w:val="215"/>
        </w:trPr>
        <w:tc>
          <w:tcPr>
            <w:tcW w:w="6480" w:type="dxa"/>
            <w:vAlign w:val="bottom"/>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20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6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480" w:type="dxa"/>
            <w:vAlign w:val="bottom"/>
            <w:shd w:val="clear" w:color="auto" w:fill="1D2758"/>
          </w:tcPr>
          <w:p>
            <w:pPr>
              <w:spacing w:after="0"/>
              <w:rPr>
                <w:sz w:val="8"/>
                <w:szCs w:val="8"/>
                <w:color w:val="auto"/>
              </w:rPr>
            </w:pPr>
          </w:p>
        </w:tc>
        <w:tc>
          <w:tcPr>
            <w:tcW w:w="300" w:type="dxa"/>
            <w:vAlign w:val="bottom"/>
            <w:shd w:val="clear" w:color="auto" w:fill="1D2758"/>
          </w:tcPr>
          <w:p>
            <w:pPr>
              <w:spacing w:after="0"/>
              <w:rPr>
                <w:sz w:val="8"/>
                <w:szCs w:val="8"/>
                <w:color w:val="auto"/>
              </w:rPr>
            </w:pPr>
          </w:p>
        </w:tc>
        <w:tc>
          <w:tcPr>
            <w:tcW w:w="1200" w:type="dxa"/>
            <w:vAlign w:val="bottom"/>
            <w:vMerge w:val="continue"/>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116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36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190,143</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185,818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4,325</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51,640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55,966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(4,326)</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9,763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5,316</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10,422</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227"/>
        </w:trPr>
        <w:tc>
          <w:tcPr>
            <w:tcW w:w="64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256,862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263,713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(6,851)</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47,747</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55,073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(7,326)</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43,523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48,468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6,331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7,999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3,803</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45,494</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43,968</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109,964</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101,484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8,480</w:t>
            </w:r>
          </w:p>
        </w:tc>
        <w:tc>
          <w:tcPr>
            <w:tcW w:w="0" w:type="dxa"/>
            <w:vAlign w:val="bottom"/>
          </w:tcPr>
          <w:p>
            <w:pPr>
              <w:spacing w:after="0"/>
              <w:rPr>
                <w:sz w:val="1"/>
                <w:szCs w:val="1"/>
                <w:color w:val="auto"/>
              </w:rPr>
            </w:pPr>
          </w:p>
        </w:tc>
      </w:tr>
      <w:tr>
        <w:trPr>
          <w:trHeight w:val="233"/>
        </w:trPr>
        <w:tc>
          <w:tcPr>
            <w:tcW w:w="64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65,272</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70,385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2,883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00" w:type="dxa"/>
            <w:vAlign w:val="bottom"/>
            <w:shd w:val="clear" w:color="auto" w:fill="E7E7E8"/>
          </w:tcPr>
          <w:p>
            <w:pPr>
              <w:spacing w:after="0"/>
              <w:rPr>
                <w:sz w:val="21"/>
                <w:szCs w:val="21"/>
                <w:color w:val="auto"/>
              </w:rPr>
            </w:pPr>
          </w:p>
        </w:tc>
        <w:tc>
          <w:tcPr>
            <w:tcW w:w="132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3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749</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30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27"/>
        </w:trPr>
        <w:tc>
          <w:tcPr>
            <w:tcW w:w="64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30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41,067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26,294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14,773</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28,519</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31,668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237"/>
        </w:trPr>
        <w:tc>
          <w:tcPr>
            <w:tcW w:w="6480" w:type="dxa"/>
            <w:vAlign w:val="bottom"/>
          </w:tcPr>
          <w:p>
            <w:pPr>
              <w:ind w:left="26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43"/>
        </w:trPr>
        <w:tc>
          <w:tcPr>
            <w:tcW w:w="64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Income (loss) from operations before income tax</w:t>
            </w:r>
          </w:p>
        </w:tc>
        <w:tc>
          <w:tcPr>
            <w:tcW w:w="300" w:type="dxa"/>
            <w:vAlign w:val="bottom"/>
            <w:tcBorders>
              <w:top w:val="single" w:sz="8" w:color="auto"/>
            </w:tcBorders>
            <w:shd w:val="clear" w:color="auto" w:fill="E7E7E8"/>
          </w:tcPr>
          <w:p>
            <w:pPr>
              <w:spacing w:after="0"/>
              <w:rPr>
                <w:sz w:val="21"/>
                <w:szCs w:val="21"/>
                <w:color w:val="auto"/>
              </w:rPr>
            </w:pPr>
          </w:p>
        </w:tc>
        <w:tc>
          <w:tcPr>
            <w:tcW w:w="120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12,548</w:t>
            </w:r>
          </w:p>
        </w:tc>
        <w:tc>
          <w:tcPr>
            <w:tcW w:w="120" w:type="dxa"/>
            <w:vAlign w:val="bottom"/>
            <w:tcBorders>
              <w:top w:val="single" w:sz="8" w:color="E7E7E8"/>
            </w:tcBorders>
            <w:shd w:val="clear" w:color="auto" w:fill="E7E7E8"/>
          </w:tcPr>
          <w:p>
            <w:pPr>
              <w:spacing w:after="0"/>
              <w:rPr>
                <w:sz w:val="21"/>
                <w:szCs w:val="21"/>
                <w:color w:val="auto"/>
              </w:rPr>
            </w:pPr>
          </w:p>
        </w:tc>
        <w:tc>
          <w:tcPr>
            <w:tcW w:w="340" w:type="dxa"/>
            <w:vAlign w:val="bottom"/>
            <w:tcBorders>
              <w:top w:val="single" w:sz="8" w:color="auto"/>
            </w:tcBorders>
            <w:shd w:val="clear" w:color="auto" w:fill="E7E7E8"/>
          </w:tcPr>
          <w:p>
            <w:pPr>
              <w:spacing w:after="0"/>
              <w:rPr>
                <w:sz w:val="21"/>
                <w:szCs w:val="21"/>
                <w:color w:val="auto"/>
              </w:rPr>
            </w:pPr>
          </w:p>
        </w:tc>
        <w:tc>
          <w:tcPr>
            <w:tcW w:w="116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(12,618)</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6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25,166</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E7E7E8"/>
          </w:tcPr>
          <w:p>
            <w:pPr>
              <w:spacing w:after="0"/>
              <w:rPr>
                <w:sz w:val="21"/>
                <w:szCs w:val="21"/>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12,833</w:t>
            </w:r>
          </w:p>
        </w:tc>
        <w:tc>
          <w:tcPr>
            <w:tcW w:w="12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(11,438)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24,271</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262"/>
        </w:trPr>
        <w:tc>
          <w:tcPr>
            <w:tcW w:w="64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income (loss) attributable to WillScot</w:t>
            </w: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11,490</w:t>
            </w:r>
          </w:p>
        </w:tc>
        <w:tc>
          <w:tcPr>
            <w:tcW w:w="12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(10,606)</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22,096</w:t>
            </w:r>
          </w:p>
        </w:tc>
        <w:tc>
          <w:tcPr>
            <w:tcW w:w="0" w:type="dxa"/>
            <w:vAlign w:val="bottom"/>
          </w:tcPr>
          <w:p>
            <w:pPr>
              <w:spacing w:after="0"/>
              <w:rPr>
                <w:sz w:val="1"/>
                <w:szCs w:val="1"/>
                <w:color w:val="auto"/>
              </w:rPr>
            </w:pPr>
          </w:p>
        </w:tc>
      </w:tr>
      <w:tr>
        <w:trPr>
          <w:trHeight w:val="20"/>
        </w:trPr>
        <w:tc>
          <w:tcPr>
            <w:tcW w:w="648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2020 and 2019</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$6.8 million, or 2.6%, to $256.9 million for the three months ended June 30, 2020 from $263.7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2019. The decrease was primarily the result of a $5.1 million, or 49.0%, decrease in rental unit sales, $1.7 million, or 14.8%, decrease in new unit sales, and $4.4 million, or 7.9%, decrease in modular delivery and installation revenues revenue for the three months ended June 30, 2020 as compared to the same period in 2019. The decline in modular delivery and installation revenues was primarily driven by lower delivery volumes during the quarter related to the impact of new project cancellations and delays as a result of the COVID-19 pandemic. These decreases were partially offset by an increase of $4.3 million, or 2.3%, in modular leasing revenue as compared to the same period in 2019 driven by improved pricing and value-added products on modular space units.</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Total average units on rent for the three months ended June 30, 2020 and 2019 were 102,965 and 108,844, respectively. The decrease was due primarily to lower delivery volumes, including reduced demand for new projects since mid-March of 2020 as a result of COVID-19, with modular space average units on rent decreasing 5,204 units, or 5.6%, for the three months ended June 30, 2020 as compared to the three months ended June 30, 2019. Modular space average monthly rental rates increased 9.5% to $669 for the three months ended June 30, 2020. Improved pricing was driven by a combination</w:t>
      </w:r>
    </w:p>
    <w:p>
      <w:pPr>
        <w:sectPr>
          <w:pgSz w:w="11900" w:h="16838" w:orient="portrait"/>
          <w:cols w:equalWidth="0" w:num="1">
            <w:col w:w="11240"/>
          </w:cols>
          <w:pgMar w:left="320" w:top="1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34" w:name="page35"/>
    <w:bookmarkEnd w:id="34"/>
    <w:p>
      <w:pPr>
        <w:jc w:val="both"/>
        <w:spacing w:after="0" w:line="248" w:lineRule="auto"/>
        <w:rPr>
          <w:sz w:val="20"/>
          <w:szCs w:val="20"/>
          <w:color w:val="auto"/>
        </w:rPr>
      </w:pPr>
      <w:r>
        <w:rPr>
          <w:rFonts w:ascii="Arial" w:cs="Arial" w:eastAsia="Arial" w:hAnsi="Arial"/>
          <w:sz w:val="16"/>
          <w:szCs w:val="16"/>
          <w:color w:val="auto"/>
        </w:rPr>
        <w:t>of our price optimization tools and processes, as well as by continued growth in our “Ready to Work” solutions and increased VAPS penetration across our customer base. Portable storage average units on rent decreased by 675 units, or 4.1%, for the three months ended June 30, 2020. Average portable storage monthly rental rates decreased 0.8% to $120 for the three months ended June 30, 2020. The average modular space unit utilization rate during the three months ended June 30, 2020 was 68.5%, as compared to 71.9% during the same period in 2019. This decrease was driven by lower average modular space units on rent, partially offset by a lower total modular space unit fleet size. The average portable storage unit utilization rate during the three months ended June 30, 2020 was 62.5%, as compared to 63.3% during the same period in 2019. The decrease in average portable storage utilization rate was driven by declines in the number of portable storage average units on rent.</w:t>
      </w:r>
    </w:p>
    <w:p>
      <w:pPr>
        <w:spacing w:after="0" w:line="2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42.8% and 38.5% for the three months ended June 30, 2020 and 2019,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60.5% and 55.2% for the three months ended June 30, 2020 and 2019, respectively.</w:t>
      </w:r>
    </w:p>
    <w:p>
      <w:pPr>
        <w:spacing w:after="0" w:line="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$8.5 million, or 8.4%, to $110.0 million for the three months ended June 30, 2020 from $101.5 million for the three months ended June 30, 2019. The increase in gross profit is a result of an $11.7 million increase in modular leasing gross profit and increased delivery and installation gross profit of $0.6 million. Increases in modular leasing and services gross profit were primarily a result of increased revenues due to favorable average monthly rental rates on modular space units, and modular leasing cost savings due to lower delivery volumes that were achieved as a result of actions taken by the Company to scale back variable labor and material costs in response to lower demand for new project deliveries. Increased delivery and installation margins were driven by higher pricing per transaction, offset partially by lower activity volumes due to reduced delivery demand. These increases were partially offset by increased depreciation of $1.5 million as a result of capital investments made over the past twelve months in our existing rental equipment and decreased new and rental unit sale margins of $2.2 million due to lower demand.</w:t>
      </w:r>
    </w:p>
    <w:p>
      <w:pPr>
        <w:spacing w:after="0" w:line="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Selling, general and administrative ("SG&amp;A") decreased $5.1 million, or 7.2%, to $65.3 million for the three months ended June 30,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$70.4 million for the three months ended June 30, 2019. The primary driver of the decrease is related to lower discrete costs. Discrete items within SG&amp;A decreased for the three months ended June 30, 2020, compared to the three months ended June 30, 2019, by $4.1 million as integration cost savings of $5.6 million as compared to the three months ended June 30, 2019 were only partially offset by transaction costs related to the Merger of $1.6 million. Stock compensation expense increased $0.3 million and other costs decreased $0.4 million as compared to the three months ended June 30, 2019.</w:t>
      </w:r>
    </w:p>
    <w:p>
      <w:pPr>
        <w:spacing w:after="0" w:line="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Excluding discrete items, SG&amp;A decreased $1.0 million as a result of decreased expenses related to travel and entertainment, which drove a decrease of approximately $1.6 million and professional fees which decreased $1.6 million as compared to the prior year. These decreases were partially offset primarily by increased bad debt expense of $1.7 million compared to the prior year.</w:t>
      </w:r>
    </w:p>
    <w:p>
      <w:pPr>
        <w:spacing w:after="0" w:line="1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remained flat at $2.9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and 2019.</w:t>
      </w:r>
    </w:p>
    <w:p>
      <w:pPr>
        <w:spacing w:after="0" w:line="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$0.3 million for the three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valuation of properties classified as assets held for sale as a result of the ModSpace acquisition. No similar impairments occurred during the three months ended June 30, 2020.</w:t>
      </w:r>
    </w:p>
    <w:p>
      <w:pPr>
        <w:spacing w:after="0" w:line="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was $1.4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2020 as compared to $1.5 million for the three months ended June 30, 2019.</w:t>
      </w:r>
    </w:p>
    <w:p>
      <w:pPr>
        <w:spacing w:after="0" w:line="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In the three months ended June 30, 2020, the Company had $0.7 million of restructuring costs primarily due to reductions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force across our branch network in response to COVID-19 economic conditions. In the three months ended June 30, 2019, $1.6 million of restructuring costs was recorded primarily related to employee termination costs as a result of the ModSpace integration.</w:t>
      </w:r>
    </w:p>
    <w:p>
      <w:pPr>
        <w:spacing w:after="0" w:line="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of $0.4 million gain for the three months ended June 30, 2020 was flat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2019.</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$1.0 million for the three months ended June 30, 2020 compared to income of $1.3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Other income, net of $1.0 million for the three months ended June 30, 2020 reflects the reversal of a non-income tax liability of $1.3 million. Other income, net of $1.3 million for the three months ended June 30, 2019 was primarily driven by the receipt of $1.1 million of insurance proceeds related to assets damaged during Hurricane Harvey.</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$3.2 million, or 10.1%, to $28.5 million for the three months ended June 30, 2020 from $31.7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June 30, 2019. The decrease in interest expense is primarily attributable to the repayment of our 10% senior unsecured notes in the second quarter of 2019, the partial redemption of our 2022 senior secured notes in December 2019, and lower interest rates and average balances outstanding on our ABL facility. See Note 9 to the condensed consolidated financial statements for further discussion of our debt.</w:t>
      </w:r>
    </w:p>
    <w:p>
      <w:pPr>
        <w:spacing w:after="0" w:line="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We redeemed $200.0 million in aggregate outstanding principal amount of our senior unsecured notes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 quarter of 2019 at a redemption price of 102.0%, plus a make-whole premium of 1.1%, for total premiums of 3.1%. As a result, we recorded a loss on extinguishment of debt of $7.2 million, which included $6.2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million of premium and $1.0 million related to the write-off of unamortized deferred financing fees</w:t>
      </w:r>
    </w:p>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$0.9 million to $0.3 million for the three months ended June 30, 2020 compared to $1.2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June 30, 2019. The decrease in income tax benefit was driven by pre-tax income being offset by a tax benefit from a release of valuation allowance and discrete items in the three months ended June 30, 2020 as compared to discrete benefits recorded in the three months ended June 30, 2019 that were not recurring at June 30,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the Six Months Ended June 30, 2019</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statements of operations for the six months ended June 30, 2020 and 2019 are presented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2880" w:type="dxa"/>
            <w:vAlign w:val="bottom"/>
            <w:gridSpan w:val="5"/>
            <w:shd w:val="clear" w:color="auto" w:fill="1D2758"/>
          </w:tcPr>
          <w:p>
            <w:pPr>
              <w:ind w:left="580"/>
              <w:spacing w:after="0"/>
              <w:rPr>
                <w:sz w:val="20"/>
                <w:szCs w:val="20"/>
                <w:color w:val="auto"/>
              </w:rPr>
            </w:pPr>
            <w:r>
              <w:rPr>
                <w:rFonts w:ascii="Arial" w:cs="Arial" w:eastAsia="Arial" w:hAnsi="Arial"/>
                <w:sz w:val="16"/>
                <w:szCs w:val="16"/>
                <w:b w:val="1"/>
                <w:bCs w:val="1"/>
                <w:color w:val="FFFFFF"/>
              </w:rPr>
              <w:t>Six Months Ended</w:t>
            </w:r>
          </w:p>
        </w:tc>
        <w:tc>
          <w:tcPr>
            <w:tcW w:w="14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20"/>
                <w:szCs w:val="20"/>
                <w:color w:val="auto"/>
              </w:rPr>
            </w:pPr>
          </w:p>
        </w:tc>
        <w:tc>
          <w:tcPr>
            <w:tcW w:w="1720" w:type="dxa"/>
            <w:vAlign w:val="bottom"/>
            <w:gridSpan w:val="3"/>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June 30,</w:t>
            </w:r>
          </w:p>
        </w:tc>
        <w:tc>
          <w:tcPr>
            <w:tcW w:w="106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1360" w:type="dxa"/>
            <w:vAlign w:val="bottom"/>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2020 vs. 2019 $</w:t>
            </w:r>
          </w:p>
        </w:tc>
        <w:tc>
          <w:tcPr>
            <w:tcW w:w="0" w:type="dxa"/>
            <w:vAlign w:val="bottom"/>
          </w:tcPr>
          <w:p>
            <w:pPr>
              <w:spacing w:after="0"/>
              <w:rPr>
                <w:sz w:val="1"/>
                <w:szCs w:val="1"/>
                <w:color w:val="auto"/>
              </w:rPr>
            </w:pPr>
          </w:p>
        </w:tc>
      </w:tr>
      <w:tr>
        <w:trPr>
          <w:trHeight w:val="215"/>
        </w:trPr>
        <w:tc>
          <w:tcPr>
            <w:tcW w:w="648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6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060" w:type="dxa"/>
            <w:vAlign w:val="bottom"/>
            <w:vMerge w:val="restart"/>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96"/>
        </w:trPr>
        <w:tc>
          <w:tcPr>
            <w:tcW w:w="6480" w:type="dxa"/>
            <w:vAlign w:val="bottom"/>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1160" w:type="dxa"/>
            <w:vAlign w:val="bottom"/>
            <w:vMerge w:val="continue"/>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440" w:type="dxa"/>
            <w:vAlign w:val="bottom"/>
            <w:shd w:val="clear" w:color="auto" w:fill="1D2758"/>
          </w:tcPr>
          <w:p>
            <w:pPr>
              <w:spacing w:after="0"/>
              <w:rPr>
                <w:sz w:val="8"/>
                <w:szCs w:val="8"/>
                <w:color w:val="auto"/>
              </w:rPr>
            </w:pPr>
          </w:p>
        </w:tc>
        <w:tc>
          <w:tcPr>
            <w:tcW w:w="106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36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378,495</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363,110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15,385</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102,710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105,966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 revenue:</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19,376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26,348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12,102</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21,974</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(9,872)</w:t>
            </w:r>
          </w:p>
        </w:tc>
        <w:tc>
          <w:tcPr>
            <w:tcW w:w="0" w:type="dxa"/>
            <w:vAlign w:val="bottom"/>
          </w:tcPr>
          <w:p>
            <w:pPr>
              <w:spacing w:after="0"/>
              <w:rPr>
                <w:sz w:val="1"/>
                <w:szCs w:val="1"/>
                <w:color w:val="auto"/>
              </w:rPr>
            </w:pPr>
          </w:p>
        </w:tc>
      </w:tr>
      <w:tr>
        <w:trPr>
          <w:trHeight w:val="227"/>
        </w:trPr>
        <w:tc>
          <w:tcPr>
            <w:tcW w:w="64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512,683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517,398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(4,715)</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97,556</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102,308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(4,752)</w:t>
            </w: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87,388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91,811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12,534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(6,343)</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7,609</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14,516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(6,907)</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91,442</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85,071</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6,371</w:t>
            </w: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216,154</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204,815</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11,339</w:t>
            </w:r>
          </w:p>
        </w:tc>
        <w:tc>
          <w:tcPr>
            <w:tcW w:w="0" w:type="dxa"/>
            <w:vAlign w:val="bottom"/>
          </w:tcPr>
          <w:p>
            <w:pPr>
              <w:spacing w:after="0"/>
              <w:rPr>
                <w:sz w:val="1"/>
                <w:szCs w:val="1"/>
                <w:color w:val="auto"/>
              </w:rPr>
            </w:pPr>
          </w:p>
        </w:tc>
      </w:tr>
      <w:tr>
        <w:trPr>
          <w:trHeight w:val="233"/>
        </w:trPr>
        <w:tc>
          <w:tcPr>
            <w:tcW w:w="64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140,240</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143,704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(3,464)</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5,957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long-lived assets</w:t>
            </w:r>
          </w:p>
        </w:tc>
        <w:tc>
          <w:tcPr>
            <w:tcW w:w="340" w:type="dxa"/>
            <w:vAlign w:val="bottom"/>
            <w:shd w:val="clear" w:color="auto" w:fill="E7E7E8"/>
          </w:tcPr>
          <w:p>
            <w:pPr>
              <w:spacing w:after="0"/>
              <w:rPr>
                <w:sz w:val="21"/>
                <w:szCs w:val="21"/>
                <w:color w:val="auto"/>
              </w:rPr>
            </w:pPr>
          </w:p>
        </w:tc>
        <w:tc>
          <w:tcPr>
            <w:tcW w:w="128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Lease impairment expense and other related charges</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3,055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689</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3,288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Currency (gains) losses, net</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27"/>
        </w:trPr>
        <w:tc>
          <w:tcPr>
            <w:tcW w:w="64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66,440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47,758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18,682</w:t>
            </w:r>
          </w:p>
        </w:tc>
        <w:tc>
          <w:tcPr>
            <w:tcW w:w="0" w:type="dxa"/>
            <w:vAlign w:val="bottom"/>
          </w:tcPr>
          <w:p>
            <w:pPr>
              <w:spacing w:after="0"/>
              <w:rPr>
                <w:sz w:val="1"/>
                <w:szCs w:val="1"/>
                <w:color w:val="auto"/>
              </w:rPr>
            </w:pPr>
          </w:p>
        </w:tc>
      </w:tr>
      <w:tr>
        <w:trPr>
          <w:trHeight w:val="253"/>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56,776</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62,783</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(6,007)</w:t>
            </w:r>
          </w:p>
        </w:tc>
        <w:tc>
          <w:tcPr>
            <w:tcW w:w="0" w:type="dxa"/>
            <w:vAlign w:val="bottom"/>
          </w:tcPr>
          <w:p>
            <w:pPr>
              <w:spacing w:after="0"/>
              <w:rPr>
                <w:sz w:val="1"/>
                <w:szCs w:val="1"/>
                <w:color w:val="auto"/>
              </w:rPr>
            </w:pPr>
          </w:p>
        </w:tc>
      </w:tr>
      <w:tr>
        <w:trPr>
          <w:trHeight w:val="236"/>
        </w:trPr>
        <w:tc>
          <w:tcPr>
            <w:tcW w:w="648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243"/>
        </w:trPr>
        <w:tc>
          <w:tcPr>
            <w:tcW w:w="64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Income from operations before income tax</w:t>
            </w:r>
          </w:p>
        </w:tc>
        <w:tc>
          <w:tcPr>
            <w:tcW w:w="340" w:type="dxa"/>
            <w:vAlign w:val="bottom"/>
            <w:tcBorders>
              <w:top w:val="single" w:sz="8" w:color="auto"/>
            </w:tcBorders>
            <w:shd w:val="clear" w:color="auto" w:fill="E7E7E8"/>
          </w:tcPr>
          <w:p>
            <w:pPr>
              <w:spacing w:after="0"/>
              <w:rPr>
                <w:sz w:val="21"/>
                <w:szCs w:val="21"/>
                <w:color w:val="auto"/>
              </w:rPr>
            </w:pPr>
          </w:p>
        </w:tc>
        <w:tc>
          <w:tcPr>
            <w:tcW w:w="1160" w:type="dxa"/>
            <w:vAlign w:val="bottom"/>
            <w:tcBorders>
              <w:top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9,664</w:t>
            </w:r>
          </w:p>
        </w:tc>
        <w:tc>
          <w:tcPr>
            <w:tcW w:w="120" w:type="dxa"/>
            <w:vAlign w:val="bottom"/>
            <w:tcBorders>
              <w:top w:val="single" w:sz="8" w:color="E7E7E8"/>
            </w:tcBorders>
            <w:shd w:val="clear" w:color="auto" w:fill="E7E7E8"/>
          </w:tcPr>
          <w:p>
            <w:pPr>
              <w:spacing w:after="0"/>
              <w:rPr>
                <w:sz w:val="21"/>
                <w:szCs w:val="21"/>
                <w:color w:val="auto"/>
              </w:rPr>
            </w:pPr>
          </w:p>
        </w:tc>
        <w:tc>
          <w:tcPr>
            <w:tcW w:w="440" w:type="dxa"/>
            <w:vAlign w:val="bottom"/>
            <w:tcBorders>
              <w:top w:val="single" w:sz="8" w:color="auto"/>
            </w:tcBorders>
            <w:shd w:val="clear" w:color="auto" w:fill="E7E7E8"/>
          </w:tcPr>
          <w:p>
            <w:pPr>
              <w:spacing w:after="0"/>
              <w:rPr>
                <w:sz w:val="21"/>
                <w:szCs w:val="21"/>
                <w:color w:val="auto"/>
              </w:rPr>
            </w:pPr>
          </w:p>
        </w:tc>
        <w:tc>
          <w:tcPr>
            <w:tcW w:w="106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(22,269)</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360" w:type="dxa"/>
            <w:vAlign w:val="bottom"/>
            <w:tcBorders>
              <w:top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31,933</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expense (benefit)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4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E7E7E8"/>
          </w:tcPr>
          <w:p>
            <w:pPr>
              <w:spacing w:after="0"/>
              <w:rPr>
                <w:sz w:val="21"/>
                <w:szCs w:val="21"/>
                <w:color w:val="auto"/>
              </w:rPr>
            </w:pPr>
          </w:p>
        </w:tc>
        <w:tc>
          <w:tcPr>
            <w:tcW w:w="11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9,159</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(21,467)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30,626</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income (loss) attributable to non-controlling interest, net of tax</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1,213</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61"/>
        </w:trPr>
        <w:tc>
          <w:tcPr>
            <w:tcW w:w="64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income (loss) attributable to WillScot</w:t>
            </w: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7,946</w:t>
            </w:r>
          </w:p>
        </w:tc>
        <w:tc>
          <w:tcPr>
            <w:tcW w:w="120" w:type="dxa"/>
            <w:vAlign w:val="bottom"/>
            <w:tcBorders>
              <w:bottom w:val="single" w:sz="8" w:color="E7E7E8"/>
            </w:tcBorders>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(19,877)</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27,823</w:t>
            </w:r>
          </w:p>
        </w:tc>
        <w:tc>
          <w:tcPr>
            <w:tcW w:w="0" w:type="dxa"/>
            <w:vAlign w:val="bottom"/>
          </w:tcPr>
          <w:p>
            <w:pPr>
              <w:spacing w:after="0"/>
              <w:rPr>
                <w:sz w:val="1"/>
                <w:szCs w:val="1"/>
                <w:color w:val="auto"/>
              </w:rPr>
            </w:pPr>
          </w:p>
        </w:tc>
      </w:tr>
      <w:tr>
        <w:trPr>
          <w:trHeight w:val="20"/>
        </w:trPr>
        <w:tc>
          <w:tcPr>
            <w:tcW w:w="648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106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2020 and 2019</w:t>
      </w:r>
    </w:p>
    <w:p>
      <w:pPr>
        <w:spacing w:after="0" w:line="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$4.7 million, or 0.9%, to $512.7 million for the six months ended June 30, 2020 from $517.4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The decrease was primarily the result of a $6.9 million, or 26.2%, and $9.9 million, or 45.0%, decrease in new unit and rental unit sales, respectively and a $3.3 million, or 3.1%, decrease in modular delivery and installation revenue. The decline in modular delivery and installation revenues was primarily driven by lower delivery volumes during the second quarter related to the impact of new project cancellations and delays as a result of the COVID-19 pandemic. These decreases were partially offset by an increase of $15.4 million, or 4.2%, in modular leasing revenue for the six months ended June 30, 2020 driven by improved pricing on modular space units.</w:t>
      </w: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36" w:name="page37"/>
    <w:bookmarkEnd w:id="36"/>
    <w:p>
      <w:pPr>
        <w:jc w:val="both"/>
        <w:ind w:firstLine="648"/>
        <w:spacing w:after="0" w:line="247" w:lineRule="auto"/>
        <w:rPr>
          <w:sz w:val="20"/>
          <w:szCs w:val="20"/>
          <w:color w:val="auto"/>
        </w:rPr>
      </w:pPr>
      <w:r>
        <w:rPr>
          <w:rFonts w:ascii="Arial" w:cs="Arial" w:eastAsia="Arial" w:hAnsi="Arial"/>
          <w:sz w:val="16"/>
          <w:szCs w:val="16"/>
          <w:color w:val="auto"/>
        </w:rPr>
        <w:t>Total average units on rent for the six months ended June 30, 2020 and 2019 were 103,656 and 109,815, respectively. The decrease was due primarily to lower delivery volumes, including reduced demand for new projects since mid-March of 2020 as a result of COVID-19, with modular space average units on rent decreasing 5,267 units, or 5.7%, for the six months ended June 30, 2020 as compared to the six months ended June 30, 2019. Modular space average monthly rental rates increased 11.5% to $661 for the six months ended June 30, 2020. Improved pricing was driven by a combination of our price optimization tools and processes, as well as by continued growth in our “Ready to Work” solutions and increased VAPS penetration across our customer base. Portable storage average units on rent decreased by 892 units, or 5.2%, for the six months ended June 30, 2020. Average portable storage monthly rental rates of $120 were flat compared to the six months ended June 30, 2019. The average modular space unit utilization rate during the six months ended June 30, 2020 was 68.9%, as compared to 72.2% during the same period in 2019. This decrease was driven by lower average modular space units on rent, partially offset by a lower total modular space unit fleet size. The average portable storage unit utilization rate during the six months ended June 30, 2020 was 63.5%, as compared to 65.0% during the same period in 2019. The decrease in average portable storage utilization rate was driven by a decline in the number of portable storage average units on rent.</w:t>
      </w:r>
    </w:p>
    <w:p>
      <w:pPr>
        <w:spacing w:after="0" w:line="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42.2% and 39.6% for the six months ended June 30, 2020 and 2019,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60.0% and 56.0% for the six months ended June 30, 2020 and 2019, respectively.</w:t>
      </w:r>
    </w:p>
    <w:p>
      <w:pPr>
        <w:spacing w:after="0" w:line="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$11.4 million, or 5.6%, to $216.2 million for the six months ended June 30, 2020 from $204.8 million for the six months ended June 30, 2019. The increase in gross profit is a result of a $21.2 million increase in modular leasing and services gross profit. Increases in modular leasing and services gross profit were primarily a result of increased revenues due to favorable average monthly rental rates on modular space units, as well as due to modular leasing cost savings during the second quarter due to lower delivery volumes that were achieved as a result of actions taken by the Company to scale back variable labor and material costs in response to lower demand for new project deliveries. Increased delivery and installation margins were driven primarily by higher pricing per transaction, offset partially by lower activity volumes primarily in the second quarter due to reduced delivery demand. These increases were partially offset by increased depreciation of $6.3 million as a result of capital investments made over the past twelve months in our existing rental equipment and decreased new and rental unit sale margins of $3.5 million due to lower demand.</w:t>
      </w:r>
    </w:p>
    <w:p>
      <w:pPr>
        <w:spacing w:after="0" w:line="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SG&amp;A decreased $3.5 million, or 2.4%, to $140.2 million for the six months ended June 30, 2020, compared to $143.7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The primary driver of the decrease is related to decreased discrete costs. Discrete items within SG&amp;A decreased for the six months ended June 30, 2020, compared to the six months ended June 30, 2019, by $3.1 million as integration cost savings of $14.1 million as compared to the six months ended June 30, 2019 were only partially offset by transaction costs related to the Mobile Mini transaction of $11.1 million. Stock compensation expense increased $0.8 million and other costs decreased $0.9 million as compared to the six months ended June 30, 2019.</w:t>
      </w:r>
    </w:p>
    <w:p>
      <w:pPr>
        <w:spacing w:after="0" w:line="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Excluding discrete items, SG&amp;A decreased $0.4 million as a result of decreased expenses related to occupancy costs, which decreased $1.2 million, travel and entertainment costs, which decreased $1.3 million, professional fees, which decreased $1.3 million, and tax cost savings of approximately $1.0 million as compared to the prior year. These cost savings were partially offset primarily by increased employee costs, which increased $1.3 million, increased bad debt expense of $1.0 million, and approximately $2.4 million of cost incurred related to the bi-annual company meeting held in January 2020.</w:t>
      </w:r>
    </w:p>
    <w:p>
      <w:pPr>
        <w:spacing w:after="0" w:line="2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$0.3 million, or 5.3%, to $6.0 million for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2020, compared to $5.7 million for the six months ended June 30, 2019.</w:t>
      </w:r>
    </w:p>
    <w:p>
      <w:pPr>
        <w:spacing w:after="0" w:line="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Impairment Losses on Long-Lived Assets: </w:t>
      </w:r>
      <w:r>
        <w:rPr>
          <w:rFonts w:ascii="Arial" w:cs="Arial" w:eastAsia="Arial" w:hAnsi="Arial"/>
          <w:sz w:val="16"/>
          <w:szCs w:val="16"/>
          <w:color w:val="auto"/>
        </w:rPr>
        <w:t>Impairment losses on long-lived assets were $2.6 million for the six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valuation of properties classified as assets held for sale as a result of the ModSpace acquisition. No similar impairments occurred during the six months ended June 30, 2020.</w:t>
      </w:r>
    </w:p>
    <w:p>
      <w:pPr>
        <w:spacing w:after="0" w:line="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were $3.1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2020 as compared to $4.6 million for the six months ended June 30, 2019.</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$0.7 million for the six months ended June 30, 2020 as compared to $3.3 million for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2019. The restructuring charges in the six months ended June 30, 2020 were due to reductions in force across our branch network in response to COVID-19 economic conditions. The restructuring charges in the six months ended June 30, 2019 related primarily to employee termination costs related to the ModSpace and Acton acquisitions and integrations.</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fluctuated by $1.2 million to a $0.5 million loss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compared to a $0.7 million gain for the six months ended June 30, 2019. The increase in currency (gains) losses, net, in 2020 was primarily attributable to the impact of foreign currency exchange rate changes on loans and borrowings and intercompany receivables and payables denominated in a currency other than the subsidiaries’ functional currency.</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income, net was $0.7 million and $2.2 million for the six months ended June 30, 2020 and 2019,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net of $0.7 million for the six months ended June 30, 2020 was primarily related to the reversal of a non-income tax liability of $1.3 million. Other income, net of $2.2 million for the six months ended June 30, 2019 was driven primarily by the receipt of a $0.9 million settlement in the first quarter of 2019, and the receipt of $1.1 million of insurance proceeds related to assets damaged during Hurricane Harvey in the second quarter of 2019.</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$6.0 million, or 9.6%, to $56.8 million for the six months ended June 30, 2020 from $62.8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six months ended June 30, 2019. Interest expense for the six months ended June 30, 2020 is lower than the same period in 2019 due to lower rates and average balances outstanding on our ABL facility and the repayment of our 10% senior unsecured notes in the second quarter of 2019, offset by an increase in borrowings of $190.0 million in the second quarter of 2019 under our 6.875% senior secured notes, which are outstanding for all six months in 2020.</w:t>
      </w:r>
    </w:p>
    <w:p>
      <w:pPr>
        <w:spacing w:after="0" w:line="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We redeemed $200.0 million in aggregate outstanding principal amount of our senior unsecured notes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 quarter of 2019 at a redemption price of 102.0%, plus a make-whole premium of 1.1%, for total premiums of 3.1%. As a result, we recorded a loss on extinguishment of debt of $7.2 million, which included $6.2 million of premium and $1.0 million related to the write-off of unamortized deferred financing fees</w:t>
      </w:r>
    </w:p>
    <w:p>
      <w:pPr>
        <w:spacing w:after="0" w:line="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$1.3 million to $0.5 million expense for the six months ended June 30, 2020 compared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$0.8 million benefit for the six months ended June 30, 2019. The increase in income tax expense was driven by legislative enacted discrete benefits recorded in the six months ended June 30, 2019 which did not occur in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Arial" w:cs="Arial" w:eastAsia="Arial" w:hAnsi="Arial"/>
          <w:sz w:val="23"/>
          <w:szCs w:val="23"/>
          <w:color w:val="1D2758"/>
        </w:rPr>
        <w:t>Business Segment Results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principal line of business is modular leasing and sales. Modular leasing and sales comprises two reportable segments: Modular - US and Modular - Other North America. The Modular - US reportable segment includes the contiguous 48 states and Hawaii, and the Modular - Other North America reportable segment includes Alaska, Canada and Mexico.</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three and six months ended June 30, 2020 and 2019. Future changes to our organizational structure, including those that will result from our Merger with Mobile Mini, may result in changes to the segments disclosed.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06285" cy="45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454025"/>
                    </a:xfrm>
                    <a:prstGeom prst="rect">
                      <a:avLst/>
                    </a:prstGeom>
                    <a:noFill/>
                  </pic:spPr>
                </pic:pic>
              </a:graphicData>
            </a:graphic>
          </wp:anchor>
        </w:drawing>
      </w:r>
    </w:p>
    <w:p>
      <w:pPr>
        <w:spacing w:after="0" w:line="102"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FFFFFF"/>
        </w:rPr>
        <w:t>Three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1D2758"/>
          </w:tcPr>
          <w:p>
            <w:pPr>
              <w:spacing w:after="0"/>
              <w:rPr>
                <w:sz w:val="16"/>
                <w:szCs w:val="16"/>
                <w:color w:val="auto"/>
              </w:rPr>
            </w:pPr>
          </w:p>
        </w:tc>
        <w:tc>
          <w:tcPr>
            <w:tcW w:w="1300" w:type="dxa"/>
            <w:vAlign w:val="bottom"/>
            <w:vMerge w:val="restart"/>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Modular - US</w:t>
            </w:r>
          </w:p>
        </w:tc>
        <w:tc>
          <w:tcPr>
            <w:tcW w:w="260" w:type="dxa"/>
            <w:vAlign w:val="bottom"/>
            <w:shd w:val="clear" w:color="auto" w:fill="1D2758"/>
          </w:tcPr>
          <w:p>
            <w:pPr>
              <w:spacing w:after="0"/>
              <w:rPr>
                <w:sz w:val="16"/>
                <w:szCs w:val="16"/>
                <w:color w:val="auto"/>
              </w:rPr>
            </w:pPr>
          </w:p>
        </w:tc>
        <w:tc>
          <w:tcPr>
            <w:tcW w:w="2300" w:type="dxa"/>
            <w:vAlign w:val="bottom"/>
            <w:gridSpan w:val="3"/>
            <w:shd w:val="clear" w:color="auto" w:fill="1D2758"/>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114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60" w:type="dxa"/>
            <w:vAlign w:val="bottom"/>
            <w:vMerge w:val="continue"/>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760" w:type="dxa"/>
            <w:vAlign w:val="bottom"/>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300" w:type="dxa"/>
            <w:vAlign w:val="bottom"/>
            <w:shd w:val="clear" w:color="auto" w:fill="1D2758"/>
          </w:tcPr>
          <w:p>
            <w:pPr>
              <w:spacing w:after="0"/>
              <w:rPr>
                <w:sz w:val="8"/>
                <w:szCs w:val="8"/>
                <w:color w:val="auto"/>
              </w:rPr>
            </w:pPr>
          </w:p>
        </w:tc>
        <w:tc>
          <w:tcPr>
            <w:tcW w:w="260" w:type="dxa"/>
            <w:vAlign w:val="bottom"/>
            <w:shd w:val="clear" w:color="auto" w:fill="1D2758"/>
          </w:tcPr>
          <w:p>
            <w:pPr>
              <w:spacing w:after="0"/>
              <w:rPr>
                <w:sz w:val="8"/>
                <w:szCs w:val="8"/>
                <w:color w:val="auto"/>
              </w:rPr>
            </w:pPr>
          </w:p>
        </w:tc>
        <w:tc>
          <w:tcPr>
            <w:tcW w:w="380" w:type="dxa"/>
            <w:vAlign w:val="bottom"/>
            <w:shd w:val="clear" w:color="auto" w:fill="1D2758"/>
          </w:tcPr>
          <w:p>
            <w:pPr>
              <w:spacing w:after="0"/>
              <w:rPr>
                <w:sz w:val="8"/>
                <w:szCs w:val="8"/>
                <w:color w:val="auto"/>
              </w:rPr>
            </w:pPr>
          </w:p>
        </w:tc>
        <w:tc>
          <w:tcPr>
            <w:tcW w:w="1220" w:type="dxa"/>
            <w:vAlign w:val="bottom"/>
            <w:shd w:val="clear" w:color="auto" w:fill="1D2758"/>
          </w:tcPr>
          <w:p>
            <w:pPr>
              <w:spacing w:after="0"/>
              <w:rPr>
                <w:sz w:val="8"/>
                <w:szCs w:val="8"/>
                <w:color w:val="auto"/>
              </w:rPr>
            </w:pPr>
          </w:p>
        </w:tc>
        <w:tc>
          <w:tcPr>
            <w:tcW w:w="700" w:type="dxa"/>
            <w:vAlign w:val="bottom"/>
            <w:shd w:val="clear" w:color="auto" w:fill="1D2758"/>
          </w:tcPr>
          <w:p>
            <w:pPr>
              <w:spacing w:after="0"/>
              <w:rPr>
                <w:sz w:val="8"/>
                <w:szCs w:val="8"/>
                <w:color w:val="auto"/>
              </w:rPr>
            </w:pPr>
          </w:p>
        </w:tc>
        <w:tc>
          <w:tcPr>
            <w:tcW w:w="114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236,048</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20,814</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256,862</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100,951</w:t>
            </w:r>
          </w:p>
        </w:tc>
        <w:tc>
          <w:tcPr>
            <w:tcW w:w="2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9,013</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109,964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90,613</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6,907</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97,520</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38,065</w:t>
            </w:r>
          </w:p>
        </w:tc>
        <w:tc>
          <w:tcPr>
            <w:tcW w:w="2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1,969</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40,034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78,493</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8,603</w:t>
            </w:r>
          </w:p>
        </w:tc>
        <w:tc>
          <w:tcPr>
            <w:tcW w:w="7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87,096</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70.6 %</w:t>
            </w:r>
          </w:p>
        </w:tc>
        <w:tc>
          <w:tcPr>
            <w:tcW w:w="380" w:type="dxa"/>
            <w:vAlign w:val="bottom"/>
          </w:tcPr>
          <w:p>
            <w:pPr>
              <w:spacing w:after="0"/>
              <w:rPr>
                <w:sz w:val="20"/>
                <w:szCs w:val="20"/>
                <w:color w:val="auto"/>
              </w:rPr>
            </w:pPr>
          </w:p>
        </w:tc>
        <w:tc>
          <w:tcPr>
            <w:tcW w:w="1920" w:type="dxa"/>
            <w:vAlign w:val="bottom"/>
            <w:gridSpan w:val="2"/>
          </w:tcPr>
          <w:p>
            <w:pPr>
              <w:jc w:val="right"/>
              <w:ind w:right="439"/>
              <w:spacing w:after="0"/>
              <w:rPr>
                <w:sz w:val="20"/>
                <w:szCs w:val="20"/>
                <w:color w:val="auto"/>
              </w:rPr>
            </w:pPr>
            <w:r>
              <w:rPr>
                <w:rFonts w:ascii="Arial" w:cs="Arial" w:eastAsia="Arial" w:hAnsi="Arial"/>
                <w:sz w:val="16"/>
                <w:szCs w:val="16"/>
                <w:color w:val="auto"/>
              </w:rPr>
              <w:t>53.7 %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68.5 %</w:t>
            </w: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681</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562</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669</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15,505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364</w:t>
            </w: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15,869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63.0</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47.6</w:t>
            </w:r>
          </w:p>
        </w:tc>
        <w:tc>
          <w:tcPr>
            <w:tcW w:w="70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62.5</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121</w:t>
            </w:r>
          </w:p>
        </w:tc>
        <w:tc>
          <w:tcPr>
            <w:tcW w:w="26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80" w:type="dxa"/>
            <w:vAlign w:val="bottom"/>
            <w:shd w:val="clear" w:color="auto" w:fill="1D2758"/>
          </w:tcPr>
          <w:p>
            <w:pPr>
              <w:spacing w:after="0"/>
              <w:rPr>
                <w:sz w:val="20"/>
                <w:szCs w:val="20"/>
                <w:color w:val="auto"/>
              </w:rPr>
            </w:pPr>
          </w:p>
        </w:tc>
        <w:tc>
          <w:tcPr>
            <w:tcW w:w="240" w:type="dxa"/>
            <w:vAlign w:val="bottom"/>
            <w:shd w:val="clear" w:color="auto" w:fill="1D2758"/>
          </w:tcPr>
          <w:p>
            <w:pPr>
              <w:spacing w:after="0"/>
              <w:rPr>
                <w:sz w:val="20"/>
                <w:szCs w:val="20"/>
                <w:color w:val="auto"/>
              </w:rPr>
            </w:pPr>
          </w:p>
        </w:tc>
        <w:tc>
          <w:tcPr>
            <w:tcW w:w="3940" w:type="dxa"/>
            <w:vAlign w:val="bottom"/>
            <w:gridSpan w:val="5"/>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Three Months Ended June 30, 2019</w:t>
            </w:r>
          </w:p>
        </w:tc>
        <w:tc>
          <w:tcPr>
            <w:tcW w:w="980" w:type="dxa"/>
            <w:vAlign w:val="bottom"/>
            <w:shd w:val="clear" w:color="auto" w:fill="1D2758"/>
          </w:tcPr>
          <w:p>
            <w:pPr>
              <w:spacing w:after="0"/>
              <w:rPr>
                <w:sz w:val="20"/>
                <w:szCs w:val="20"/>
                <w:color w:val="auto"/>
              </w:rPr>
            </w:pPr>
          </w:p>
        </w:tc>
        <w:tc>
          <w:tcPr>
            <w:tcW w:w="200" w:type="dxa"/>
            <w:vAlign w:val="bottom"/>
            <w:shd w:val="clear" w:color="auto" w:fill="1D2758"/>
          </w:tcPr>
          <w:p>
            <w:pPr>
              <w:spacing w:after="0"/>
              <w:rPr>
                <w:sz w:val="20"/>
                <w:szCs w:val="20"/>
                <w:color w:val="auto"/>
              </w:rPr>
            </w:pPr>
          </w:p>
        </w:tc>
      </w:tr>
      <w:tr>
        <w:trPr>
          <w:trHeight w:val="206"/>
        </w:trPr>
        <w:tc>
          <w:tcPr>
            <w:tcW w:w="58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380" w:type="dxa"/>
            <w:vAlign w:val="bottom"/>
            <w:gridSpan w:val="3"/>
            <w:shd w:val="clear" w:color="auto" w:fill="1D2758"/>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98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r>
      <w:tr>
        <w:trPr>
          <w:trHeight w:val="234"/>
        </w:trPr>
        <w:tc>
          <w:tcPr>
            <w:tcW w:w="58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1D2758"/>
          </w:tcPr>
          <w:p>
            <w:pPr>
              <w:spacing w:after="0"/>
              <w:rPr>
                <w:sz w:val="20"/>
                <w:szCs w:val="20"/>
                <w:color w:val="auto"/>
              </w:rPr>
            </w:pPr>
          </w:p>
        </w:tc>
        <w:tc>
          <w:tcPr>
            <w:tcW w:w="38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780" w:type="dxa"/>
            <w:vAlign w:val="bottom"/>
            <w:shd w:val="clear" w:color="auto" w:fill="1D2758"/>
          </w:tcPr>
          <w:p>
            <w:pPr>
              <w:spacing w:after="0"/>
              <w:rPr>
                <w:sz w:val="20"/>
                <w:szCs w:val="20"/>
                <w:color w:val="auto"/>
              </w:rPr>
            </w:pPr>
          </w:p>
        </w:tc>
        <w:tc>
          <w:tcPr>
            <w:tcW w:w="98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1D2758"/>
          </w:tcPr>
          <w:p>
            <w:pPr>
              <w:spacing w:after="0"/>
              <w:rPr>
                <w:sz w:val="20"/>
                <w:szCs w:val="20"/>
                <w:color w:val="auto"/>
              </w:rPr>
            </w:pPr>
          </w:p>
        </w:tc>
      </w:tr>
      <w:tr>
        <w:trPr>
          <w:trHeight w:val="24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236,502</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27,211</w:t>
            </w:r>
          </w:p>
        </w:tc>
        <w:tc>
          <w:tcPr>
            <w:tcW w:w="7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263,713</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92,471</w:t>
            </w:r>
          </w:p>
        </w:tc>
        <w:tc>
          <w:tcPr>
            <w:tcW w:w="24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9,013</w:t>
            </w: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101,484</w:t>
            </w:r>
          </w:p>
        </w:tc>
        <w:tc>
          <w:tcPr>
            <w:tcW w:w="200" w:type="dxa"/>
            <w:vAlign w:val="bottom"/>
          </w:tcPr>
          <w:p>
            <w:pPr>
              <w:spacing w:after="0"/>
              <w:rPr>
                <w:sz w:val="20"/>
                <w:szCs w:val="20"/>
                <w:color w:val="auto"/>
              </w:rPr>
            </w:pP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80,547</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7,007</w:t>
            </w:r>
          </w:p>
        </w:tc>
        <w:tc>
          <w:tcPr>
            <w:tcW w:w="7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87,554</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58,241</w:t>
            </w:r>
          </w:p>
        </w:tc>
        <w:tc>
          <w:tcPr>
            <w:tcW w:w="24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2,974</w:t>
            </w: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61,215</w:t>
            </w:r>
          </w:p>
        </w:tc>
        <w:tc>
          <w:tcPr>
            <w:tcW w:w="200" w:type="dxa"/>
            <w:vAlign w:val="bottom"/>
          </w:tcPr>
          <w:p>
            <w:pPr>
              <w:spacing w:after="0"/>
              <w:rPr>
                <w:sz w:val="20"/>
                <w:szCs w:val="20"/>
                <w:color w:val="auto"/>
              </w:rPr>
            </w:pP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83,273</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9,027</w:t>
            </w:r>
          </w:p>
        </w:tc>
        <w:tc>
          <w:tcPr>
            <w:tcW w:w="780" w:type="dxa"/>
            <w:vAlign w:val="bottom"/>
            <w:shd w:val="clear" w:color="auto" w:fill="E7E7E8"/>
          </w:tcPr>
          <w:p>
            <w:pPr>
              <w:spacing w:after="0"/>
              <w:rPr>
                <w:sz w:val="21"/>
                <w:szCs w:val="21"/>
                <w:color w:val="auto"/>
              </w:rPr>
            </w:pP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92,300</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74.1 %</w:t>
            </w:r>
          </w:p>
        </w:tc>
        <w:tc>
          <w:tcPr>
            <w:tcW w:w="380" w:type="dxa"/>
            <w:vAlign w:val="bottom"/>
          </w:tcPr>
          <w:p>
            <w:pPr>
              <w:spacing w:after="0"/>
              <w:rPr>
                <w:sz w:val="20"/>
                <w:szCs w:val="20"/>
                <w:color w:val="auto"/>
              </w:rPr>
            </w:pPr>
          </w:p>
        </w:tc>
        <w:tc>
          <w:tcPr>
            <w:tcW w:w="2000" w:type="dxa"/>
            <w:vAlign w:val="bottom"/>
            <w:gridSpan w:val="2"/>
          </w:tcPr>
          <w:p>
            <w:pPr>
              <w:jc w:val="right"/>
              <w:ind w:right="519"/>
              <w:spacing w:after="0"/>
              <w:rPr>
                <w:sz w:val="20"/>
                <w:szCs w:val="20"/>
                <w:color w:val="auto"/>
              </w:rPr>
            </w:pPr>
            <w:r>
              <w:rPr>
                <w:rFonts w:ascii="Arial" w:cs="Arial" w:eastAsia="Arial" w:hAnsi="Arial"/>
                <w:sz w:val="16"/>
                <w:szCs w:val="16"/>
                <w:color w:val="auto"/>
              </w:rPr>
              <w:t>56.3 %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71.9 %</w:t>
            </w: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612</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603</w:t>
            </w:r>
          </w:p>
        </w:tc>
        <w:tc>
          <w:tcPr>
            <w:tcW w:w="78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611</w:t>
            </w:r>
          </w:p>
        </w:tc>
        <w:tc>
          <w:tcPr>
            <w:tcW w:w="200" w:type="dxa"/>
            <w:vAlign w:val="bottom"/>
            <w:shd w:val="clear" w:color="auto" w:fill="E7E7E8"/>
          </w:tcPr>
          <w:p>
            <w:pPr>
              <w:spacing w:after="0"/>
              <w:rPr>
                <w:sz w:val="21"/>
                <w:szCs w:val="21"/>
                <w:color w:val="auto"/>
              </w:rPr>
            </w:pPr>
          </w:p>
        </w:tc>
      </w:tr>
      <w:tr>
        <w:trPr>
          <w:trHeight w:val="233"/>
        </w:trPr>
        <w:tc>
          <w:tcPr>
            <w:tcW w:w="588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16,146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398</w:t>
            </w:r>
          </w:p>
        </w:tc>
        <w:tc>
          <w:tcPr>
            <w:tcW w:w="7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16,544</w:t>
            </w:r>
          </w:p>
        </w:tc>
        <w:tc>
          <w:tcPr>
            <w:tcW w:w="200" w:type="dxa"/>
            <w:vAlign w:val="bottom"/>
          </w:tcPr>
          <w:p>
            <w:pPr>
              <w:spacing w:after="0"/>
              <w:rPr>
                <w:sz w:val="20"/>
                <w:szCs w:val="20"/>
                <w:color w:val="auto"/>
              </w:rPr>
            </w:pPr>
          </w:p>
        </w:tc>
      </w:tr>
      <w:tr>
        <w:trPr>
          <w:trHeight w:val="253"/>
        </w:trPr>
        <w:tc>
          <w:tcPr>
            <w:tcW w:w="5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63.6</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50.8</w:t>
            </w:r>
          </w:p>
        </w:tc>
        <w:tc>
          <w:tcPr>
            <w:tcW w:w="780" w:type="dxa"/>
            <w:vAlign w:val="bottom"/>
            <w:shd w:val="clear" w:color="auto" w:fill="E7E7E8"/>
          </w:tcPr>
          <w:p>
            <w:pPr>
              <w:jc w:val="right"/>
              <w:ind w:right="5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63.3</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88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9"/>
                <w:szCs w:val="19"/>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Modular - US Segment</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$0.5 million, or 0.2%, to $236.0 million for the three months ended June 30, 2020 from $236.5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2019. The decrease was primarily the result of a $5.3 million, or 10.1% decrease in modular delivery and installation revenues, $0.9 million, or 8.7%, decrease in new unit sales, and $0.8 million, or 16.3%, decrease in rental unit sales revenue. The decline in modular delivery and installation revenues was primarily driven by lower delivery volumes during the second quarter related to the impact of new project cancellations and delays as a result of the COVID-19 pandemic. The decreases were partially offset by an increase of modular leasing revenue of $6.5 million, or 3.9% driven by improved pricing. Average modular space monthly rental rates increased 11.3% for the three months ended June 30, 2020 to $681 driven by a combination of our price optimization tools and processes, as well as by continued growth in our “Ready to Work” solutions and increased VAPS penetration across our customer base. Improved pricing was partially offset by lower volumes as average modular space units on rent decreased 4,780 units, or 5.7%. The decrease was driven primarily by lower delivery volumes, including reduced demand for new projects since mid-March of 2020 as a result of COVID-19.</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$8.5 million, or 9.2%, to $101.0 million for the three months ended June 30, 2020 from $92.5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2019. The increase in gross profit was driven by higher modular leasing gross profit, which increased $13.0 million, or 11.0%, driven equally from improved pricing including VAPS and modular leasing cost savings due to lower delivery volumes that were achieved as a result of actions taken by the Company to scale back variable labor and material costs in response to lower demand for new project deliveries. The increase in gross profit</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39" w:name="page40"/>
    <w:bookmarkEnd w:id="39"/>
    <w:p>
      <w:pPr>
        <w:jc w:val="both"/>
        <w:spacing w:after="0" w:line="253" w:lineRule="auto"/>
        <w:rPr>
          <w:sz w:val="20"/>
          <w:szCs w:val="20"/>
          <w:color w:val="auto"/>
        </w:rPr>
      </w:pPr>
      <w:r>
        <w:rPr>
          <w:rFonts w:ascii="Arial" w:cs="Arial" w:eastAsia="Arial" w:hAnsi="Arial"/>
          <w:sz w:val="16"/>
          <w:szCs w:val="16"/>
          <w:color w:val="auto"/>
        </w:rPr>
        <w:t>from modular leasing for the three months ended June 30, 2020 was partially offset by a $1.1 million decrease in sales gross profit, a $1.2 million decrease in modular delivery and installation gross profit due to lower activity volumes due to reduced delivery demand, and a $2.5 million increase in depreciation of rental equipment related to capital investments made in our existing rental equipment over the past twelve months.</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$10.1 million, or 12.5%, to $90.6 million for the three months ended June 30, 2020 from $80.5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June 30, 2019. The increase was driven by higher modular leasing gross profit discussed above. SG&amp;A, excluding discrete items, decreased $0.2 million, or 0.3%, for the three months ended June 30, 2020, as compared to the three months ended June 30, 2019. Decreases were related to $1.3 million decrease in travel and entertainment and $1.6 million decrease in professional fees compared to the prior year. Decreases were partially offset by employee costs which increased $0.7 million, occupancy costs which increased $0.4 million, and increased bad debt expense of $1.8 million compared to the prior year.</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Purchases of rental equipment and refurbishments decreased $20.1 million, or 34.5%,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$38.1 million for the three months ended June 30, 2020 from $58.2 million for the three months ended June 30, 2019. Net CAPEX, as defined below in </w:t>
      </w:r>
      <w:r>
        <w:rPr>
          <w:rFonts w:ascii="Arial" w:cs="Arial" w:eastAsia="Arial" w:hAnsi="Arial"/>
          <w:sz w:val="16"/>
          <w:szCs w:val="16"/>
          <w:i w:val="1"/>
          <w:iCs w:val="1"/>
          <w:color w:val="auto"/>
        </w:rPr>
        <w:t>Item</w:t>
      </w:r>
    </w:p>
    <w:p>
      <w:pPr>
        <w:spacing w:after="0" w:line="1" w:lineRule="exact"/>
        <w:rPr>
          <w:sz w:val="20"/>
          <w:szCs w:val="20"/>
          <w:color w:val="auto"/>
        </w:rPr>
      </w:pPr>
    </w:p>
    <w:p>
      <w:pPr>
        <w:jc w:val="both"/>
        <w:ind w:firstLine="8"/>
        <w:spacing w:after="0" w:line="253" w:lineRule="auto"/>
        <w:tabs>
          <w:tab w:leader="none" w:pos="196"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Other Non-GAAP Financial Data and Reconciliations</w:t>
      </w:r>
      <w:r>
        <w:rPr>
          <w:rFonts w:ascii="Arial" w:cs="Arial" w:eastAsia="Arial" w:hAnsi="Arial"/>
          <w:sz w:val="16"/>
          <w:szCs w:val="16"/>
          <w:color w:val="auto"/>
        </w:rPr>
        <w:t>, also decreased $10.1 million, or 22.1%, to $35.5 million. The decreases for both were driven by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spending on refurbishments and VAPS due to less constrained fleet and reduced demand as a result of the COVID-19 pandemic, and cost improvements experienced over the prior year related to better unit selection and scoping on refurbishments.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Modular - Other North America Segment</w:t>
      </w:r>
    </w:p>
    <w:p>
      <w:pPr>
        <w:spacing w:after="0" w:line="1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$6.4 million, or 23.5%, to $20.8 million for the three months ended June 30, 2020 from $27.2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2019. Decreases were driven by rental unit sale decreases of $4.3 million, or 78.2%, reduced modular leasing revenues, which decreased $2.1 million, or 12.4%, and new unit sales decreases of $0.9 million, or 75.0% for the three months ended June 30, 2020. These decreases were partially offset by increased modular delivery and installation revenue, which increased $0.9 million, or 25.7%. Average modular space monthly rental rates decreased 6.8% primarily as a result of unfavorable foreign currency movements (decrease of 0.8% at constant currency) and average modular space units on rent decreased by 424 units, or 4.7%.</w:t>
      </w:r>
    </w:p>
    <w:p>
      <w:pPr>
        <w:spacing w:after="0" w:line="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of $9.0 million for the three months ended June 30, 2020 was flat compared to the three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effects of unfavorable foreign currency movements decreased gross profit by $0.6 million related to changes in the Canadian dollar and Mexican peso in relation to the US dollar. The increase in gross profit, excluding the effects of foreign currency, of $0.6 million was driven primarily by increased modular delivery and installation margins of $1.2 million as a result of higher pricing per transaction and lower variable costs, and lower depreciation of $0.7 million for the three months ended June 30, 2020, partially offset by reduced new and rental unit sales gross profit of $0.7 million and lower modular leasing gross profit of $0.6 million for three months ended June 30, 2020.</w:t>
      </w:r>
    </w:p>
    <w:p>
      <w:pPr>
        <w:spacing w:after="0" w:line="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decreased $0.1 million, or 1.4%, to $6.9 million for the three months ended June 30, 2020 from $7.0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June 30, 2019. This decrease was driven by reduced gross profit discussed above, excluding depreciation and including the effects of unfavorable foreign currency movements, partially offset by decreased SG&amp;A, excluding discrete items, which decreased $0.8 million, or 12.2%, for the three months ended June 30, 2020, as compared to the three months ended June 30, 2019. Decreases were primarily related to travel and entertainment decreases of $0.2 million and occupancy costs decreases of $0.4 million as a result of realized cost savings achieved through restructuring activities and by exiting redundant real estate locations over the past year.</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Purchases of rental equipment and refurbishments decreased $1.0 million, or 33.3%, to $2.0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the three months ended June 30, 2020 from $3.0 million for the three months ended June 30, 2019. Net CAPEX, as defined below in </w:t>
      </w:r>
      <w:r>
        <w:rPr>
          <w:rFonts w:ascii="Arial" w:cs="Arial" w:eastAsia="Arial" w:hAnsi="Arial"/>
          <w:sz w:val="16"/>
          <w:szCs w:val="16"/>
          <w:i w:val="1"/>
          <w:iCs w:val="1"/>
          <w:color w:val="auto"/>
        </w:rPr>
        <w:t>Item 2. Other Non-GAAP Financial Data and Reconciliations</w:t>
      </w:r>
      <w:r>
        <w:rPr>
          <w:rFonts w:ascii="Arial" w:cs="Arial" w:eastAsia="Arial" w:hAnsi="Arial"/>
          <w:sz w:val="16"/>
          <w:szCs w:val="16"/>
          <w:color w:val="auto"/>
        </w:rPr>
        <w:t>, increased $3.3 million, or 137.5%, to $0.9 million from negative $2.4 million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due to reduced rental unit sale activity for the three months ended June 30, 2020.</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06285" cy="454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454660"/>
                    </a:xfrm>
                    <a:prstGeom prst="rect">
                      <a:avLst/>
                    </a:prstGeom>
                    <a:noFill/>
                  </pic:spPr>
                </pic:pic>
              </a:graphicData>
            </a:graphic>
          </wp:anchor>
        </w:drawing>
      </w:r>
    </w:p>
    <w:p>
      <w:pPr>
        <w:spacing w:after="0" w:line="196" w:lineRule="exact"/>
        <w:rPr>
          <w:sz w:val="20"/>
          <w:szCs w:val="20"/>
          <w:color w:val="auto"/>
        </w:rPr>
      </w:pPr>
    </w:p>
    <w:p>
      <w:pPr>
        <w:ind w:left="7220"/>
        <w:spacing w:after="0"/>
        <w:rPr>
          <w:sz w:val="20"/>
          <w:szCs w:val="20"/>
          <w:color w:val="auto"/>
        </w:rPr>
      </w:pPr>
      <w:r>
        <w:rPr>
          <w:rFonts w:ascii="Arial" w:cs="Arial" w:eastAsia="Arial" w:hAnsi="Arial"/>
          <w:sz w:val="16"/>
          <w:szCs w:val="16"/>
          <w:b w:val="1"/>
          <w:bCs w:val="1"/>
          <w:color w:val="FFFFFF"/>
        </w:rPr>
        <w:t>Six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1D2758"/>
          </w:tcPr>
          <w:p>
            <w:pPr>
              <w:spacing w:after="0"/>
              <w:rPr>
                <w:sz w:val="16"/>
                <w:szCs w:val="16"/>
                <w:color w:val="auto"/>
              </w:rPr>
            </w:pPr>
          </w:p>
        </w:tc>
        <w:tc>
          <w:tcPr>
            <w:tcW w:w="1300" w:type="dxa"/>
            <w:vAlign w:val="bottom"/>
            <w:vMerge w:val="restart"/>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Modular - US</w:t>
            </w:r>
          </w:p>
        </w:tc>
        <w:tc>
          <w:tcPr>
            <w:tcW w:w="260" w:type="dxa"/>
            <w:vAlign w:val="bottom"/>
            <w:shd w:val="clear" w:color="auto" w:fill="1D2758"/>
          </w:tcPr>
          <w:p>
            <w:pPr>
              <w:spacing w:after="0"/>
              <w:rPr>
                <w:sz w:val="16"/>
                <w:szCs w:val="16"/>
                <w:color w:val="auto"/>
              </w:rPr>
            </w:pPr>
          </w:p>
        </w:tc>
        <w:tc>
          <w:tcPr>
            <w:tcW w:w="2300" w:type="dxa"/>
            <w:vAlign w:val="bottom"/>
            <w:gridSpan w:val="3"/>
            <w:shd w:val="clear" w:color="auto" w:fill="1D2758"/>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1140" w:type="dxa"/>
            <w:vAlign w:val="bottom"/>
            <w:vMerge w:val="restart"/>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60" w:type="dxa"/>
            <w:vAlign w:val="bottom"/>
            <w:vMerge w:val="continue"/>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70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760" w:type="dxa"/>
            <w:vAlign w:val="bottom"/>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300" w:type="dxa"/>
            <w:vAlign w:val="bottom"/>
            <w:shd w:val="clear" w:color="auto" w:fill="1D2758"/>
          </w:tcPr>
          <w:p>
            <w:pPr>
              <w:spacing w:after="0"/>
              <w:rPr>
                <w:sz w:val="8"/>
                <w:szCs w:val="8"/>
                <w:color w:val="auto"/>
              </w:rPr>
            </w:pPr>
          </w:p>
        </w:tc>
        <w:tc>
          <w:tcPr>
            <w:tcW w:w="260" w:type="dxa"/>
            <w:vAlign w:val="bottom"/>
            <w:shd w:val="clear" w:color="auto" w:fill="1D2758"/>
          </w:tcPr>
          <w:p>
            <w:pPr>
              <w:spacing w:after="0"/>
              <w:rPr>
                <w:sz w:val="8"/>
                <w:szCs w:val="8"/>
                <w:color w:val="auto"/>
              </w:rPr>
            </w:pPr>
          </w:p>
        </w:tc>
        <w:tc>
          <w:tcPr>
            <w:tcW w:w="380" w:type="dxa"/>
            <w:vAlign w:val="bottom"/>
            <w:shd w:val="clear" w:color="auto" w:fill="1D2758"/>
          </w:tcPr>
          <w:p>
            <w:pPr>
              <w:spacing w:after="0"/>
              <w:rPr>
                <w:sz w:val="8"/>
                <w:szCs w:val="8"/>
                <w:color w:val="auto"/>
              </w:rPr>
            </w:pPr>
          </w:p>
        </w:tc>
        <w:tc>
          <w:tcPr>
            <w:tcW w:w="1220" w:type="dxa"/>
            <w:vAlign w:val="bottom"/>
            <w:shd w:val="clear" w:color="auto" w:fill="1D2758"/>
          </w:tcPr>
          <w:p>
            <w:pPr>
              <w:spacing w:after="0"/>
              <w:rPr>
                <w:sz w:val="8"/>
                <w:szCs w:val="8"/>
                <w:color w:val="auto"/>
              </w:rPr>
            </w:pPr>
          </w:p>
        </w:tc>
        <w:tc>
          <w:tcPr>
            <w:tcW w:w="700" w:type="dxa"/>
            <w:vAlign w:val="bottom"/>
            <w:shd w:val="clear" w:color="auto" w:fill="1D2758"/>
          </w:tcPr>
          <w:p>
            <w:pPr>
              <w:spacing w:after="0"/>
              <w:rPr>
                <w:sz w:val="8"/>
                <w:szCs w:val="8"/>
                <w:color w:val="auto"/>
              </w:rPr>
            </w:pPr>
          </w:p>
        </w:tc>
        <w:tc>
          <w:tcPr>
            <w:tcW w:w="114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469,912</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42,771</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512,683</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197,260</w:t>
            </w:r>
          </w:p>
        </w:tc>
        <w:tc>
          <w:tcPr>
            <w:tcW w:w="2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18,894</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216,154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172,296</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14,766</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187,062</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75,071</w:t>
            </w:r>
          </w:p>
        </w:tc>
        <w:tc>
          <w:tcPr>
            <w:tcW w:w="26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4,611</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79,682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78,989</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8,553</w:t>
            </w:r>
          </w:p>
        </w:tc>
        <w:tc>
          <w:tcPr>
            <w:tcW w:w="70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87,542</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71.1 %</w:t>
            </w:r>
          </w:p>
        </w:tc>
        <w:tc>
          <w:tcPr>
            <w:tcW w:w="380" w:type="dxa"/>
            <w:vAlign w:val="bottom"/>
          </w:tcPr>
          <w:p>
            <w:pPr>
              <w:spacing w:after="0"/>
              <w:rPr>
                <w:sz w:val="20"/>
                <w:szCs w:val="20"/>
                <w:color w:val="auto"/>
              </w:rPr>
            </w:pPr>
          </w:p>
        </w:tc>
        <w:tc>
          <w:tcPr>
            <w:tcW w:w="1920" w:type="dxa"/>
            <w:vAlign w:val="bottom"/>
            <w:gridSpan w:val="2"/>
          </w:tcPr>
          <w:p>
            <w:pPr>
              <w:jc w:val="right"/>
              <w:ind w:right="439"/>
              <w:spacing w:after="0"/>
              <w:rPr>
                <w:sz w:val="20"/>
                <w:szCs w:val="20"/>
                <w:color w:val="auto"/>
              </w:rPr>
            </w:pPr>
            <w:r>
              <w:rPr>
                <w:rFonts w:ascii="Arial" w:cs="Arial" w:eastAsia="Arial" w:hAnsi="Arial"/>
                <w:sz w:val="16"/>
                <w:szCs w:val="16"/>
                <w:color w:val="auto"/>
              </w:rPr>
              <w:t>53.4 %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68.9 %</w:t>
            </w: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670</w:t>
            </w:r>
          </w:p>
        </w:tc>
        <w:tc>
          <w:tcPr>
            <w:tcW w:w="260" w:type="dxa"/>
            <w:vAlign w:val="bottom"/>
            <w:shd w:val="clear" w:color="auto" w:fill="E7E7E8"/>
          </w:tcPr>
          <w:p>
            <w:pPr>
              <w:spacing w:after="0"/>
              <w:rPr>
                <w:sz w:val="21"/>
                <w:szCs w:val="21"/>
                <w:color w:val="auto"/>
              </w:rPr>
            </w:pPr>
          </w:p>
        </w:tc>
        <w:tc>
          <w:tcPr>
            <w:tcW w:w="3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580</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661</w:t>
            </w:r>
          </w:p>
        </w:tc>
        <w:tc>
          <w:tcPr>
            <w:tcW w:w="20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15,738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376</w:t>
            </w: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64.0</w:t>
            </w:r>
          </w:p>
        </w:tc>
        <w:tc>
          <w:tcPr>
            <w:tcW w:w="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49.3</w:t>
            </w:r>
          </w:p>
        </w:tc>
        <w:tc>
          <w:tcPr>
            <w:tcW w:w="70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63.5</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40" w:type="dxa"/>
            <w:vAlign w:val="bottom"/>
            <w:shd w:val="clear" w:color="auto" w:fill="1D2758"/>
          </w:tcPr>
          <w:p>
            <w:pPr>
              <w:spacing w:after="0"/>
              <w:rPr>
                <w:sz w:val="20"/>
                <w:szCs w:val="20"/>
                <w:color w:val="auto"/>
              </w:rPr>
            </w:pPr>
          </w:p>
        </w:tc>
        <w:tc>
          <w:tcPr>
            <w:tcW w:w="240" w:type="dxa"/>
            <w:vAlign w:val="bottom"/>
            <w:shd w:val="clear" w:color="auto" w:fill="1D2758"/>
          </w:tcPr>
          <w:p>
            <w:pPr>
              <w:spacing w:after="0"/>
              <w:rPr>
                <w:sz w:val="20"/>
                <w:szCs w:val="20"/>
                <w:color w:val="auto"/>
              </w:rPr>
            </w:pPr>
          </w:p>
        </w:tc>
        <w:tc>
          <w:tcPr>
            <w:tcW w:w="3960" w:type="dxa"/>
            <w:vAlign w:val="bottom"/>
            <w:gridSpan w:val="5"/>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Six Months Ended June 30, 2019</w:t>
            </w:r>
          </w:p>
        </w:tc>
        <w:tc>
          <w:tcPr>
            <w:tcW w:w="1100" w:type="dxa"/>
            <w:vAlign w:val="bottom"/>
            <w:shd w:val="clear" w:color="auto" w:fill="1D2758"/>
          </w:tcPr>
          <w:p>
            <w:pPr>
              <w:spacing w:after="0"/>
              <w:rPr>
                <w:sz w:val="20"/>
                <w:szCs w:val="20"/>
                <w:color w:val="auto"/>
              </w:rPr>
            </w:pPr>
          </w:p>
        </w:tc>
        <w:tc>
          <w:tcPr>
            <w:tcW w:w="200" w:type="dxa"/>
            <w:vAlign w:val="bottom"/>
            <w:shd w:val="clear" w:color="auto" w:fill="1D2758"/>
          </w:tcPr>
          <w:p>
            <w:pPr>
              <w:spacing w:after="0"/>
              <w:rPr>
                <w:sz w:val="20"/>
                <w:szCs w:val="20"/>
                <w:color w:val="auto"/>
              </w:rPr>
            </w:pPr>
          </w:p>
        </w:tc>
      </w:tr>
      <w:tr>
        <w:trPr>
          <w:trHeight w:val="206"/>
        </w:trPr>
        <w:tc>
          <w:tcPr>
            <w:tcW w:w="574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400" w:type="dxa"/>
            <w:vAlign w:val="bottom"/>
            <w:gridSpan w:val="3"/>
            <w:shd w:val="clear" w:color="auto" w:fill="1D2758"/>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110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r>
      <w:tr>
        <w:trPr>
          <w:trHeight w:val="234"/>
        </w:trPr>
        <w:tc>
          <w:tcPr>
            <w:tcW w:w="5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Modular - US</w:t>
            </w:r>
          </w:p>
        </w:tc>
        <w:tc>
          <w:tcPr>
            <w:tcW w:w="240" w:type="dxa"/>
            <w:vAlign w:val="bottom"/>
            <w:shd w:val="clear" w:color="auto" w:fill="1D2758"/>
          </w:tcPr>
          <w:p>
            <w:pPr>
              <w:spacing w:after="0"/>
              <w:rPr>
                <w:sz w:val="20"/>
                <w:szCs w:val="20"/>
                <w:color w:val="auto"/>
              </w:rPr>
            </w:pPr>
          </w:p>
        </w:tc>
        <w:tc>
          <w:tcPr>
            <w:tcW w:w="38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279"/>
              <w:spacing w:after="0"/>
              <w:rPr>
                <w:sz w:val="20"/>
                <w:szCs w:val="20"/>
                <w:color w:val="auto"/>
              </w:rPr>
            </w:pPr>
            <w:r>
              <w:rPr>
                <w:rFonts w:ascii="Arial" w:cs="Arial" w:eastAsia="Arial" w:hAnsi="Arial"/>
                <w:sz w:val="16"/>
                <w:szCs w:val="16"/>
                <w:b w:val="1"/>
                <w:bCs w:val="1"/>
                <w:color w:val="FFFFFF"/>
              </w:rPr>
              <w:t>America</w:t>
            </w:r>
          </w:p>
        </w:tc>
        <w:tc>
          <w:tcPr>
            <w:tcW w:w="800" w:type="dxa"/>
            <w:vAlign w:val="bottom"/>
            <w:shd w:val="clear" w:color="auto" w:fill="1D2758"/>
          </w:tcPr>
          <w:p>
            <w:pPr>
              <w:spacing w:after="0"/>
              <w:rPr>
                <w:sz w:val="20"/>
                <w:szCs w:val="20"/>
                <w:color w:val="auto"/>
              </w:rPr>
            </w:pPr>
          </w:p>
        </w:tc>
        <w:tc>
          <w:tcPr>
            <w:tcW w:w="110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1D2758"/>
          </w:tcPr>
          <w:p>
            <w:pPr>
              <w:spacing w:after="0"/>
              <w:rPr>
                <w:sz w:val="20"/>
                <w:szCs w:val="20"/>
                <w:color w:val="auto"/>
              </w:rPr>
            </w:pPr>
          </w:p>
        </w:tc>
      </w:tr>
      <w:tr>
        <w:trPr>
          <w:trHeight w:val="243"/>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466,677</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50,721</w:t>
            </w:r>
          </w:p>
        </w:tc>
        <w:tc>
          <w:tcPr>
            <w:tcW w:w="8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517,398</w:t>
            </w:r>
          </w:p>
        </w:tc>
        <w:tc>
          <w:tcPr>
            <w:tcW w:w="200" w:type="dxa"/>
            <w:vAlign w:val="bottom"/>
            <w:shd w:val="clear" w:color="auto" w:fill="E7E7E8"/>
          </w:tcPr>
          <w:p>
            <w:pPr>
              <w:spacing w:after="0"/>
              <w:rPr>
                <w:sz w:val="21"/>
                <w:szCs w:val="21"/>
                <w:color w:val="auto"/>
              </w:rPr>
            </w:pPr>
          </w:p>
        </w:tc>
      </w:tr>
      <w:tr>
        <w:trPr>
          <w:trHeight w:val="233"/>
        </w:trPr>
        <w:tc>
          <w:tcPr>
            <w:tcW w:w="5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186,419</w:t>
            </w:r>
          </w:p>
        </w:tc>
        <w:tc>
          <w:tcPr>
            <w:tcW w:w="24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18,396</w:t>
            </w: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204,815</w:t>
            </w:r>
          </w:p>
        </w:tc>
        <w:tc>
          <w:tcPr>
            <w:tcW w:w="200" w:type="dxa"/>
            <w:vAlign w:val="bottom"/>
          </w:tcPr>
          <w:p>
            <w:pPr>
              <w:spacing w:after="0"/>
              <w:rPr>
                <w:sz w:val="20"/>
                <w:szCs w:val="20"/>
                <w:color w:val="auto"/>
              </w:rPr>
            </w:pPr>
          </w:p>
        </w:tc>
      </w:tr>
      <w:tr>
        <w:trPr>
          <w:trHeight w:val="253"/>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156,490</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14,415</w:t>
            </w:r>
          </w:p>
        </w:tc>
        <w:tc>
          <w:tcPr>
            <w:tcW w:w="8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170,905</w:t>
            </w:r>
          </w:p>
        </w:tc>
        <w:tc>
          <w:tcPr>
            <w:tcW w:w="200" w:type="dxa"/>
            <w:vAlign w:val="bottom"/>
            <w:shd w:val="clear" w:color="auto" w:fill="E7E7E8"/>
          </w:tcPr>
          <w:p>
            <w:pPr>
              <w:spacing w:after="0"/>
              <w:rPr>
                <w:sz w:val="21"/>
                <w:szCs w:val="21"/>
                <w:color w:val="auto"/>
              </w:rPr>
            </w:pPr>
          </w:p>
        </w:tc>
      </w:tr>
      <w:tr>
        <w:trPr>
          <w:trHeight w:val="233"/>
        </w:trPr>
        <w:tc>
          <w:tcPr>
            <w:tcW w:w="57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108,162</w:t>
            </w:r>
          </w:p>
        </w:tc>
        <w:tc>
          <w:tcPr>
            <w:tcW w:w="24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4,926</w:t>
            </w: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113,088</w:t>
            </w:r>
          </w:p>
        </w:tc>
        <w:tc>
          <w:tcPr>
            <w:tcW w:w="200" w:type="dxa"/>
            <w:vAlign w:val="bottom"/>
          </w:tcPr>
          <w:p>
            <w:pPr>
              <w:spacing w:after="0"/>
              <w:rPr>
                <w:sz w:val="20"/>
                <w:szCs w:val="20"/>
                <w:color w:val="auto"/>
              </w:rPr>
            </w:pPr>
          </w:p>
        </w:tc>
      </w:tr>
      <w:tr>
        <w:trPr>
          <w:trHeight w:val="253"/>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83,873</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8,936</w:t>
            </w:r>
          </w:p>
        </w:tc>
        <w:tc>
          <w:tcPr>
            <w:tcW w:w="80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92,809</w:t>
            </w:r>
          </w:p>
        </w:tc>
        <w:tc>
          <w:tcPr>
            <w:tcW w:w="200" w:type="dxa"/>
            <w:vAlign w:val="bottom"/>
            <w:shd w:val="clear" w:color="auto" w:fill="E7E7E8"/>
          </w:tcPr>
          <w:p>
            <w:pPr>
              <w:spacing w:after="0"/>
              <w:rPr>
                <w:sz w:val="21"/>
                <w:szCs w:val="21"/>
                <w:color w:val="auto"/>
              </w:rPr>
            </w:pPr>
          </w:p>
        </w:tc>
      </w:tr>
      <w:tr>
        <w:trPr>
          <w:trHeight w:val="233"/>
        </w:trPr>
        <w:tc>
          <w:tcPr>
            <w:tcW w:w="57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74.6 %</w:t>
            </w:r>
          </w:p>
        </w:tc>
        <w:tc>
          <w:tcPr>
            <w:tcW w:w="380" w:type="dxa"/>
            <w:vAlign w:val="bottom"/>
          </w:tcPr>
          <w:p>
            <w:pPr>
              <w:spacing w:after="0"/>
              <w:rPr>
                <w:sz w:val="20"/>
                <w:szCs w:val="20"/>
                <w:color w:val="auto"/>
              </w:rPr>
            </w:pPr>
          </w:p>
        </w:tc>
        <w:tc>
          <w:tcPr>
            <w:tcW w:w="2020" w:type="dxa"/>
            <w:vAlign w:val="bottom"/>
            <w:gridSpan w:val="2"/>
          </w:tcPr>
          <w:p>
            <w:pPr>
              <w:jc w:val="right"/>
              <w:ind w:right="539"/>
              <w:spacing w:after="0"/>
              <w:rPr>
                <w:sz w:val="20"/>
                <w:szCs w:val="20"/>
                <w:color w:val="auto"/>
              </w:rPr>
            </w:pPr>
            <w:r>
              <w:rPr>
                <w:rFonts w:ascii="Arial" w:cs="Arial" w:eastAsia="Arial" w:hAnsi="Arial"/>
                <w:sz w:val="16"/>
                <w:szCs w:val="16"/>
                <w:color w:val="auto"/>
              </w:rPr>
              <w:t>55.7 %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72.2 %</w:t>
            </w:r>
          </w:p>
        </w:tc>
      </w:tr>
      <w:tr>
        <w:trPr>
          <w:trHeight w:val="253"/>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594</w:t>
            </w:r>
          </w:p>
        </w:tc>
        <w:tc>
          <w:tcPr>
            <w:tcW w:w="240" w:type="dxa"/>
            <w:vAlign w:val="bottom"/>
            <w:shd w:val="clear" w:color="auto" w:fill="E7E7E8"/>
          </w:tcPr>
          <w:p>
            <w:pPr>
              <w:spacing w:after="0"/>
              <w:rPr>
                <w:sz w:val="21"/>
                <w:szCs w:val="21"/>
                <w:color w:val="auto"/>
              </w:rPr>
            </w:pP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578</w:t>
            </w:r>
          </w:p>
        </w:tc>
        <w:tc>
          <w:tcPr>
            <w:tcW w:w="8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593</w:t>
            </w:r>
          </w:p>
        </w:tc>
        <w:tc>
          <w:tcPr>
            <w:tcW w:w="200" w:type="dxa"/>
            <w:vAlign w:val="bottom"/>
            <w:shd w:val="clear" w:color="auto" w:fill="E7E7E8"/>
          </w:tcPr>
          <w:p>
            <w:pPr>
              <w:spacing w:after="0"/>
              <w:rPr>
                <w:sz w:val="21"/>
                <w:szCs w:val="21"/>
                <w:color w:val="auto"/>
              </w:rPr>
            </w:pPr>
          </w:p>
        </w:tc>
      </w:tr>
      <w:tr>
        <w:trPr>
          <w:trHeight w:val="233"/>
        </w:trPr>
        <w:tc>
          <w:tcPr>
            <w:tcW w:w="57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16,602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404</w:t>
            </w: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17,006</w:t>
            </w:r>
          </w:p>
        </w:tc>
        <w:tc>
          <w:tcPr>
            <w:tcW w:w="200" w:type="dxa"/>
            <w:vAlign w:val="bottom"/>
          </w:tcPr>
          <w:p>
            <w:pPr>
              <w:spacing w:after="0"/>
              <w:rPr>
                <w:sz w:val="20"/>
                <w:szCs w:val="20"/>
                <w:color w:val="auto"/>
              </w:rPr>
            </w:pPr>
          </w:p>
        </w:tc>
      </w:tr>
      <w:tr>
        <w:trPr>
          <w:trHeight w:val="253"/>
        </w:trPr>
        <w:tc>
          <w:tcPr>
            <w:tcW w:w="57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65.4</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51.6</w:t>
            </w:r>
          </w:p>
        </w:tc>
        <w:tc>
          <w:tcPr>
            <w:tcW w:w="800" w:type="dxa"/>
            <w:vAlign w:val="bottom"/>
            <w:shd w:val="clear" w:color="auto" w:fill="E7E7E8"/>
          </w:tcPr>
          <w:p>
            <w:pPr>
              <w:jc w:val="right"/>
              <w:ind w:right="5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7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9"/>
                <w:szCs w:val="19"/>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Modular - US Segment</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$3.2 million, or 0.7%, to $469.9 million for the six months ended June 30, 2020 from $466.7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The increase was driven by increased modular leasing revenues, which increased $17.2 million, or 5.2%, driven by improved pricing. Average modular space monthly rental rates increased 12.8% for the six months ended June 30, 2020. Improved pricing was driven by a combination of our price optimization tools and processes, as well as by continued growth in our “Ready to Work” solutions and increased VAPS penetration across our customer base. Increases in pricing were partially offset by decreased average modular space units on rent, which decreased 4,884 units, or 5.8%. The decrease in units on rent was due primarily to lower delivery volumes, including reduced demand for new projects since mid-March of 2020 as a result of new project cancellations and delays as a result of the COVID-19 pandemic. The increase in leasing revenue was partially offset by decreases in delivery and installation revenues driven by lower delivery volumes during the second quarter and lower sales revenues. Delivery and installation revenue decreased $3.7 million, or 3.8%, new unit sales revenue decreased $5.6 million, or 23.0% and rental unit sales revenue decreased $4.7 million, or 35.6%.</w:t>
      </w:r>
    </w:p>
    <w:p>
      <w:pPr>
        <w:spacing w:after="0" w:line="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$10.9 million, or 5.8%, to $197.3 million for the six months ended June 30, 2020 from $186.4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The increase in gross profit was driven by higher modular leasing revenues driven by improved pricing and VAPS, as well as by lower modular leasing cost due to lower delivery demand in the second quarter and reduced variable costs. The increase in gross profit from modular leasing revenues was partially offset by a $7.6 million increase in depreciation of rental equipment primarily as a result of capital investments made over the past twelve months in our existing rental equipment for the six months ended June 30, 2020.</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$15.8 million, or 10.1%, to $172.3 million for the six months ended June 30,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$156.5 million for the six months ended June 30, 2019. The increase was driven by higher modular leasing gross profits discussed above, partially offset by increases in SG&amp;A, excluding discrete and other items, of $0.8 million. Increases in SG&amp;A, excluding discrete items, primarily relate to increased employee costs of $1.5 million, increased bad debt expense of $1.0 million, and approximately $2.3 million of costs related to the bi-annual company meeting held in January. These increases were partially offset by decreased travel and entertainment of $1.1 million, decreased professional fees of $1.2 million, decreased occupancy costs of $0.6 million, and decreased computer costs of $0.7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decreased $33.1 million, or 30.6%, to $75.1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six months ended June 30, 2020 from $108.2 million for the six months ended June 30, 2019. Net CAPEX, as defined below in </w:t>
      </w:r>
      <w:r>
        <w:rPr>
          <w:rFonts w:ascii="Arial" w:cs="Arial" w:eastAsia="Arial" w:hAnsi="Arial"/>
          <w:sz w:val="16"/>
          <w:szCs w:val="16"/>
          <w:i w:val="1"/>
          <w:iCs w:val="1"/>
          <w:color w:val="auto"/>
        </w:rPr>
        <w:t>Item 2. Other Non-GAAP</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Data and Reconciliations</w:t>
      </w:r>
      <w:r>
        <w:rPr>
          <w:rFonts w:ascii="Arial" w:cs="Arial" w:eastAsia="Arial" w:hAnsi="Arial"/>
          <w:sz w:val="16"/>
          <w:szCs w:val="16"/>
          <w:color w:val="auto"/>
        </w:rPr>
        <w:t>, also decreased $18.4 million, or 21.0%, to $69.4 million. The decreases for both were driven by decreased spend for</w:t>
      </w:r>
      <w:r>
        <w:rPr>
          <w:rFonts w:ascii="Arial" w:cs="Arial" w:eastAsia="Arial" w:hAnsi="Arial"/>
          <w:sz w:val="16"/>
          <w:szCs w:val="16"/>
          <w:i w:val="1"/>
          <w:iCs w:val="1"/>
          <w:color w:val="auto"/>
        </w:rPr>
        <w:t xml:space="preserve"> </w:t>
      </w:r>
      <w:r>
        <w:rPr>
          <w:rFonts w:ascii="Arial" w:cs="Arial" w:eastAsia="Arial" w:hAnsi="Arial"/>
          <w:sz w:val="16"/>
          <w:szCs w:val="16"/>
          <w:color w:val="auto"/>
        </w:rPr>
        <w:t>refurbishments and VAPS due to less constrained fleet and reduced demand as a result of the COVID-19 pandemic, and cost improvements experienced over the prior year related to better unit selection and scoping on refurbishments.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Modular - Other North America Segment</w:t>
      </w:r>
    </w:p>
    <w:p>
      <w:pPr>
        <w:spacing w:after="0" w:line="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$7.9 million, or 15.6%, to $42.8 million for the six months ended June 30, 2020 from $50.7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Decreases were driven primarily by declines in new unit and rental unit sales, which decreased $1.4 million, or 66.7% and $5.2 million, or 59.1%, respectively, compared to the six months ended June 30, 2019. Modular leasing revenue decreased $1.8 million, or 5.6%, driven by declined volumes in the period. Average modular space units on rent decreased by 383 units, or 4.3%, for the period, and average modular space monthly rental rates increased 0.3%. Modular delivery and installation revenues increased $0.4 million, or 5.3%.</w:t>
      </w:r>
    </w:p>
    <w:p>
      <w:pPr>
        <w:spacing w:after="0" w:line="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$0.5 million, or 2.7%, to $18.9 million for the six months ended June 30, 2020 from $18.4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The effects of unfavorable foreign currency movements decreased gross profit by $0.7 million related to changes in the Canadian dollar and Mexican peso in relation to the US dollar. The increase in gross profit, excluding the effects of foreign currency, of $1.2 million was driven primarily by increased leasing and services margins of $1.5 million as a result of improved delivery and installation margins and increased average monthly rental rates (increase of 4.3% at constant currency) and lower variable costs, and lower depreciation of $1.0 million for the six months ended June 30, 2020, partially offset by reduced new and rental unit sales gross profit of $1.3 million for the six months ended June 30, 2020.</w:t>
      </w:r>
    </w:p>
    <w:p>
      <w:pPr>
        <w:spacing w:after="0" w:line="1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$0.4 million, or 2.8%, to $14.8 million for the six months ended June 30, 2020 from $14.4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June 30, 2019. This increase was driven by decreased SG&amp;A, excluding discrete items, which decreased $1.1 million for the six months ended June 30, 2020 compared to the six months ended June 30, 2019. Decreases were related primarily to decreased occupancy costs of $0.6 million, decreased employee costs of $0.1 million, and decreased travel and entertainment of $0.1 million, among other cost savings. SG&amp;A savings were partially offset by decreased gross profits as discussed above, excluding depreciation and including the effects of unfavorable foreign currency movements.</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decreased $0.3 million, or 6.1%, to $4.6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months ended June 30, 2020 from $4.9 million for the six months ended June 30, 2019. Net CAPEX, as defined below in </w:t>
      </w:r>
      <w:r>
        <w:rPr>
          <w:rFonts w:ascii="Arial" w:cs="Arial" w:eastAsia="Arial" w:hAnsi="Arial"/>
          <w:sz w:val="16"/>
          <w:szCs w:val="16"/>
          <w:i w:val="1"/>
          <w:iCs w:val="1"/>
          <w:color w:val="auto"/>
        </w:rPr>
        <w:t>Item 2. Other Non-GAAP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Data and Reconciliations</w:t>
      </w:r>
      <w:r>
        <w:rPr>
          <w:rFonts w:ascii="Arial" w:cs="Arial" w:eastAsia="Arial" w:hAnsi="Arial"/>
          <w:sz w:val="16"/>
          <w:szCs w:val="16"/>
          <w:color w:val="auto"/>
        </w:rPr>
        <w:t>, increased $0.3 million, or 10.7%, to negative $2.5 million during the six months ended June 30, 2020, as a result of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rental unit sales in the period that exceeded capital expenditures for rental equipment. This compared to net capital expenditures of negative $2.8 million for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Arial" w:cs="Arial" w:eastAsia="Arial" w:hAnsi="Arial"/>
          <w:sz w:val="23"/>
          <w:szCs w:val="23"/>
          <w:color w:val="1D2758"/>
        </w:rPr>
        <w:t>Other Non-GAAP Financial Data and Reconciliations</w:t>
      </w:r>
    </w:p>
    <w:p>
      <w:pPr>
        <w:spacing w:after="0" w:line="5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3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the intrinsic operating results of the Company.</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39" w:lineRule="exact"/>
        <w:rPr>
          <w:sz w:val="20"/>
          <w:szCs w:val="20"/>
          <w:color w:val="auto"/>
        </w:rPr>
      </w:pPr>
    </w:p>
    <w:p>
      <w:pPr>
        <w:ind w:left="1300" w:hanging="320"/>
        <w:spacing w:after="0" w:line="246" w:lineRule="auto"/>
        <w:tabs>
          <w:tab w:leader="none" w:pos="1289"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Currency losses (gains), net: on monetary assets and liabilities denominated in foreign currencies other than the subsidiaries’ functional currency. Substantially all such currency losses (gains) are unrealized and attributable to financings due to and from affiliated companies.</w:t>
      </w:r>
    </w:p>
    <w:p>
      <w:pPr>
        <w:ind w:left="1300" w:hanging="320"/>
        <w:spacing w:after="0" w:line="260" w:lineRule="auto"/>
        <w:tabs>
          <w:tab w:leader="none" w:pos="1289" w:val="left"/>
        </w:tabs>
        <w:numPr>
          <w:ilvl w:val="0"/>
          <w:numId w:val="9"/>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33"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33"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1300" w:right="20" w:hanging="320"/>
        <w:spacing w:after="0" w:line="260" w:lineRule="auto"/>
        <w:tabs>
          <w:tab w:leader="none" w:pos="12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3" w:name="page44"/>
    <w:bookmarkEnd w:id="43"/>
    <w:p>
      <w:pPr>
        <w:ind w:right="20" w:firstLine="648"/>
        <w:spacing w:after="0" w:line="260"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loss to Adjusted EBITDA: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080" w:type="dxa"/>
            <w:vAlign w:val="bottom"/>
            <w:gridSpan w:val="5"/>
            <w:shd w:val="clear" w:color="auto" w:fill="1D2758"/>
          </w:tcPr>
          <w:p>
            <w:pPr>
              <w:ind w:left="500"/>
              <w:spacing w:after="0"/>
              <w:rPr>
                <w:sz w:val="20"/>
                <w:szCs w:val="20"/>
                <w:color w:val="auto"/>
              </w:rPr>
            </w:pPr>
            <w:r>
              <w:rPr>
                <w:rFonts w:ascii="Arial" w:cs="Arial" w:eastAsia="Arial" w:hAnsi="Arial"/>
                <w:sz w:val="16"/>
                <w:szCs w:val="16"/>
                <w:b w:val="1"/>
                <w:bCs w:val="1"/>
                <w:color w:val="FFFFFF"/>
              </w:rPr>
              <w:t>Three Months Ended</w:t>
            </w:r>
          </w:p>
        </w:tc>
        <w:tc>
          <w:tcPr>
            <w:tcW w:w="320" w:type="dxa"/>
            <w:vAlign w:val="bottom"/>
            <w:shd w:val="clear" w:color="auto" w:fill="1D2758"/>
          </w:tcPr>
          <w:p>
            <w:pPr>
              <w:spacing w:after="0"/>
              <w:rPr>
                <w:sz w:val="17"/>
                <w:szCs w:val="17"/>
                <w:color w:val="auto"/>
              </w:rPr>
            </w:pPr>
          </w:p>
        </w:tc>
        <w:tc>
          <w:tcPr>
            <w:tcW w:w="2680" w:type="dxa"/>
            <w:vAlign w:val="bottom"/>
            <w:gridSpan w:val="4"/>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Six Months Ended</w:t>
            </w:r>
          </w:p>
        </w:tc>
      </w:tr>
      <w:tr>
        <w:trPr>
          <w:trHeight w:val="215"/>
        </w:trPr>
        <w:tc>
          <w:tcPr>
            <w:tcW w:w="47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800" w:type="dxa"/>
            <w:vAlign w:val="bottom"/>
            <w:gridSpan w:val="3"/>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June 30,</w:t>
            </w:r>
          </w:p>
        </w:tc>
        <w:tc>
          <w:tcPr>
            <w:tcW w:w="11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64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June 30,</w:t>
            </w:r>
          </w:p>
        </w:tc>
        <w:tc>
          <w:tcPr>
            <w:tcW w:w="1040" w:type="dxa"/>
            <w:vAlign w:val="bottom"/>
            <w:shd w:val="clear" w:color="auto" w:fill="1D2758"/>
          </w:tcPr>
          <w:p>
            <w:pPr>
              <w:spacing w:after="0"/>
              <w:rPr>
                <w:sz w:val="18"/>
                <w:szCs w:val="18"/>
                <w:color w:val="auto"/>
              </w:rPr>
            </w:pPr>
          </w:p>
        </w:tc>
      </w:tr>
      <w:tr>
        <w:trPr>
          <w:trHeight w:val="263"/>
        </w:trPr>
        <w:tc>
          <w:tcPr>
            <w:tcW w:w="4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22"/>
                <w:szCs w:val="22"/>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22"/>
                <w:szCs w:val="22"/>
                <w:color w:val="auto"/>
              </w:rPr>
            </w:pPr>
          </w:p>
        </w:tc>
        <w:tc>
          <w:tcPr>
            <w:tcW w:w="440" w:type="dxa"/>
            <w:vAlign w:val="bottom"/>
            <w:shd w:val="clear" w:color="auto" w:fill="1D2758"/>
          </w:tcPr>
          <w:p>
            <w:pPr>
              <w:spacing w:after="0"/>
              <w:rPr>
                <w:sz w:val="22"/>
                <w:szCs w:val="22"/>
                <w:color w:val="auto"/>
              </w:rPr>
            </w:pPr>
          </w:p>
        </w:tc>
        <w:tc>
          <w:tcPr>
            <w:tcW w:w="118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22"/>
                <w:szCs w:val="22"/>
                <w:color w:val="auto"/>
              </w:rPr>
            </w:pPr>
          </w:p>
        </w:tc>
        <w:tc>
          <w:tcPr>
            <w:tcW w:w="320" w:type="dxa"/>
            <w:vAlign w:val="bottom"/>
            <w:shd w:val="clear" w:color="auto" w:fill="1D2758"/>
          </w:tcPr>
          <w:p>
            <w:pPr>
              <w:spacing w:after="0"/>
              <w:rPr>
                <w:sz w:val="22"/>
                <w:szCs w:val="22"/>
                <w:color w:val="auto"/>
              </w:rPr>
            </w:pPr>
          </w:p>
        </w:tc>
        <w:tc>
          <w:tcPr>
            <w:tcW w:w="11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22"/>
                <w:szCs w:val="22"/>
                <w:color w:val="auto"/>
              </w:rPr>
            </w:pPr>
          </w:p>
        </w:tc>
        <w:tc>
          <w:tcPr>
            <w:tcW w:w="400" w:type="dxa"/>
            <w:vAlign w:val="bottom"/>
            <w:shd w:val="clear" w:color="auto" w:fill="1D2758"/>
          </w:tcPr>
          <w:p>
            <w:pPr>
              <w:spacing w:after="0"/>
              <w:rPr>
                <w:sz w:val="22"/>
                <w:szCs w:val="22"/>
                <w:color w:val="auto"/>
              </w:rPr>
            </w:pPr>
          </w:p>
        </w:tc>
        <w:tc>
          <w:tcPr>
            <w:tcW w:w="104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r>
      <w:tr>
        <w:trPr>
          <w:trHeight w:val="233"/>
        </w:trPr>
        <w:tc>
          <w:tcPr>
            <w:tcW w:w="47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12,833</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(11,438)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9,159</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(21,467)</w:t>
            </w:r>
          </w:p>
        </w:tc>
      </w:tr>
      <w:tr>
        <w:trPr>
          <w:trHeight w:val="253"/>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E7E7E8"/>
          </w:tcPr>
          <w:p>
            <w:pPr>
              <w:spacing w:after="0"/>
              <w:rPr>
                <w:sz w:val="21"/>
                <w:szCs w:val="21"/>
                <w:color w:val="auto"/>
              </w:rPr>
            </w:pPr>
          </w:p>
        </w:tc>
        <w:tc>
          <w:tcPr>
            <w:tcW w:w="136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7,244</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240" w:type="dxa"/>
            <w:vAlign w:val="bottom"/>
            <w:gridSpan w:val="2"/>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1"/>
                <w:szCs w:val="21"/>
                <w:color w:val="auto"/>
              </w:rPr>
            </w:pP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7,244</w:t>
            </w:r>
          </w:p>
        </w:tc>
      </w:tr>
      <w:tr>
        <w:trPr>
          <w:trHeight w:val="233"/>
        </w:trPr>
        <w:tc>
          <w:tcPr>
            <w:tcW w:w="4780" w:type="dxa"/>
            <w:vAlign w:val="bottom"/>
          </w:tcPr>
          <w:p>
            <w:pPr>
              <w:ind w:left="220"/>
              <w:spacing w:after="0"/>
              <w:rPr>
                <w:sz w:val="20"/>
                <w:szCs w:val="20"/>
                <w:color w:val="auto"/>
              </w:rPr>
            </w:pPr>
            <w:r>
              <w:rPr>
                <w:rFonts w:ascii="Arial" w:cs="Arial" w:eastAsia="Arial" w:hAnsi="Arial"/>
                <w:sz w:val="16"/>
                <w:szCs w:val="16"/>
                <w:color w:val="auto"/>
              </w:rPr>
              <w:t>Income tax (benefit) expense</w:t>
            </w:r>
          </w:p>
        </w:tc>
        <w:tc>
          <w:tcPr>
            <w:tcW w:w="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(802)</w:t>
            </w:r>
          </w:p>
        </w:tc>
      </w:tr>
      <w:tr>
        <w:trPr>
          <w:trHeight w:val="253"/>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28,519</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31,668</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56,776</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62,783</w:t>
            </w:r>
          </w:p>
        </w:tc>
      </w:tr>
      <w:tr>
        <w:trPr>
          <w:trHeight w:val="233"/>
        </w:trPr>
        <w:tc>
          <w:tcPr>
            <w:tcW w:w="47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48,377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46,917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97,399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90,804</w:t>
            </w:r>
          </w:p>
        </w:tc>
      </w:tr>
      <w:tr>
        <w:trPr>
          <w:trHeight w:val="253"/>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losses (gains), net</w:t>
            </w: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(670)</w:t>
            </w:r>
          </w:p>
        </w:tc>
      </w:tr>
      <w:tr>
        <w:trPr>
          <w:trHeight w:val="233"/>
        </w:trPr>
        <w:tc>
          <w:tcPr>
            <w:tcW w:w="478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3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2,638</w:t>
            </w:r>
          </w:p>
        </w:tc>
      </w:tr>
      <w:tr>
        <w:trPr>
          <w:trHeight w:val="228"/>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 lease impairment expense and other</w:t>
            </w:r>
          </w:p>
        </w:tc>
        <w:tc>
          <w:tcPr>
            <w:tcW w:w="380" w:type="dxa"/>
            <w:vAlign w:val="bottom"/>
            <w:shd w:val="clear" w:color="auto" w:fill="E7E7E8"/>
          </w:tcPr>
          <w:p>
            <w:pPr>
              <w:spacing w:after="0"/>
              <w:rPr>
                <w:sz w:val="19"/>
                <w:szCs w:val="19"/>
                <w:color w:val="auto"/>
              </w:rPr>
            </w:pPr>
          </w:p>
        </w:tc>
        <w:tc>
          <w:tcPr>
            <w:tcW w:w="124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1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040" w:type="dxa"/>
            <w:vAlign w:val="bottom"/>
            <w:shd w:val="clear" w:color="auto" w:fill="E7E7E8"/>
          </w:tcPr>
          <w:p>
            <w:pPr>
              <w:spacing w:after="0"/>
              <w:rPr>
                <w:sz w:val="19"/>
                <w:szCs w:val="19"/>
                <w:color w:val="auto"/>
              </w:rPr>
            </w:pPr>
          </w:p>
        </w:tc>
      </w:tr>
      <w:tr>
        <w:trPr>
          <w:trHeight w:val="214"/>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related charges</w:t>
            </w:r>
          </w:p>
        </w:tc>
        <w:tc>
          <w:tcPr>
            <w:tcW w:w="38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2,143</w:t>
            </w:r>
          </w:p>
        </w:tc>
        <w:tc>
          <w:tcPr>
            <w:tcW w:w="12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3,152</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3,744</w:t>
            </w:r>
          </w:p>
        </w:tc>
        <w:tc>
          <w:tcPr>
            <w:tcW w:w="12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7,893</w:t>
            </w:r>
          </w:p>
        </w:tc>
      </w:tr>
      <w:tr>
        <w:trPr>
          <w:trHeight w:val="233"/>
        </w:trPr>
        <w:tc>
          <w:tcPr>
            <w:tcW w:w="478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11,050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380" w:type="dxa"/>
            <w:vAlign w:val="bottom"/>
            <w:shd w:val="clear" w:color="auto" w:fill="E7E7E8"/>
          </w:tcPr>
          <w:p>
            <w:pPr>
              <w:spacing w:after="0"/>
              <w:rPr>
                <w:sz w:val="21"/>
                <w:szCs w:val="21"/>
                <w:color w:val="auto"/>
              </w:rPr>
            </w:pPr>
          </w:p>
        </w:tc>
        <w:tc>
          <w:tcPr>
            <w:tcW w:w="12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2,153</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1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8,242</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spacing w:after="0"/>
              <w:rPr>
                <w:sz w:val="21"/>
                <w:szCs w:val="21"/>
                <w:color w:val="auto"/>
              </w:rPr>
            </w:pPr>
          </w:p>
        </w:tc>
        <w:tc>
          <w:tcPr>
            <w:tcW w:w="11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3,839</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18,380</w:t>
            </w:r>
          </w:p>
        </w:tc>
      </w:tr>
      <w:tr>
        <w:trPr>
          <w:trHeight w:val="233"/>
        </w:trPr>
        <w:tc>
          <w:tcPr>
            <w:tcW w:w="478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3,190</w:t>
            </w:r>
          </w:p>
        </w:tc>
      </w:tr>
      <w:tr>
        <w:trPr>
          <w:trHeight w:val="253"/>
        </w:trPr>
        <w:tc>
          <w:tcPr>
            <w:tcW w:w="47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Other income</w:t>
            </w:r>
            <w:r>
              <w:rPr>
                <w:rFonts w:ascii="Arial" w:cs="Arial" w:eastAsia="Arial" w:hAnsi="Arial"/>
                <w:sz w:val="21"/>
                <w:szCs w:val="21"/>
                <w:color w:val="auto"/>
                <w:vertAlign w:val="superscript"/>
              </w:rPr>
              <w:t>(a)</w:t>
            </w:r>
          </w:p>
        </w:tc>
        <w:tc>
          <w:tcPr>
            <w:tcW w:w="38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0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912</w:t>
            </w: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97,520</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87,554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187,062</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170,905</w:t>
            </w:r>
          </w:p>
        </w:tc>
      </w:tr>
      <w:tr>
        <w:trPr>
          <w:trHeight w:val="21"/>
        </w:trPr>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8"/>
        <w:spacing w:after="0" w:line="258" w:lineRule="auto"/>
        <w:tabs>
          <w:tab w:leader="none" w:pos="2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income represents primarily acquisition-related costs such as advisory, legal, valuation and other professional fees in connection with actual or potential business combinations, which are expensed as incurred, but do not reflect ongoing costs of the business.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160" w:type="dxa"/>
            <w:vAlign w:val="bottom"/>
            <w:gridSpan w:val="5"/>
            <w:shd w:val="clear" w:color="auto" w:fill="1D2758"/>
          </w:tcPr>
          <w:p>
            <w:pPr>
              <w:ind w:left="540"/>
              <w:spacing w:after="0"/>
              <w:rPr>
                <w:sz w:val="20"/>
                <w:szCs w:val="20"/>
                <w:color w:val="auto"/>
              </w:rPr>
            </w:pPr>
            <w:r>
              <w:rPr>
                <w:rFonts w:ascii="Arial" w:cs="Arial" w:eastAsia="Arial" w:hAnsi="Arial"/>
                <w:sz w:val="16"/>
                <w:szCs w:val="16"/>
                <w:b w:val="1"/>
                <w:bCs w:val="1"/>
                <w:color w:val="FFFFFF"/>
              </w:rPr>
              <w:t>Three Months Ended</w:t>
            </w:r>
          </w:p>
        </w:tc>
        <w:tc>
          <w:tcPr>
            <w:tcW w:w="340" w:type="dxa"/>
            <w:vAlign w:val="bottom"/>
            <w:shd w:val="clear" w:color="auto" w:fill="1D2758"/>
          </w:tcPr>
          <w:p>
            <w:pPr>
              <w:spacing w:after="0"/>
              <w:rPr>
                <w:sz w:val="17"/>
                <w:szCs w:val="17"/>
                <w:color w:val="auto"/>
              </w:rPr>
            </w:pPr>
          </w:p>
        </w:tc>
        <w:tc>
          <w:tcPr>
            <w:tcW w:w="2740" w:type="dxa"/>
            <w:vAlign w:val="bottom"/>
            <w:gridSpan w:val="4"/>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Six Months Ended</w:t>
            </w:r>
          </w:p>
        </w:tc>
      </w:tr>
      <w:tr>
        <w:trPr>
          <w:trHeight w:val="215"/>
        </w:trPr>
        <w:tc>
          <w:tcPr>
            <w:tcW w:w="46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860" w:type="dxa"/>
            <w:vAlign w:val="bottom"/>
            <w:gridSpan w:val="3"/>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June 30,</w:t>
            </w:r>
          </w:p>
        </w:tc>
        <w:tc>
          <w:tcPr>
            <w:tcW w:w="12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68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June 30,</w:t>
            </w:r>
          </w:p>
        </w:tc>
        <w:tc>
          <w:tcPr>
            <w:tcW w:w="1060" w:type="dxa"/>
            <w:vAlign w:val="bottom"/>
            <w:shd w:val="clear" w:color="auto" w:fill="1D2758"/>
          </w:tcPr>
          <w:p>
            <w:pPr>
              <w:spacing w:after="0"/>
              <w:rPr>
                <w:sz w:val="18"/>
                <w:szCs w:val="18"/>
                <w:color w:val="auto"/>
              </w:rPr>
            </w:pPr>
          </w:p>
        </w:tc>
      </w:tr>
      <w:tr>
        <w:trPr>
          <w:trHeight w:val="263"/>
        </w:trPr>
        <w:tc>
          <w:tcPr>
            <w:tcW w:w="46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22"/>
                <w:szCs w:val="22"/>
                <w:color w:val="auto"/>
              </w:rPr>
            </w:pPr>
          </w:p>
        </w:tc>
        <w:tc>
          <w:tcPr>
            <w:tcW w:w="128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22"/>
                <w:szCs w:val="22"/>
                <w:color w:val="auto"/>
              </w:rPr>
            </w:pPr>
          </w:p>
        </w:tc>
        <w:tc>
          <w:tcPr>
            <w:tcW w:w="460" w:type="dxa"/>
            <w:vAlign w:val="bottom"/>
            <w:shd w:val="clear" w:color="auto" w:fill="1D2758"/>
          </w:tcPr>
          <w:p>
            <w:pPr>
              <w:spacing w:after="0"/>
              <w:rPr>
                <w:sz w:val="22"/>
                <w:szCs w:val="22"/>
                <w:color w:val="auto"/>
              </w:rPr>
            </w:pPr>
          </w:p>
        </w:tc>
        <w:tc>
          <w:tcPr>
            <w:tcW w:w="12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22"/>
                <w:szCs w:val="22"/>
                <w:color w:val="auto"/>
              </w:rPr>
            </w:pPr>
          </w:p>
        </w:tc>
        <w:tc>
          <w:tcPr>
            <w:tcW w:w="340" w:type="dxa"/>
            <w:vAlign w:val="bottom"/>
            <w:shd w:val="clear" w:color="auto" w:fill="1D2758"/>
          </w:tcPr>
          <w:p>
            <w:pPr>
              <w:spacing w:after="0"/>
              <w:rPr>
                <w:sz w:val="22"/>
                <w:szCs w:val="22"/>
                <w:color w:val="auto"/>
              </w:rPr>
            </w:pPr>
          </w:p>
        </w:tc>
        <w:tc>
          <w:tcPr>
            <w:tcW w:w="114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22"/>
                <w:szCs w:val="22"/>
                <w:color w:val="auto"/>
              </w:rPr>
            </w:pPr>
          </w:p>
        </w:tc>
        <w:tc>
          <w:tcPr>
            <w:tcW w:w="420" w:type="dxa"/>
            <w:vAlign w:val="bottom"/>
            <w:shd w:val="clear" w:color="auto" w:fill="1D2758"/>
          </w:tcPr>
          <w:p>
            <w:pPr>
              <w:spacing w:after="0"/>
              <w:rPr>
                <w:sz w:val="22"/>
                <w:szCs w:val="22"/>
                <w:color w:val="auto"/>
              </w:rPr>
            </w:pPr>
          </w:p>
        </w:tc>
        <w:tc>
          <w:tcPr>
            <w:tcW w:w="106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2019</w:t>
            </w:r>
          </w:p>
        </w:tc>
      </w:tr>
      <w:tr>
        <w:trPr>
          <w:trHeight w:val="243"/>
        </w:trPr>
        <w:tc>
          <w:tcPr>
            <w:tcW w:w="4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(A)</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256,862</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263,713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512,683</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517,398</w:t>
            </w:r>
          </w:p>
        </w:tc>
      </w:tr>
      <w:tr>
        <w:trPr>
          <w:trHeight w:val="233"/>
        </w:trPr>
        <w:tc>
          <w:tcPr>
            <w:tcW w:w="4620" w:type="dxa"/>
            <w:vAlign w:val="bottom"/>
          </w:tcPr>
          <w:p>
            <w:pPr>
              <w:ind w:left="20"/>
              <w:spacing w:after="0"/>
              <w:rPr>
                <w:sz w:val="20"/>
                <w:szCs w:val="20"/>
                <w:color w:val="auto"/>
              </w:rPr>
            </w:pPr>
            <w:r>
              <w:rPr>
                <w:rFonts w:ascii="Arial" w:cs="Arial" w:eastAsia="Arial" w:hAnsi="Arial"/>
                <w:sz w:val="16"/>
                <w:szCs w:val="16"/>
                <w:color w:val="auto"/>
              </w:rPr>
              <w:t>Gross profit (B)</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109,964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101,484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216,154</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204,815</w:t>
            </w:r>
          </w:p>
        </w:tc>
      </w:tr>
      <w:tr>
        <w:trPr>
          <w:trHeight w:val="253"/>
        </w:trPr>
        <w:tc>
          <w:tcPr>
            <w:tcW w:w="46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of rental equipment</w:t>
            </w:r>
          </w:p>
        </w:tc>
        <w:tc>
          <w:tcPr>
            <w:tcW w:w="38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45,494</w:t>
            </w:r>
          </w:p>
        </w:tc>
        <w:tc>
          <w:tcPr>
            <w:tcW w:w="120" w:type="dxa"/>
            <w:vAlign w:val="bottom"/>
            <w:shd w:val="clear" w:color="auto" w:fill="E7E7E8"/>
          </w:tcPr>
          <w:p>
            <w:pPr>
              <w:spacing w:after="0"/>
              <w:rPr>
                <w:sz w:val="21"/>
                <w:szCs w:val="21"/>
                <w:color w:val="auto"/>
              </w:rPr>
            </w:pPr>
          </w:p>
        </w:tc>
        <w:tc>
          <w:tcPr>
            <w:tcW w:w="46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43,968</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91,442</w:t>
            </w:r>
          </w:p>
        </w:tc>
        <w:tc>
          <w:tcPr>
            <w:tcW w:w="12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85,071</w:t>
            </w:r>
          </w:p>
        </w:tc>
      </w:tr>
      <w:tr>
        <w:trPr>
          <w:trHeight w:val="227"/>
        </w:trPr>
        <w:tc>
          <w:tcPr>
            <w:tcW w:w="4620" w:type="dxa"/>
            <w:vAlign w:val="bottom"/>
          </w:tcPr>
          <w:p>
            <w:pPr>
              <w:ind w:left="220"/>
              <w:spacing w:after="0"/>
              <w:rPr>
                <w:sz w:val="20"/>
                <w:szCs w:val="20"/>
                <w:color w:val="auto"/>
              </w:rPr>
            </w:pPr>
            <w:r>
              <w:rPr>
                <w:rFonts w:ascii="Arial" w:cs="Arial" w:eastAsia="Arial" w:hAnsi="Arial"/>
                <w:sz w:val="16"/>
                <w:szCs w:val="16"/>
                <w:color w:val="auto"/>
              </w:rPr>
              <w:t>Adjusted Gross Profit (C)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155,458</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145,452</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307,596</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289,886</w:t>
            </w:r>
          </w:p>
        </w:tc>
      </w:tr>
      <w:tr>
        <w:trPr>
          <w:trHeight w:val="266"/>
        </w:trPr>
        <w:tc>
          <w:tcPr>
            <w:tcW w:w="4620" w:type="dxa"/>
            <w:vAlign w:val="bottom"/>
            <w:shd w:val="clear" w:color="auto" w:fill="E7E7E8"/>
          </w:tcPr>
          <w:p>
            <w:pPr>
              <w:spacing w:after="0"/>
              <w:rPr>
                <w:sz w:val="23"/>
                <w:szCs w:val="23"/>
                <w:color w:val="auto"/>
              </w:rPr>
            </w:pPr>
          </w:p>
        </w:tc>
        <w:tc>
          <w:tcPr>
            <w:tcW w:w="380" w:type="dxa"/>
            <w:vAlign w:val="bottom"/>
            <w:shd w:val="clear" w:color="auto" w:fill="E7E7E8"/>
          </w:tcPr>
          <w:p>
            <w:pPr>
              <w:spacing w:after="0"/>
              <w:rPr>
                <w:sz w:val="23"/>
                <w:szCs w:val="23"/>
                <w:color w:val="auto"/>
              </w:rPr>
            </w:pPr>
          </w:p>
        </w:tc>
        <w:tc>
          <w:tcPr>
            <w:tcW w:w="128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60" w:type="dxa"/>
            <w:vAlign w:val="bottom"/>
            <w:shd w:val="clear" w:color="auto" w:fill="E7E7E8"/>
          </w:tcPr>
          <w:p>
            <w:pPr>
              <w:spacing w:after="0"/>
              <w:rPr>
                <w:sz w:val="23"/>
                <w:szCs w:val="23"/>
                <w:color w:val="auto"/>
              </w:rPr>
            </w:pPr>
          </w:p>
        </w:tc>
        <w:tc>
          <w:tcPr>
            <w:tcW w:w="12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114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20" w:type="dxa"/>
            <w:vAlign w:val="bottom"/>
            <w:shd w:val="clear" w:color="auto" w:fill="E7E7E8"/>
          </w:tcPr>
          <w:p>
            <w:pPr>
              <w:spacing w:after="0"/>
              <w:rPr>
                <w:sz w:val="23"/>
                <w:szCs w:val="23"/>
                <w:color w:val="auto"/>
              </w:rPr>
            </w:pPr>
          </w:p>
        </w:tc>
        <w:tc>
          <w:tcPr>
            <w:tcW w:w="1060" w:type="dxa"/>
            <w:vAlign w:val="bottom"/>
            <w:shd w:val="clear" w:color="auto" w:fill="E7E7E8"/>
          </w:tcPr>
          <w:p>
            <w:pPr>
              <w:spacing w:after="0"/>
              <w:rPr>
                <w:sz w:val="23"/>
                <w:szCs w:val="23"/>
                <w:color w:val="auto"/>
              </w:rPr>
            </w:pPr>
          </w:p>
        </w:tc>
      </w:tr>
      <w:tr>
        <w:trPr>
          <w:trHeight w:val="233"/>
        </w:trPr>
        <w:tc>
          <w:tcPr>
            <w:tcW w:w="4620" w:type="dxa"/>
            <w:vAlign w:val="bottom"/>
          </w:tcPr>
          <w:p>
            <w:pPr>
              <w:ind w:left="20"/>
              <w:spacing w:after="0"/>
              <w:rPr>
                <w:sz w:val="20"/>
                <w:szCs w:val="20"/>
                <w:color w:val="auto"/>
              </w:rPr>
            </w:pPr>
            <w:r>
              <w:rPr>
                <w:rFonts w:ascii="Arial" w:cs="Arial" w:eastAsia="Arial" w:hAnsi="Arial"/>
                <w:sz w:val="16"/>
                <w:szCs w:val="16"/>
                <w:color w:val="auto"/>
              </w:rPr>
              <w:t>Gross Profit Percentage (B/A)</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42.8 %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39.6 %</w:t>
            </w:r>
          </w:p>
        </w:tc>
      </w:tr>
      <w:tr>
        <w:trPr>
          <w:trHeight w:val="253"/>
        </w:trPr>
        <w:tc>
          <w:tcPr>
            <w:tcW w:w="462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Gross Profit Percentage (C/A)</w:t>
            </w:r>
          </w:p>
        </w:tc>
        <w:tc>
          <w:tcPr>
            <w:tcW w:w="38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60.5 %</w:t>
            </w:r>
          </w:p>
        </w:tc>
        <w:tc>
          <w:tcPr>
            <w:tcW w:w="120" w:type="dxa"/>
            <w:vAlign w:val="bottom"/>
            <w:shd w:val="clear" w:color="auto" w:fill="E7E7E8"/>
          </w:tcPr>
          <w:p>
            <w:pPr>
              <w:spacing w:after="0"/>
              <w:rPr>
                <w:sz w:val="21"/>
                <w:szCs w:val="21"/>
                <w:color w:val="auto"/>
              </w:rPr>
            </w:pPr>
          </w:p>
        </w:tc>
        <w:tc>
          <w:tcPr>
            <w:tcW w:w="46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55.2 %</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60.0 %</w:t>
            </w:r>
          </w:p>
        </w:tc>
        <w:tc>
          <w:tcPr>
            <w:tcW w:w="12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56.0 %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Net CAPEX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Our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color w:val="auto"/>
        </w:rPr>
        <w:t>The following table provides unaudited reconciliations of Net CAPEX: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080" w:type="dxa"/>
            <w:vAlign w:val="bottom"/>
            <w:gridSpan w:val="5"/>
            <w:shd w:val="clear" w:color="auto" w:fill="1D2758"/>
          </w:tcPr>
          <w:p>
            <w:pPr>
              <w:ind w:left="500"/>
              <w:spacing w:after="0"/>
              <w:rPr>
                <w:sz w:val="20"/>
                <w:szCs w:val="20"/>
                <w:color w:val="auto"/>
              </w:rPr>
            </w:pPr>
            <w:r>
              <w:rPr>
                <w:rFonts w:ascii="Arial" w:cs="Arial" w:eastAsia="Arial" w:hAnsi="Arial"/>
                <w:sz w:val="16"/>
                <w:szCs w:val="16"/>
                <w:b w:val="1"/>
                <w:bCs w:val="1"/>
                <w:color w:val="FFFFFF"/>
              </w:rPr>
              <w:t>Three Months Ended</w:t>
            </w:r>
          </w:p>
        </w:tc>
        <w:tc>
          <w:tcPr>
            <w:tcW w:w="320" w:type="dxa"/>
            <w:vAlign w:val="bottom"/>
            <w:shd w:val="clear" w:color="auto" w:fill="1D2758"/>
          </w:tcPr>
          <w:p>
            <w:pPr>
              <w:spacing w:after="0"/>
              <w:rPr>
                <w:sz w:val="17"/>
                <w:szCs w:val="17"/>
                <w:color w:val="auto"/>
              </w:rPr>
            </w:pPr>
          </w:p>
        </w:tc>
        <w:tc>
          <w:tcPr>
            <w:tcW w:w="2680" w:type="dxa"/>
            <w:vAlign w:val="bottom"/>
            <w:gridSpan w:val="4"/>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Six Months Ended</w:t>
            </w:r>
          </w:p>
        </w:tc>
      </w:tr>
      <w:tr>
        <w:trPr>
          <w:trHeight w:val="215"/>
        </w:trPr>
        <w:tc>
          <w:tcPr>
            <w:tcW w:w="47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800" w:type="dxa"/>
            <w:vAlign w:val="bottom"/>
            <w:gridSpan w:val="3"/>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June 30,</w:t>
            </w:r>
          </w:p>
        </w:tc>
        <w:tc>
          <w:tcPr>
            <w:tcW w:w="11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64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June 30,</w:t>
            </w:r>
          </w:p>
        </w:tc>
        <w:tc>
          <w:tcPr>
            <w:tcW w:w="1040" w:type="dxa"/>
            <w:vAlign w:val="bottom"/>
            <w:shd w:val="clear" w:color="auto" w:fill="1D2758"/>
          </w:tcPr>
          <w:p>
            <w:pPr>
              <w:spacing w:after="0"/>
              <w:rPr>
                <w:sz w:val="18"/>
                <w:szCs w:val="18"/>
                <w:color w:val="auto"/>
              </w:rPr>
            </w:pPr>
          </w:p>
        </w:tc>
      </w:tr>
      <w:tr>
        <w:trPr>
          <w:trHeight w:val="263"/>
        </w:trPr>
        <w:tc>
          <w:tcPr>
            <w:tcW w:w="4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22"/>
                <w:szCs w:val="22"/>
                <w:color w:val="auto"/>
              </w:rPr>
            </w:pPr>
          </w:p>
        </w:tc>
        <w:tc>
          <w:tcPr>
            <w:tcW w:w="124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22"/>
                <w:szCs w:val="22"/>
                <w:color w:val="auto"/>
              </w:rPr>
            </w:pPr>
          </w:p>
        </w:tc>
        <w:tc>
          <w:tcPr>
            <w:tcW w:w="440" w:type="dxa"/>
            <w:vAlign w:val="bottom"/>
            <w:shd w:val="clear" w:color="auto" w:fill="1D2758"/>
          </w:tcPr>
          <w:p>
            <w:pPr>
              <w:spacing w:after="0"/>
              <w:rPr>
                <w:sz w:val="22"/>
                <w:szCs w:val="22"/>
                <w:color w:val="auto"/>
              </w:rPr>
            </w:pPr>
          </w:p>
        </w:tc>
        <w:tc>
          <w:tcPr>
            <w:tcW w:w="118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1D2758"/>
          </w:tcPr>
          <w:p>
            <w:pPr>
              <w:spacing w:after="0"/>
              <w:rPr>
                <w:sz w:val="22"/>
                <w:szCs w:val="22"/>
                <w:color w:val="auto"/>
              </w:rPr>
            </w:pPr>
          </w:p>
        </w:tc>
        <w:tc>
          <w:tcPr>
            <w:tcW w:w="320" w:type="dxa"/>
            <w:vAlign w:val="bottom"/>
            <w:shd w:val="clear" w:color="auto" w:fill="1D2758"/>
          </w:tcPr>
          <w:p>
            <w:pPr>
              <w:spacing w:after="0"/>
              <w:rPr>
                <w:sz w:val="22"/>
                <w:szCs w:val="22"/>
                <w:color w:val="auto"/>
              </w:rPr>
            </w:pPr>
          </w:p>
        </w:tc>
        <w:tc>
          <w:tcPr>
            <w:tcW w:w="112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1D2758"/>
          </w:tcPr>
          <w:p>
            <w:pPr>
              <w:spacing w:after="0"/>
              <w:rPr>
                <w:sz w:val="22"/>
                <w:szCs w:val="22"/>
                <w:color w:val="auto"/>
              </w:rPr>
            </w:pPr>
          </w:p>
        </w:tc>
        <w:tc>
          <w:tcPr>
            <w:tcW w:w="400" w:type="dxa"/>
            <w:vAlign w:val="bottom"/>
            <w:shd w:val="clear" w:color="auto" w:fill="1D2758"/>
          </w:tcPr>
          <w:p>
            <w:pPr>
              <w:spacing w:after="0"/>
              <w:rPr>
                <w:sz w:val="22"/>
                <w:szCs w:val="22"/>
                <w:color w:val="auto"/>
              </w:rPr>
            </w:pPr>
          </w:p>
        </w:tc>
        <w:tc>
          <w:tcPr>
            <w:tcW w:w="104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2019</w:t>
            </w:r>
          </w:p>
        </w:tc>
      </w:tr>
      <w:tr>
        <w:trPr>
          <w:trHeight w:val="243"/>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purchases of rental equipment and refurbishments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(40,034)</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(61,215)</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(79,682)</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(113,088)</w:t>
            </w:r>
          </w:p>
        </w:tc>
      </w:tr>
      <w:tr>
        <w:trPr>
          <w:trHeight w:val="236"/>
        </w:trPr>
        <w:tc>
          <w:tcPr>
            <w:tcW w:w="47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5,316</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11,482</w:t>
            </w:r>
          </w:p>
        </w:tc>
        <w:tc>
          <w:tcPr>
            <w:tcW w:w="100" w:type="dxa"/>
            <w:vAlign w:val="bottom"/>
            <w:tcBorders>
              <w:bottom w:val="single" w:sz="8" w:color="E7E7E8"/>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12,102</w:t>
            </w:r>
          </w:p>
        </w:tc>
        <w:tc>
          <w:tcPr>
            <w:tcW w:w="120" w:type="dxa"/>
            <w:vAlign w:val="bottom"/>
            <w:tcBorders>
              <w:bottom w:val="single" w:sz="8" w:color="E7E7E8"/>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23,083</w:t>
            </w:r>
          </w:p>
        </w:tc>
      </w:tr>
      <w:tr>
        <w:trPr>
          <w:trHeight w:val="243"/>
        </w:trPr>
        <w:tc>
          <w:tcPr>
            <w:tcW w:w="47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CAPEX for Rental Equipment</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(34,718)</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(49,733)</w:t>
            </w:r>
          </w:p>
        </w:tc>
        <w:tc>
          <w:tcPr>
            <w:tcW w:w="100" w:type="dxa"/>
            <w:vAlign w:val="bottom"/>
            <w:shd w:val="clear" w:color="auto" w:fill="E7E7E8"/>
          </w:tcPr>
          <w:p>
            <w:pPr>
              <w:spacing w:after="0"/>
              <w:rPr>
                <w:sz w:val="21"/>
                <w:szCs w:val="21"/>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(67,580)</w:t>
            </w:r>
          </w:p>
        </w:tc>
        <w:tc>
          <w:tcPr>
            <w:tcW w:w="12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(90,005)</w:t>
            </w:r>
          </w:p>
        </w:tc>
      </w:tr>
      <w:tr>
        <w:trPr>
          <w:trHeight w:val="233"/>
        </w:trPr>
        <w:tc>
          <w:tcPr>
            <w:tcW w:w="4780" w:type="dxa"/>
            <w:vAlign w:val="bottom"/>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3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(3,899)</w:t>
            </w:r>
          </w:p>
        </w:tc>
      </w:tr>
      <w:tr>
        <w:trPr>
          <w:trHeight w:val="253"/>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8,804</w:t>
            </w:r>
          </w:p>
        </w:tc>
        <w:tc>
          <w:tcPr>
            <w:tcW w:w="100" w:type="dxa"/>
            <w:vAlign w:val="bottom"/>
            <w:shd w:val="clear" w:color="auto" w:fill="E7E7E8"/>
          </w:tcPr>
          <w:p>
            <w:pPr>
              <w:spacing w:after="0"/>
              <w:rPr>
                <w:sz w:val="21"/>
                <w:szCs w:val="21"/>
                <w:color w:val="auto"/>
              </w:rPr>
            </w:pPr>
          </w:p>
        </w:tc>
        <w:tc>
          <w:tcPr>
            <w:tcW w:w="32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3,843</w:t>
            </w:r>
          </w:p>
        </w:tc>
        <w:tc>
          <w:tcPr>
            <w:tcW w:w="12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8,891</w:t>
            </w:r>
          </w:p>
        </w:tc>
      </w:tr>
      <w:tr>
        <w:trPr>
          <w:trHeight w:val="230"/>
        </w:trPr>
        <w:tc>
          <w:tcPr>
            <w:tcW w:w="4780" w:type="dxa"/>
            <w:vAlign w:val="bottom"/>
          </w:tcPr>
          <w:p>
            <w:pPr>
              <w:ind w:left="220"/>
              <w:spacing w:after="0"/>
              <w:rPr>
                <w:sz w:val="20"/>
                <w:szCs w:val="20"/>
                <w:color w:val="auto"/>
              </w:rPr>
            </w:pPr>
            <w:r>
              <w:rPr>
                <w:rFonts w:ascii="Arial" w:cs="Arial" w:eastAsia="Arial" w:hAnsi="Arial"/>
                <w:sz w:val="16"/>
                <w:szCs w:val="16"/>
                <w:color w:val="auto"/>
              </w:rPr>
              <w:t>Net CAPEX</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(36,383)</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(43,199)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(66,923)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(85,013)</w:t>
            </w:r>
          </w:p>
        </w:tc>
      </w:tr>
      <w:tr>
        <w:trPr>
          <w:trHeight w:val="27"/>
        </w:trPr>
        <w:tc>
          <w:tcPr>
            <w:tcW w:w="4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1D2758"/>
        </w:rPr>
        <w:t>Liquidity and Capital Resources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borrowings under the ABL Facility, and sales of equity and debt securities. We believe that our liquidity sources and operating cash flows are sufficient to address our operating, debt service and capital requirements over the next twelve months.</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been consistently engaged in both the debt and equity capital markets both opportunistically and as necessary to support the growth of our business, desired leverage levels, and other capital allocation priorities. Subsequent to the Merger we believe we have ample liquidity in the New ABL Facility to support both organic operations and other capital allocation priorities as they arise.</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options to improve our liquidity, such as the issuance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 including as a result of any disruption the COVID-19 pandemic may have on the debt and capital markets. From time to time we may also seek to streamline our capital structure and improve our financial position through refinancing or restructuring our existing debt or retiring certain of our securities for cash or other consideration.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Post-Merger Long-Term Debt</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Subsequent to closing of the Merger and related financing transactions, our Company's long term debt is comprised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20" w:type="dxa"/>
            <w:vAlign w:val="bottom"/>
            <w:shd w:val="clear" w:color="auto" w:fill="1D2758"/>
          </w:tcPr>
          <w:p>
            <w:pPr>
              <w:spacing w:after="0"/>
              <w:rPr>
                <w:sz w:val="17"/>
                <w:szCs w:val="17"/>
                <w:color w:val="auto"/>
              </w:rPr>
            </w:pPr>
          </w:p>
        </w:tc>
        <w:tc>
          <w:tcPr>
            <w:tcW w:w="1860" w:type="dxa"/>
            <w:vAlign w:val="bottom"/>
            <w:shd w:val="clear" w:color="auto" w:fill="1D2758"/>
          </w:tcPr>
          <w:p>
            <w:pPr>
              <w:spacing w:after="0"/>
              <w:rPr>
                <w:sz w:val="17"/>
                <w:szCs w:val="17"/>
                <w:color w:val="auto"/>
              </w:rPr>
            </w:pPr>
          </w:p>
        </w:tc>
        <w:tc>
          <w:tcPr>
            <w:tcW w:w="170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0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Principal July 3,</w:t>
            </w:r>
          </w:p>
        </w:tc>
      </w:tr>
      <w:tr>
        <w:trPr>
          <w:trHeight w:val="234"/>
        </w:trPr>
        <w:tc>
          <w:tcPr>
            <w:tcW w:w="6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86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Interest Rate</w:t>
            </w:r>
          </w:p>
        </w:tc>
        <w:tc>
          <w:tcPr>
            <w:tcW w:w="1700" w:type="dxa"/>
            <w:vAlign w:val="bottom"/>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Year of maturity</w:t>
            </w:r>
          </w:p>
        </w:tc>
        <w:tc>
          <w:tcPr>
            <w:tcW w:w="166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2020 (Post Merger)</w:t>
            </w:r>
          </w:p>
        </w:tc>
      </w:tr>
      <w:tr>
        <w:trPr>
          <w:trHeight w:val="243"/>
        </w:trPr>
        <w:tc>
          <w:tcPr>
            <w:tcW w:w="6020" w:type="dxa"/>
            <w:vAlign w:val="bottom"/>
            <w:shd w:val="clear" w:color="auto" w:fill="DDDDDD"/>
          </w:tcPr>
          <w:p>
            <w:pPr>
              <w:ind w:left="20"/>
              <w:spacing w:after="0"/>
              <w:rPr>
                <w:sz w:val="20"/>
                <w:szCs w:val="20"/>
                <w:color w:val="auto"/>
              </w:rPr>
            </w:pPr>
            <w:r>
              <w:rPr>
                <w:rFonts w:ascii="Arial" w:cs="Arial" w:eastAsia="Arial" w:hAnsi="Arial"/>
                <w:sz w:val="16"/>
                <w:szCs w:val="16"/>
                <w:color w:val="auto"/>
              </w:rPr>
              <w:t>2023 Secured Notes</w:t>
            </w:r>
          </w:p>
        </w:tc>
        <w:tc>
          <w:tcPr>
            <w:tcW w:w="18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6.875 %</w:t>
            </w:r>
          </w:p>
        </w:tc>
        <w:tc>
          <w:tcPr>
            <w:tcW w:w="1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490,000</w:t>
            </w:r>
          </w:p>
        </w:tc>
      </w:tr>
      <w:tr>
        <w:trPr>
          <w:trHeight w:val="233"/>
        </w:trPr>
        <w:tc>
          <w:tcPr>
            <w:tcW w:w="6020" w:type="dxa"/>
            <w:vAlign w:val="bottom"/>
          </w:tcPr>
          <w:p>
            <w:pPr>
              <w:ind w:left="20"/>
              <w:spacing w:after="0"/>
              <w:rPr>
                <w:sz w:val="20"/>
                <w:szCs w:val="20"/>
                <w:color w:val="auto"/>
              </w:rPr>
            </w:pPr>
            <w:r>
              <w:rPr>
                <w:rFonts w:ascii="Arial" w:cs="Arial" w:eastAsia="Arial" w:hAnsi="Arial"/>
                <w:sz w:val="16"/>
                <w:szCs w:val="16"/>
                <w:color w:val="auto"/>
              </w:rPr>
              <w:t>2025 Secured Notes</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6.125 %</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2025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650,000</w:t>
            </w:r>
          </w:p>
        </w:tc>
      </w:tr>
      <w:tr>
        <w:trPr>
          <w:trHeight w:val="253"/>
        </w:trPr>
        <w:tc>
          <w:tcPr>
            <w:tcW w:w="6020" w:type="dxa"/>
            <w:vAlign w:val="bottom"/>
            <w:shd w:val="clear" w:color="auto" w:fill="DDDDDD"/>
          </w:tcPr>
          <w:p>
            <w:pPr>
              <w:ind w:left="20"/>
              <w:spacing w:after="0"/>
              <w:rPr>
                <w:sz w:val="20"/>
                <w:szCs w:val="20"/>
                <w:color w:val="auto"/>
              </w:rPr>
            </w:pPr>
            <w:r>
              <w:rPr>
                <w:rFonts w:ascii="Arial" w:cs="Arial" w:eastAsia="Arial" w:hAnsi="Arial"/>
                <w:sz w:val="16"/>
                <w:szCs w:val="16"/>
                <w:color w:val="auto"/>
              </w:rPr>
              <w:t>New ABL Facility</w:t>
            </w:r>
          </w:p>
        </w:tc>
        <w:tc>
          <w:tcPr>
            <w:tcW w:w="18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Varies</w:t>
            </w:r>
          </w:p>
        </w:tc>
        <w:tc>
          <w:tcPr>
            <w:tcW w:w="1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1,467,000</w:t>
            </w:r>
          </w:p>
        </w:tc>
      </w:tr>
      <w:tr>
        <w:trPr>
          <w:trHeight w:val="236"/>
        </w:trPr>
        <w:tc>
          <w:tcPr>
            <w:tcW w:w="602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Finance Leases</w:t>
            </w:r>
          </w:p>
        </w:tc>
        <w:tc>
          <w:tcPr>
            <w:tcW w:w="1860" w:type="dxa"/>
            <w:vAlign w:val="bottom"/>
            <w:tcBorders>
              <w:bottom w:val="single" w:sz="8" w:color="E7E7E8"/>
            </w:tcBorders>
          </w:tcPr>
          <w:p>
            <w:pPr>
              <w:jc w:val="right"/>
              <w:ind w:right="79"/>
              <w:spacing w:after="0"/>
              <w:rPr>
                <w:sz w:val="20"/>
                <w:szCs w:val="20"/>
                <w:color w:val="auto"/>
              </w:rPr>
            </w:pPr>
            <w:r>
              <w:rPr>
                <w:rFonts w:ascii="Arial" w:cs="Arial" w:eastAsia="Arial" w:hAnsi="Arial"/>
                <w:sz w:val="16"/>
                <w:szCs w:val="16"/>
                <w:color w:val="auto"/>
              </w:rPr>
              <w:t>Varies</w:t>
            </w:r>
          </w:p>
        </w:tc>
        <w:tc>
          <w:tcPr>
            <w:tcW w:w="1700" w:type="dxa"/>
            <w:vAlign w:val="bottom"/>
            <w:tcBorders>
              <w:bottom w:val="single" w:sz="8" w:color="E7E7E8"/>
            </w:tcBorders>
          </w:tcPr>
          <w:p>
            <w:pPr>
              <w:jc w:val="right"/>
              <w:ind w:right="39"/>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76,697</w:t>
            </w:r>
          </w:p>
        </w:tc>
      </w:tr>
      <w:tr>
        <w:trPr>
          <w:trHeight w:val="262"/>
        </w:trPr>
        <w:tc>
          <w:tcPr>
            <w:tcW w:w="602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6"/>
                <w:szCs w:val="16"/>
                <w:color w:val="auto"/>
              </w:rPr>
              <w:t>Total long-term debt</w:t>
            </w:r>
          </w:p>
        </w:tc>
        <w:tc>
          <w:tcPr>
            <w:tcW w:w="1860" w:type="dxa"/>
            <w:vAlign w:val="bottom"/>
            <w:tcBorders>
              <w:bottom w:val="single" w:sz="8" w:color="E7E7E8"/>
            </w:tcBorders>
            <w:shd w:val="clear" w:color="auto" w:fill="E7E7E8"/>
          </w:tcPr>
          <w:p>
            <w:pPr>
              <w:spacing w:after="0"/>
              <w:rPr>
                <w:sz w:val="22"/>
                <w:szCs w:val="22"/>
                <w:color w:val="auto"/>
              </w:rPr>
            </w:pPr>
          </w:p>
        </w:tc>
        <w:tc>
          <w:tcPr>
            <w:tcW w:w="17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2,683,697</w:t>
            </w:r>
          </w:p>
        </w:tc>
      </w:tr>
      <w:tr>
        <w:trPr>
          <w:trHeight w:val="20"/>
        </w:trPr>
        <w:tc>
          <w:tcPr>
            <w:tcW w:w="6020" w:type="dxa"/>
            <w:vAlign w:val="bottom"/>
            <w:tcBorders>
              <w:top w:val="single" w:sz="8" w:color="DDDDDD"/>
            </w:tcBorders>
          </w:tcPr>
          <w:p>
            <w:pPr>
              <w:spacing w:after="0" w:line="20" w:lineRule="exact"/>
              <w:rPr>
                <w:sz w:val="1"/>
                <w:szCs w:val="1"/>
                <w:color w:val="auto"/>
              </w:rPr>
            </w:pPr>
          </w:p>
        </w:tc>
        <w:tc>
          <w:tcPr>
            <w:tcW w:w="1860" w:type="dxa"/>
            <w:vAlign w:val="bottom"/>
            <w:tcBorders>
              <w:top w:val="single" w:sz="8" w:color="E7E7E8"/>
            </w:tcBorders>
          </w:tcPr>
          <w:p>
            <w:pPr>
              <w:spacing w:after="0" w:line="20" w:lineRule="exact"/>
              <w:rPr>
                <w:sz w:val="1"/>
                <w:szCs w:val="1"/>
                <w:color w:val="auto"/>
              </w:rPr>
            </w:pPr>
          </w:p>
        </w:tc>
        <w:tc>
          <w:tcPr>
            <w:tcW w:w="17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the Merger, we have over $915 million of available borrowing capacity under the New ABL Facility.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ABL Facility</w:t>
      </w:r>
    </w:p>
    <w:p>
      <w:pPr>
        <w:spacing w:after="0" w:line="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Borrowing availability under the ABL Facility is equal to the lesser of $1.425 billion and the applicable borrowing bases (the "Line Cap"). At June 30, 2020, the Line Cap was $1.416 billion. The borrowing bases are a function of, among other things, the value of the assets in the relevant collateral pool.</w:t>
      </w:r>
    </w:p>
    <w:p>
      <w:pPr>
        <w:spacing w:after="0" w:line="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June 30, 2020, we had $540.5 million of available borrowing capacity under the ABL Facility, including $409.6 million under the US ABL Facility and $130.9 million under the Canadian ABL Facility.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Liquidity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5" w:name="page46"/>
    <w:bookmarkEnd w:id="45"/>
    <w:p>
      <w:pPr>
        <w:jc w:val="both"/>
        <w:ind w:firstLine="648"/>
        <w:spacing w:after="0" w:line="260" w:lineRule="auto"/>
        <w:rPr>
          <w:sz w:val="20"/>
          <w:szCs w:val="20"/>
          <w:color w:val="auto"/>
        </w:rPr>
      </w:pPr>
      <w:r>
        <w:rPr>
          <w:rFonts w:ascii="Arial" w:cs="Arial" w:eastAsia="Arial" w:hAnsi="Arial"/>
          <w:sz w:val="16"/>
          <w:szCs w:val="16"/>
          <w:color w:val="auto"/>
        </w:rPr>
        <w:t>Although there is uncertainty related to the anticipated impact of the COVID-19 outbreak on the Company’s future results, we believe our predictable lease revenue streams underpinned by long lease durations combined with recent steps we have taken to reduce costs and capital spending will</w:t>
      </w:r>
    </w:p>
    <w:p>
      <w:pPr>
        <w:spacing w:after="0" w:line="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result in a near-term increase in internally generated free cash flow. Further, the approximately $915 million of availability under our New ABL Facility subsequent to the Merger and related financing transactions, provides additional liquidity if internally generated free cash flow becomes insufficient to meet our operating needs. We continue to manage all aspects of our business including, but not limited to, monitoring the financial health of our customers, suppliers and other third-party relationships, actively managing our cost structure, reducing or delaying capital spending, and developing new opportunities for growth. We believe that the actions we have taken in recent years to increase our scale and competitive position and strengthen our balance sheet have positioned us well to manage through this crisis as it continues to unfold.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Six Months Ended June 30, 2020 and 2019</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8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272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Six Months Ended</w:t>
            </w:r>
          </w:p>
        </w:tc>
        <w:tc>
          <w:tcPr>
            <w:tcW w:w="0" w:type="dxa"/>
            <w:vAlign w:val="bottom"/>
          </w:tcPr>
          <w:p>
            <w:pPr>
              <w:spacing w:after="0"/>
              <w:rPr>
                <w:sz w:val="1"/>
                <w:szCs w:val="1"/>
                <w:color w:val="auto"/>
              </w:rPr>
            </w:pPr>
          </w:p>
        </w:tc>
      </w:tr>
      <w:tr>
        <w:trPr>
          <w:trHeight w:val="215"/>
        </w:trPr>
        <w:tc>
          <w:tcPr>
            <w:tcW w:w="818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66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June 30,</w:t>
            </w:r>
          </w:p>
        </w:tc>
        <w:tc>
          <w:tcPr>
            <w:tcW w:w="10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9"/>
                <w:szCs w:val="19"/>
                <w:color w:val="auto"/>
              </w:rPr>
            </w:pPr>
          </w:p>
        </w:tc>
        <w:tc>
          <w:tcPr>
            <w:tcW w:w="114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9"/>
                <w:szCs w:val="19"/>
                <w:color w:val="auto"/>
              </w:rPr>
            </w:pPr>
          </w:p>
        </w:tc>
        <w:tc>
          <w:tcPr>
            <w:tcW w:w="420" w:type="dxa"/>
            <w:vAlign w:val="bottom"/>
            <w:shd w:val="clear" w:color="auto" w:fill="1D2758"/>
          </w:tcPr>
          <w:p>
            <w:pPr>
              <w:spacing w:after="0"/>
              <w:rPr>
                <w:sz w:val="19"/>
                <w:szCs w:val="19"/>
                <w:color w:val="auto"/>
              </w:rPr>
            </w:pPr>
          </w:p>
        </w:tc>
        <w:tc>
          <w:tcPr>
            <w:tcW w:w="1060" w:type="dxa"/>
            <w:vAlign w:val="bottom"/>
            <w:vMerge w:val="restart"/>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100"/>
        </w:trPr>
        <w:tc>
          <w:tcPr>
            <w:tcW w:w="8180" w:type="dxa"/>
            <w:vAlign w:val="bottom"/>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114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420" w:type="dxa"/>
            <w:vAlign w:val="bottom"/>
            <w:shd w:val="clear" w:color="auto" w:fill="1D2758"/>
          </w:tcPr>
          <w:p>
            <w:pPr>
              <w:spacing w:after="0"/>
              <w:rPr>
                <w:sz w:val="8"/>
                <w:szCs w:val="8"/>
                <w:color w:val="auto"/>
              </w:rPr>
            </w:pPr>
          </w:p>
        </w:tc>
        <w:tc>
          <w:tcPr>
            <w:tcW w:w="106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113,727</w:t>
            </w:r>
          </w:p>
        </w:tc>
        <w:tc>
          <w:tcPr>
            <w:tcW w:w="100" w:type="dxa"/>
            <w:vAlign w:val="bottom"/>
            <w:shd w:val="clear" w:color="auto" w:fill="E7E7E8"/>
          </w:tcPr>
          <w:p>
            <w:pPr>
              <w:spacing w:after="0"/>
              <w:rPr>
                <w:sz w:val="19"/>
                <w:szCs w:val="19"/>
                <w:color w:val="auto"/>
              </w:rPr>
            </w:pP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60,054</w:t>
            </w:r>
          </w:p>
        </w:tc>
        <w:tc>
          <w:tcPr>
            <w:tcW w:w="0" w:type="dxa"/>
            <w:vAlign w:val="bottom"/>
          </w:tcPr>
          <w:p>
            <w:pPr>
              <w:spacing w:after="0"/>
              <w:rPr>
                <w:sz w:val="1"/>
                <w:szCs w:val="1"/>
                <w:color w:val="auto"/>
              </w:rPr>
            </w:pPr>
          </w:p>
        </w:tc>
      </w:tr>
      <w:tr>
        <w:trPr>
          <w:trHeight w:val="87"/>
        </w:trPr>
        <w:tc>
          <w:tcPr>
            <w:tcW w:w="818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20" w:type="dxa"/>
            <w:vAlign w:val="bottom"/>
            <w:shd w:val="clear" w:color="auto" w:fill="E7E7E8"/>
          </w:tcPr>
          <w:p>
            <w:pPr>
              <w:spacing w:after="0"/>
              <w:rPr>
                <w:sz w:val="7"/>
                <w:szCs w:val="7"/>
                <w:color w:val="auto"/>
              </w:rPr>
            </w:pPr>
          </w:p>
        </w:tc>
        <w:tc>
          <w:tcPr>
            <w:tcW w:w="106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(66,923)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(85,013)</w:t>
            </w:r>
          </w:p>
        </w:tc>
        <w:tc>
          <w:tcPr>
            <w:tcW w:w="0" w:type="dxa"/>
            <w:vAlign w:val="bottom"/>
          </w:tcPr>
          <w:p>
            <w:pPr>
              <w:spacing w:after="0"/>
              <w:rPr>
                <w:sz w:val="1"/>
                <w:szCs w:val="1"/>
                <w:color w:val="auto"/>
              </w:rPr>
            </w:pPr>
          </w:p>
        </w:tc>
      </w:tr>
      <w:tr>
        <w:trPr>
          <w:trHeight w:val="87"/>
        </w:trPr>
        <w:tc>
          <w:tcPr>
            <w:tcW w:w="8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340" w:type="dxa"/>
            <w:vAlign w:val="bottom"/>
            <w:shd w:val="clear" w:color="auto" w:fill="E7E7E8"/>
          </w:tcPr>
          <w:p>
            <w:pPr>
              <w:spacing w:after="0"/>
              <w:rPr>
                <w:sz w:val="19"/>
                <w:szCs w:val="19"/>
                <w:color w:val="auto"/>
              </w:rPr>
            </w:pP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614,693</w:t>
            </w:r>
          </w:p>
        </w:tc>
        <w:tc>
          <w:tcPr>
            <w:tcW w:w="10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21,351</w:t>
            </w:r>
          </w:p>
        </w:tc>
        <w:tc>
          <w:tcPr>
            <w:tcW w:w="0" w:type="dxa"/>
            <w:vAlign w:val="bottom"/>
          </w:tcPr>
          <w:p>
            <w:pPr>
              <w:spacing w:after="0"/>
              <w:rPr>
                <w:sz w:val="1"/>
                <w:szCs w:val="1"/>
                <w:color w:val="auto"/>
              </w:rPr>
            </w:pPr>
          </w:p>
        </w:tc>
      </w:tr>
      <w:tr>
        <w:trPr>
          <w:trHeight w:val="87"/>
        </w:trPr>
        <w:tc>
          <w:tcPr>
            <w:tcW w:w="8180" w:type="dxa"/>
            <w:vAlign w:val="bottom"/>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114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20" w:type="dxa"/>
            <w:vAlign w:val="bottom"/>
            <w:shd w:val="clear" w:color="auto" w:fill="E7E7E8"/>
          </w:tcPr>
          <w:p>
            <w:pPr>
              <w:spacing w:after="0"/>
              <w:rPr>
                <w:sz w:val="7"/>
                <w:szCs w:val="7"/>
                <w:color w:val="auto"/>
              </w:rPr>
            </w:pPr>
          </w:p>
        </w:tc>
        <w:tc>
          <w:tcPr>
            <w:tcW w:w="106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87"/>
        </w:trPr>
        <w:tc>
          <w:tcPr>
            <w:tcW w:w="8180" w:type="dxa"/>
            <w:vAlign w:val="bottom"/>
            <w:tcBorders>
              <w:bottom w:val="single" w:sz="8" w:color="E7E7E8"/>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E7E7E8"/>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661,103</w:t>
            </w:r>
          </w:p>
        </w:tc>
        <w:tc>
          <w:tcPr>
            <w:tcW w:w="100" w:type="dxa"/>
            <w:vAlign w:val="bottom"/>
            <w:tcBorders>
              <w:bottom w:val="single" w:sz="8" w:color="E7E7E8"/>
            </w:tcBorders>
            <w:shd w:val="clear" w:color="auto" w:fill="E7E7E8"/>
          </w:tcPr>
          <w:p>
            <w:pPr>
              <w:spacing w:after="0"/>
              <w:rPr>
                <w:sz w:val="24"/>
                <w:szCs w:val="24"/>
                <w:color w:val="auto"/>
              </w:rPr>
            </w:pPr>
          </w:p>
        </w:tc>
        <w:tc>
          <w:tcPr>
            <w:tcW w:w="420" w:type="dxa"/>
            <w:vAlign w:val="bottom"/>
            <w:tcBorders>
              <w:bottom w:val="single" w:sz="8" w:color="E7E7E8"/>
            </w:tcBorders>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(3,468)</w:t>
            </w:r>
          </w:p>
        </w:tc>
        <w:tc>
          <w:tcPr>
            <w:tcW w:w="0" w:type="dxa"/>
            <w:vAlign w:val="bottom"/>
          </w:tcPr>
          <w:p>
            <w:pPr>
              <w:spacing w:after="0"/>
              <w:rPr>
                <w:sz w:val="1"/>
                <w:szCs w:val="1"/>
                <w:color w:val="auto"/>
              </w:rPr>
            </w:pPr>
          </w:p>
        </w:tc>
      </w:tr>
      <w:tr>
        <w:trPr>
          <w:trHeight w:val="20"/>
        </w:trPr>
        <w:tc>
          <w:tcPr>
            <w:tcW w:w="818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Operating Activities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provided by operating activities for the six months ended June 30, 2020 was $113.7 million as compared to $60.1 million for the six months ended June 30, 2019, an increase of $53.6 million. The increase was due to an increase of $33.9 million of net income, adjusted for non-cash items, in addition to an increase of $19.8 million in the net movements of the operating assets and liabilities. The increase related to the net movements of operating assets and liabilities was attributable to an increase in accounts receivable in the first three months of 2020, partially offset by an increase in accounts payable and other accrued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Investing Activities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six months ended June 30, 2020 was $66.9 million as compared to $85.0 million for the six months ended June 30, 2019, a decrease of $18.1 million. The decrease in cash used in investing activities was driven by a $33.4 million decrease in cash used for purchase of rental equipment and refurbishments and a $5.1 million increase in proceeds from sale of property, plant and equipment, offset by an $11.0 million decrease in proceeds from the sale of rental equipment. Cash used for purchase of rental equipment and refurbishments decreased in the six months ended June 30, 2020 compared to 2019 as fleet was less constrained due to reduced utilization and reduced demand for new project deliveries as a result of the COVID-19 pandemic and the current period impact of prior year spend. Proceeds from sale of rental equipment decreased compared to the prior year due to lower sales demand.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Financing Activities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provided by financing activities for the six months ended June 30, 2020 was $614.7 million as compared to $21.4 million of cash provided by financing activities for the six months ended June 30, 2019, an increase of $593.3 million. The increase is primarily due to a decrease of $338.0 million in repayment of borrowings, a decrease in receipts from borrowings of $243.1 million, partially offset by an increase of $4.6 million in receipts from issuance of common stock.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meet future debt service obligations and working capital requirements. The following table provides a reconciliation of net cash provided by operating activities to Free Cash Flow.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8"/>
        </w:trPr>
        <w:tc>
          <w:tcPr>
            <w:tcW w:w="82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270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Six Months Ended</w:t>
            </w:r>
          </w:p>
        </w:tc>
      </w:tr>
      <w:tr>
        <w:trPr>
          <w:trHeight w:val="215"/>
        </w:trPr>
        <w:tc>
          <w:tcPr>
            <w:tcW w:w="82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64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June 30,</w:t>
            </w:r>
          </w:p>
        </w:tc>
        <w:tc>
          <w:tcPr>
            <w:tcW w:w="1060" w:type="dxa"/>
            <w:vAlign w:val="bottom"/>
            <w:shd w:val="clear" w:color="auto" w:fill="1D2758"/>
          </w:tcPr>
          <w:p>
            <w:pPr>
              <w:spacing w:after="0"/>
              <w:rPr>
                <w:sz w:val="18"/>
                <w:szCs w:val="18"/>
                <w:color w:val="auto"/>
              </w:rPr>
            </w:pPr>
          </w:p>
        </w:tc>
      </w:tr>
      <w:tr>
        <w:trPr>
          <w:trHeight w:val="262"/>
        </w:trPr>
        <w:tc>
          <w:tcPr>
            <w:tcW w:w="8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22"/>
                <w:szCs w:val="22"/>
                <w:color w:val="auto"/>
              </w:rPr>
            </w:pPr>
          </w:p>
        </w:tc>
        <w:tc>
          <w:tcPr>
            <w:tcW w:w="114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22"/>
                <w:szCs w:val="22"/>
                <w:color w:val="auto"/>
              </w:rPr>
            </w:pPr>
          </w:p>
        </w:tc>
        <w:tc>
          <w:tcPr>
            <w:tcW w:w="420" w:type="dxa"/>
            <w:vAlign w:val="bottom"/>
            <w:shd w:val="clear" w:color="auto" w:fill="1D2758"/>
          </w:tcPr>
          <w:p>
            <w:pPr>
              <w:spacing w:after="0"/>
              <w:rPr>
                <w:sz w:val="22"/>
                <w:szCs w:val="22"/>
                <w:color w:val="auto"/>
              </w:rPr>
            </w:pPr>
          </w:p>
        </w:tc>
        <w:tc>
          <w:tcPr>
            <w:tcW w:w="106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2019</w:t>
            </w:r>
          </w:p>
        </w:tc>
      </w:tr>
      <w:tr>
        <w:trPr>
          <w:trHeight w:val="243"/>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113,727</w:t>
            </w:r>
          </w:p>
        </w:tc>
        <w:tc>
          <w:tcPr>
            <w:tcW w:w="80" w:type="dxa"/>
            <w:vAlign w:val="bottom"/>
            <w:shd w:val="clear" w:color="auto" w:fill="E7E7E8"/>
          </w:tcPr>
          <w:p>
            <w:pPr>
              <w:spacing w:after="0"/>
              <w:rPr>
                <w:sz w:val="21"/>
                <w:szCs w:val="21"/>
                <w:color w:val="auto"/>
              </w:rPr>
            </w:pP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60,054</w:t>
            </w: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(79,682)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(113,088)</w:t>
            </w:r>
          </w:p>
        </w:tc>
      </w:tr>
      <w:tr>
        <w:trPr>
          <w:trHeight w:val="253"/>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40" w:type="dxa"/>
            <w:vAlign w:val="bottom"/>
            <w:shd w:val="clear" w:color="auto" w:fill="E7E7E8"/>
          </w:tcPr>
          <w:p>
            <w:pPr>
              <w:spacing w:after="0"/>
              <w:rPr>
                <w:sz w:val="21"/>
                <w:szCs w:val="21"/>
                <w:color w:val="auto"/>
              </w:rPr>
            </w:pPr>
          </w:p>
        </w:tc>
        <w:tc>
          <w:tcPr>
            <w:tcW w:w="11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12,102</w:t>
            </w:r>
          </w:p>
        </w:tc>
        <w:tc>
          <w:tcPr>
            <w:tcW w:w="80" w:type="dxa"/>
            <w:vAlign w:val="bottom"/>
            <w:shd w:val="clear" w:color="auto" w:fill="E7E7E8"/>
          </w:tcPr>
          <w:p>
            <w:pPr>
              <w:spacing w:after="0"/>
              <w:rPr>
                <w:sz w:val="21"/>
                <w:szCs w:val="21"/>
                <w:color w:val="auto"/>
              </w:rPr>
            </w:pPr>
          </w:p>
        </w:tc>
        <w:tc>
          <w:tcPr>
            <w:tcW w:w="420" w:type="dxa"/>
            <w:vAlign w:val="bottom"/>
            <w:shd w:val="clear" w:color="auto" w:fill="E7E7E8"/>
          </w:tcPr>
          <w:p>
            <w:pPr>
              <w:spacing w:after="0"/>
              <w:rPr>
                <w:sz w:val="21"/>
                <w:szCs w:val="21"/>
                <w:color w:val="auto"/>
              </w:rPr>
            </w:pP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23,083</w:t>
            </w: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(3,899)</w:t>
            </w:r>
          </w:p>
        </w:tc>
      </w:tr>
      <w:tr>
        <w:trPr>
          <w:trHeight w:val="253"/>
        </w:trPr>
        <w:tc>
          <w:tcPr>
            <w:tcW w:w="82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3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3,843</w:t>
            </w:r>
          </w:p>
        </w:tc>
        <w:tc>
          <w:tcPr>
            <w:tcW w:w="80" w:type="dxa"/>
            <w:vAlign w:val="bottom"/>
            <w:shd w:val="clear" w:color="auto" w:fill="E7E7E8"/>
          </w:tcPr>
          <w:p>
            <w:pPr>
              <w:spacing w:after="0"/>
              <w:rPr>
                <w:sz w:val="21"/>
                <w:szCs w:val="21"/>
                <w:color w:val="auto"/>
              </w:rPr>
            </w:pPr>
          </w:p>
        </w:tc>
        <w:tc>
          <w:tcPr>
            <w:tcW w:w="420" w:type="dxa"/>
            <w:vAlign w:val="bottom"/>
            <w:tcBorders>
              <w:bottom w:val="single" w:sz="8" w:color="auto"/>
            </w:tcBorders>
            <w:shd w:val="clear" w:color="auto" w:fill="E7E7E8"/>
          </w:tcPr>
          <w:p>
            <w:pPr>
              <w:spacing w:after="0"/>
              <w:rPr>
                <w:sz w:val="21"/>
                <w:szCs w:val="21"/>
                <w:color w:val="auto"/>
              </w:rPr>
            </w:pPr>
          </w:p>
        </w:tc>
        <w:tc>
          <w:tcPr>
            <w:tcW w:w="106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8,891</w:t>
            </w: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46,804</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(24,959)</w:t>
            </w: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Free Cash Flow for the six months ended June 30, 2020 was an inflow of $46.8 million as compared to an outflow of $25.0 million for the six months ended June 30, 2019, an increase in Free Cash Flow of $71.8 million. Free Cash Flow increased year over year principally as a result of reinvesting the $53.6 million increase in cash provided by operating activities and $33.4 million decrease in cash used in the purchase of rental equipment and refurbishments. The $75.4 million in cash provided by operating activities for the three months ended June 30, 2020 was reinvested into the business to support the purchase of rental equipment, including VAPS, and refurbishments, partially offset by the proceeds from the sale of rental equipment and property, plant and equipment.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3"/>
          <w:szCs w:val="23"/>
          <w:color w:val="1D2758"/>
        </w:rPr>
        <w:t>Contractual Obligations</w:t>
      </w:r>
    </w:p>
    <w:p>
      <w:pPr>
        <w:spacing w:after="0" w:line="44"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Other than changes which occur in the normal course of business and those associated with the Merger, there were no significant changes to the contractual obligations reported in our 2019 Form 10-K for the six months ended June 30, 2020.</w:t>
      </w: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color w:val="1D2758"/>
        </w:rPr>
        <w:t>Off-Balance Sheet Arrangements</w:t>
      </w:r>
    </w:p>
    <w:p>
      <w:pPr>
        <w:spacing w:after="0" w:line="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no off-balance sheet arrangements other than the completion of the Merger that have or are reasonably likely to have a current or future material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47" w:name="page48"/>
    <w:bookmarkEnd w:id="47"/>
    <w:p>
      <w:pPr>
        <w:spacing w:after="0"/>
        <w:rPr>
          <w:sz w:val="20"/>
          <w:szCs w:val="20"/>
          <w:color w:val="auto"/>
        </w:rPr>
      </w:pPr>
      <w:r>
        <w:rPr>
          <w:rFonts w:ascii="Arial" w:cs="Arial" w:eastAsia="Arial" w:hAnsi="Arial"/>
          <w:sz w:val="23"/>
          <w:szCs w:val="23"/>
          <w:color w:val="1D2758"/>
        </w:rPr>
        <w:t>Critical Accounting Policies and Estimates</w:t>
      </w:r>
    </w:p>
    <w:p>
      <w:pPr>
        <w:spacing w:after="0" w:line="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fiscal year ended December 31, 2019.</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significant changes to our critical accounting policies during the six months ended June 30, 2020.</w:t>
      </w: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color w:val="1D2758"/>
        </w:rPr>
        <w:t>Recently Issued Accounting Standards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Refer to Part I, Item 1, Note 1 of the notes to our financial statements included in this Quarterly Report on Form 10-Q for our assessment of recently issued and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1D2758"/>
        </w:rPr>
        <w:t>Cautionary Note Regarding Forward-Looking Statements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it can give no assurance that any such forward-looking statement will materialize.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5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9"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the Company operates and any changes therein, including financial market conditions, fluctuations in commodity prices, interest rates and foreign currency exchange rates, levels of end market demand in construction, the impact of weather conditions and natural disasters, the impact of the global pandemic related to COVID-19 and the financial condition of the Company’s customers and suppliers;</w:t>
      </w:r>
    </w:p>
    <w:p>
      <w:pPr>
        <w:spacing w:after="0" w:line="40"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manage growth and execute our business plan;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rising costs adversely affecting our profitability (including cost increases resulting from tariffs);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 including Mobile Mini, and achieve desired synergies;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realize anticipated synergies from the Merger with Mobile Mini;</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retain key personnel;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other risks and uncertainties described in the periodic reports we file with the SEC from time to time (including our Annual Report on Form 10-K for the year ending December 31, 2019), which are available through the SEC’s EDGAR system at www.sec.gov and on our website.</w:t>
      </w:r>
    </w:p>
    <w:p>
      <w:pPr>
        <w:spacing w:after="0" w:line="33"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8" w:name="page49"/>
    <w:bookmarkEnd w:id="48"/>
    <w:p>
      <w:pPr>
        <w:ind w:left="1960" w:right="960" w:hanging="1943"/>
        <w:spacing w:after="0" w:line="269" w:lineRule="auto"/>
        <w:rPr>
          <w:sz w:val="20"/>
          <w:szCs w:val="20"/>
          <w:color w:val="auto"/>
        </w:rPr>
      </w:pPr>
      <w:r>
        <w:rPr>
          <w:rFonts w:ascii="Arial" w:cs="Arial" w:eastAsia="Arial" w:hAnsi="Arial"/>
          <w:sz w:val="40"/>
          <w:szCs w:val="40"/>
          <w:b w:val="1"/>
          <w:bCs w:val="1"/>
          <w:color w:val="auto"/>
        </w:rPr>
        <w:t>ITEM 3. Quantitative and Qualitative Disclosures about Market Risk</w:t>
      </w:r>
    </w:p>
    <w:p>
      <w:pPr>
        <w:jc w:val="both"/>
        <w:ind w:right="20" w:firstLine="648"/>
        <w:spacing w:after="0" w:line="260"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$865.0 million in outstanding principal under the ABL Facility at June 30, 2020.</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$400.0 million in aggregate notional amount of variable-rate debt under our ABL Facility into fixed-rate debt. The swap agreement provides for WillScot to pay a fixed rate of 3.06% per annum on the outstanding debt in exchange for receiving a variable interest rate based on 1-month LIBOR. The effect is a synthetically fixed rate of 5.56% on the $400.0 million notional amount, when including the current applicable margin.</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our quarter to date interest expense by approximately $1.0 million based on current outstanding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entered into any hedging arrangements with respect to foreign currency risk.</w:t>
      </w:r>
    </w:p>
    <w:p>
      <w:pPr>
        <w:spacing w:after="0" w:line="27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Controls and Procedures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June 30, 2020. Based upon that evaluation, our Chief Executive Officer and Chief Financial Officer concluded that our disclosure controls and procedures were effective as of June 30,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our quarter ended June 30, 2020, that materially affected or are reasonably likely to materially affect, our internal control over financial reporting.</w:t>
      </w:r>
    </w:p>
    <w:p>
      <w:pPr>
        <w:spacing w:after="0" w:line="298" w:lineRule="exact"/>
        <w:rPr>
          <w:sz w:val="20"/>
          <w:szCs w:val="20"/>
          <w:color w:val="auto"/>
        </w:rPr>
      </w:pPr>
    </w:p>
    <w:p>
      <w:pPr>
        <w:ind w:left="4940"/>
        <w:spacing w:after="0"/>
        <w:rPr>
          <w:sz w:val="20"/>
          <w:szCs w:val="20"/>
          <w:color w:val="auto"/>
        </w:rPr>
      </w:pPr>
      <w:r>
        <w:rPr>
          <w:rFonts w:ascii="Arial" w:cs="Arial" w:eastAsia="Arial" w:hAnsi="Arial"/>
          <w:sz w:val="40"/>
          <w:szCs w:val="40"/>
          <w:b w:val="1"/>
          <w:bCs w:val="1"/>
          <w:color w:val="1D2758"/>
        </w:rPr>
        <w:t>PART II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Legal Proceedings</w:t>
      </w:r>
    </w:p>
    <w:p>
      <w:pPr>
        <w:spacing w:after="0" w:line="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June 30, 2020, there were no material pending legal proceedings in which we or any of our subsidiaries are a party or to which any of our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9" w:name="page50"/>
    <w:bookmarkEnd w:id="49"/>
    <w:p>
      <w:pPr>
        <w:spacing w:after="0"/>
        <w:rPr>
          <w:sz w:val="20"/>
          <w:szCs w:val="20"/>
          <w:color w:val="auto"/>
        </w:rPr>
      </w:pPr>
      <w:r>
        <w:rPr>
          <w:rFonts w:ascii="Arial" w:cs="Arial" w:eastAsia="Arial" w:hAnsi="Arial"/>
          <w:sz w:val="40"/>
          <w:szCs w:val="40"/>
          <w:b w:val="1"/>
          <w:bCs w:val="1"/>
          <w:color w:val="auto"/>
        </w:rPr>
        <w:t>ITEM 1A. Risk Factors</w:t>
      </w:r>
    </w:p>
    <w:p>
      <w:pPr>
        <w:spacing w:after="0" w:line="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Annual Report on Form 10-K for the year ended December 31, 2019, and Item 1A of our Quarterly Report on Form 10-Q for the quarterly period ended March 31, 2020, which have not materially changed, except as noted below, including certain risks applicable to the Company, after giving effect to the completion of the Merger on July 1, 2020, as discussed in Note 2 – Acquisitions and Related Financing Transactions.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Fluctuations in fuel costs or oil prices, a reduction in fuel supplies, or a sustained decline in oil prices may have a material adverse effect on our business and results of operations.</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our business, to better serve our customers and limit its capital expenditures, we often move our fleet from branch to branch. In addition, the majority of our customers arrange for delivery and pickup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spacing w:after="0" w:line="4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Additionally, oil prices have been volatile and are subject to fluctuations in response to changes in supply and demand, market uncertainty and a variety of additional factors that are beyond our control. If oil prices remain volatile for an extended period of time or there is a sustained decline in demand for oil, demand for our Tank &amp; Pump Solutions products from refineries and companies engaged in the exploration and production of oil and natural gas could be adversely impacted, which would in turn have an adverse effect on our results of operations and financial condition.</w:t>
      </w: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As Department of Transportation regulations change, our operations could be negatively impacted and competition for qualified drivers could increase.</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operate in the United States pursuant to operating authority granted by the U.S. Department of Transportation (the “DOT”). Our drivers must comply with the safety and fitness regulations of the DOT, including those relating to drug and alcohol testing and hours-of-service. Such matters as equipment weight and dimensions are also subject to government regulations. Our safety record could be ranked poorly compared to its peer firms. A poor safety ranking may result in the loss of customers or difficulty attracting and retaining qualified drivers which could affect our results of operations. Should additional rules be enacted in the future, compliance with such rules could result in additional costs.</w:t>
      </w:r>
    </w:p>
    <w:p>
      <w:pPr>
        <w:spacing w:after="0" w:line="21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spacing w:after="0" w:line="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customer base includes customers operating in a variety of industries, including commercial and industrial, construction,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industry-specific economic and financial disruptions, including, in some cases, consolidation and lower sales revenue from physical locations, resulting from the impact of the COVID-19 pandemic and the related changes in political, social and economic conditions. These and any future changes to any of the industries in which our customers operate could cause them to rent fewer units from us or otherwise be unable to satisfy their obligations to us. In addition, certain of our customers are facing financial pressure and such pressure, from COVID-19 or other factors, may result in consolidation in some industries and/or an increase in bankruptcy filings by certain customers. Each of these facts and industry impacts, individually or in the aggregate, could have a materially adverse effect on our operating results.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adequately protect our intellectual property and other proprietary rights that are material to our business.</w:t>
      </w:r>
    </w:p>
    <w:p>
      <w:pPr>
        <w:spacing w:after="0" w:line="25" w:lineRule="exact"/>
        <w:rPr>
          <w:sz w:val="20"/>
          <w:szCs w:val="20"/>
          <w:color w:val="auto"/>
        </w:rPr>
      </w:pPr>
    </w:p>
    <w:p>
      <w:pPr>
        <w:jc w:val="both"/>
        <w:ind w:firstLine="371"/>
        <w:spacing w:after="0" w:line="248" w:lineRule="auto"/>
        <w:rPr>
          <w:sz w:val="20"/>
          <w:szCs w:val="20"/>
          <w:color w:val="auto"/>
        </w:rPr>
      </w:pPr>
      <w:r>
        <w:rPr>
          <w:rFonts w:ascii="Arial" w:cs="Arial" w:eastAsia="Arial" w:hAnsi="Arial"/>
          <w:sz w:val="16"/>
          <w:szCs w:val="16"/>
          <w:color w:val="auto"/>
        </w:rPr>
        <w:t>Our ability to compete effectively depends in part upon protection of our rights in trademarks, copyrights and other intellectual property rights we own or license, including patents to the Mobile Mini locking system.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 brought by or against us could result in substantial costs and diversion of its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non-public information, which could in turn harm our business, financial condition or results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Our largest stockholder may have the ability to influence our business and matters requiring approval by our stockholders.</w:t>
      </w:r>
    </w:p>
    <w:p>
      <w:pPr>
        <w:spacing w:after="0" w:line="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Sapphire Holding S.à r.l. (“Sapphire Holding”), which is controlled by TDR Capital LLP (“TDR Capital”), beneficially owns approximately 26% of the issued and outstanding shares of our Common Stock and warrants giving it the right to buy 2,425,000 additional shares of our Common Stock. Pursuant to a stockholders agreement entered into on July 1, 2020, by and among us and TDR Capital and certain of its affiliates, including Sapphire Holding, TDR Capital has the right to nominate two directors to our board of directors, for so long as TDR Capital beneficially owns at least 15% of our Common Stock and one director for so long as TDR Capital beneficially owns at least 5% of our Common Stock. Two directors nominated by Sapphire Holding currently serve on our board of directors. Sapphire Holding may have the ability to influence matters requiring approval by our stockholders, including the election and removal of directors, amendments to our certificate of incorporation and bylaws, any proposed merger, consolidation or sale of all or substantially all of our assets and certain other corporate transactions. Sapphire Holding may have interests that are different from those of other stockholders.</w:t>
      </w:r>
    </w:p>
    <w:p>
      <w:pPr>
        <w:spacing w:after="0" w:line="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August 2018, Sapphire Holding pledged all of the shares of WillScot’s Class A Common Stock that it owned as security for a margin loan under which Sapphire Holding borrowed $125.0 million. An event of default under the margin loan could result in the foreclosure on the pledged securities and another stockholder beneficially owning a significant amount of our Common Stock. The margin loan matures on August 23, 2020, and there can be no assurance that Sapphire will be able to extend, repay or refinance the loan on terms acceptable to it or at all.</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2. Unregistered Sales of Equity Securities</w:t>
      </w:r>
    </w:p>
    <w:p>
      <w:pPr>
        <w:spacing w:after="0" w:line="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June 30, 2020, as contemplated by the Merger Agreement, and pursuant to the terms of an exercise notice delivered by Sapphire Holdings to WillScot, Sapphire Holdings exchanged each of its shares of common stock, par value $0.0001, of Holdings, pursuant to that certain existing exchange agreement, between WillScot and Sapphire Holdings, for 1.3261 shares of newly issued Class A Common Stock (the “Sapphire Exchange”). As a result of the Sapphire Exchange, all issued and outstanding shares of WillScot’s Class B common stock, par value $0.0001 per share (the “Class B Common Stock”), were automatically canceled for no consideration and the existing exchange agreement was automatically terminated. As a result of the Sapphire Exchange, Holdings became a wholly-owned subsidiary of WillScot. Sapphire Holdings received 10,641,182 shares of Class A Common Stock in the Sapphire Exchange (the “Exchange Shares”). The Exchange Shares were issued in reliance on an exemption from the registration requirements of the Securities Act, by virtue of Section 4(a)(2) and/or other exemptions therefrom, as promulgated by the SEC under the Securities Act.</w:t>
      </w:r>
    </w:p>
    <w:p>
      <w:pPr>
        <w:spacing w:after="0" w:line="25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Defaults Upon Senior Securities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5. Other Information</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6. Exhibits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1" w:name="page52"/>
    <w:bookmarkEnd w:id="51"/>
    <w:p>
      <w:pPr>
        <w:ind w:left="40"/>
        <w:spacing w:after="0"/>
        <w:rPr>
          <w:sz w:val="20"/>
          <w:szCs w:val="20"/>
          <w:color w:val="auto"/>
        </w:rPr>
      </w:pPr>
      <w:r>
        <w:rPr>
          <w:rFonts w:ascii="Arial" w:cs="Arial" w:eastAsia="Arial" w:hAnsi="Arial"/>
          <w:sz w:val="16"/>
          <w:szCs w:val="16"/>
          <w:b w:val="1"/>
          <w:bCs w:val="1"/>
          <w:color w:val="FFFFFF"/>
        </w:rPr>
        <w:t>Exhibit No.</w:t>
      </w:r>
    </w:p>
    <w:p>
      <w:pPr>
        <w:spacing w:after="0" w:line="282" w:lineRule="exact"/>
        <w:rPr>
          <w:sz w:val="20"/>
          <w:szCs w:val="20"/>
          <w:color w:val="auto"/>
        </w:rPr>
      </w:pPr>
    </w:p>
    <w:p>
      <w:pPr>
        <w:spacing w:after="0"/>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2.1</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2.2</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3.1(a)</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3.1(b)</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3.2</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4.1</w:t>
        </w:r>
      </w:hyperlink>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4.2</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10.1</w:t>
        </w:r>
      </w:hyperlink>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10.2</w:t>
        </w:r>
      </w:hyperlink>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10.3</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10.4</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10.5</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10.6</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10.7</w:t>
        </w:r>
      </w:hyperlink>
    </w:p>
    <w:p>
      <w:pPr>
        <w:spacing w:after="0" w:line="59" w:lineRule="exact"/>
        <w:rPr>
          <w:sz w:val="20"/>
          <w:szCs w:val="20"/>
          <w:color w:val="auto"/>
        </w:rPr>
      </w:pPr>
    </w:p>
    <w:p>
      <w:pPr>
        <w:spacing w:after="0"/>
        <w:rPr>
          <w:rFonts w:ascii="Arial" w:cs="Arial" w:eastAsia="Arial" w:hAnsi="Arial"/>
          <w:sz w:val="16"/>
          <w:szCs w:val="16"/>
          <w:color w:val="auto"/>
        </w:rPr>
      </w:pPr>
      <w:hyperlink w:anchor="page55">
        <w:r>
          <w:rPr>
            <w:rFonts w:ascii="Arial" w:cs="Arial" w:eastAsia="Arial" w:hAnsi="Arial"/>
            <w:sz w:val="16"/>
            <w:szCs w:val="16"/>
            <w:color w:val="auto"/>
          </w:rPr>
          <w:t>31.1</w:t>
        </w:r>
      </w:hyperlink>
    </w:p>
    <w:p>
      <w:pPr>
        <w:spacing w:after="0" w:line="59" w:lineRule="exact"/>
        <w:rPr>
          <w:sz w:val="20"/>
          <w:szCs w:val="20"/>
          <w:color w:val="auto"/>
        </w:rPr>
      </w:pPr>
    </w:p>
    <w:p>
      <w:pPr>
        <w:spacing w:after="0"/>
        <w:rPr>
          <w:rFonts w:ascii="Arial" w:cs="Arial" w:eastAsia="Arial" w:hAnsi="Arial"/>
          <w:sz w:val="16"/>
          <w:szCs w:val="16"/>
          <w:color w:val="auto"/>
        </w:rPr>
      </w:pPr>
      <w:hyperlink w:anchor="page56">
        <w:r>
          <w:rPr>
            <w:rFonts w:ascii="Arial" w:cs="Arial" w:eastAsia="Arial" w:hAnsi="Arial"/>
            <w:sz w:val="16"/>
            <w:szCs w:val="16"/>
            <w:color w:val="auto"/>
          </w:rPr>
          <w:t>31.2</w:t>
        </w:r>
      </w:hyperlink>
    </w:p>
    <w:p>
      <w:pPr>
        <w:spacing w:after="0" w:line="59" w:lineRule="exact"/>
        <w:rPr>
          <w:sz w:val="20"/>
          <w:szCs w:val="20"/>
          <w:color w:val="auto"/>
        </w:rPr>
      </w:pPr>
    </w:p>
    <w:p>
      <w:pPr>
        <w:spacing w:after="0"/>
        <w:rPr>
          <w:rFonts w:ascii="Arial" w:cs="Arial" w:eastAsia="Arial" w:hAnsi="Arial"/>
          <w:sz w:val="16"/>
          <w:szCs w:val="16"/>
          <w:color w:val="auto"/>
        </w:rPr>
      </w:pPr>
      <w:hyperlink w:anchor="page57">
        <w:r>
          <w:rPr>
            <w:rFonts w:ascii="Arial" w:cs="Arial" w:eastAsia="Arial" w:hAnsi="Arial"/>
            <w:sz w:val="16"/>
            <w:szCs w:val="16"/>
            <w:color w:val="auto"/>
          </w:rPr>
          <w:t>32.1</w:t>
        </w:r>
      </w:hyperlink>
    </w:p>
    <w:p>
      <w:pPr>
        <w:spacing w:after="0" w:line="59" w:lineRule="exact"/>
        <w:rPr>
          <w:sz w:val="20"/>
          <w:szCs w:val="20"/>
          <w:color w:val="auto"/>
        </w:rPr>
      </w:pPr>
    </w:p>
    <w:p>
      <w:pPr>
        <w:spacing w:after="0"/>
        <w:rPr>
          <w:rFonts w:ascii="Arial" w:cs="Arial" w:eastAsia="Arial" w:hAnsi="Arial"/>
          <w:sz w:val="16"/>
          <w:szCs w:val="16"/>
          <w:color w:val="auto"/>
        </w:rPr>
      </w:pPr>
      <w:hyperlink w:anchor="page58">
        <w:r>
          <w:rPr>
            <w:rFonts w:ascii="Arial" w:cs="Arial" w:eastAsia="Arial" w:hAnsi="Arial"/>
            <w:sz w:val="16"/>
            <w:szCs w:val="16"/>
            <w:color w:val="auto"/>
          </w:rPr>
          <w:t>32.2</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jc w:val="center"/>
        <w:ind w:right="-335"/>
        <w:spacing w:after="0"/>
        <w:rPr>
          <w:sz w:val="20"/>
          <w:szCs w:val="20"/>
          <w:color w:val="auto"/>
        </w:rPr>
      </w:pPr>
      <w:r>
        <w:rPr>
          <w:rFonts w:ascii="Arial" w:cs="Arial" w:eastAsia="Arial" w:hAnsi="Arial"/>
          <w:sz w:val="16"/>
          <w:szCs w:val="16"/>
          <w:b w:val="1"/>
          <w:bCs w:val="1"/>
          <w:color w:val="FFFFFF"/>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-121920</wp:posOffset>
            </wp:positionV>
            <wp:extent cx="710628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59" w:lineRule="exact"/>
        <w:rPr>
          <w:sz w:val="20"/>
          <w:szCs w:val="20"/>
          <w:color w:val="auto"/>
        </w:rPr>
      </w:pPr>
    </w:p>
    <w:p>
      <w:pPr>
        <w:ind w:left="316"/>
        <w:spacing w:after="0"/>
        <w:rPr>
          <w:sz w:val="20"/>
          <w:szCs w:val="20"/>
          <w:color w:val="auto"/>
        </w:rPr>
      </w:pPr>
      <w:r>
        <w:rPr>
          <w:rFonts w:ascii="Arial" w:cs="Arial" w:eastAsia="Arial" w:hAnsi="Arial"/>
          <w:sz w:val="16"/>
          <w:szCs w:val="16"/>
          <w:color w:val="auto"/>
        </w:rPr>
        <w:t>Agreement and Plan of Merger, dated as of March 1, 2020, by and among WillScot Corporation, Picasso Merger Sub, Inc. and Mobile</w:t>
      </w:r>
    </w:p>
    <w:p>
      <w:pPr>
        <w:spacing w:after="0" w:line="5" w:lineRule="exact"/>
        <w:rPr>
          <w:sz w:val="20"/>
          <w:szCs w:val="20"/>
          <w:color w:val="auto"/>
        </w:rPr>
      </w:pPr>
    </w:p>
    <w:p>
      <w:pPr>
        <w:ind w:left="316" w:hanging="316"/>
        <w:spacing w:after="0"/>
        <w:tabs>
          <w:tab w:leader="none" w:pos="3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Mini, Inc. (incorporated by reference to Exhibit 2.1 of the Company's Current Report on Form 8-K, filed March 5, 2020).</w:t>
      </w:r>
    </w:p>
    <w:p>
      <w:pPr>
        <w:spacing w:after="0" w:line="59" w:lineRule="exact"/>
        <w:rPr>
          <w:rFonts w:ascii="Arial" w:cs="Arial" w:eastAsia="Arial" w:hAnsi="Arial"/>
          <w:sz w:val="16"/>
          <w:szCs w:val="16"/>
          <w:color w:val="auto"/>
        </w:rPr>
      </w:pPr>
    </w:p>
    <w:p>
      <w:pPr>
        <w:ind w:left="316" w:right="120"/>
        <w:spacing w:after="0" w:line="260" w:lineRule="auto"/>
        <w:rPr>
          <w:rFonts w:ascii="Arial" w:cs="Arial" w:eastAsia="Arial" w:hAnsi="Arial"/>
          <w:sz w:val="16"/>
          <w:szCs w:val="16"/>
          <w:color w:val="auto"/>
        </w:rPr>
      </w:pPr>
      <w:r>
        <w:rPr>
          <w:rFonts w:ascii="Arial" w:cs="Arial" w:eastAsia="Arial" w:hAnsi="Arial"/>
          <w:sz w:val="16"/>
          <w:szCs w:val="16"/>
          <w:color w:val="auto"/>
        </w:rPr>
        <w:t>Amendment to Agreement and Plan of Merger, dated as of May 28, 2020, by and among WillScot Corporation, Picasso Merger Sub, Inc. and Mobile Mini, Inc. (incorporated by reference to Exhibit 2.1 of the Company's Current Report on Form 8-K, filed June 2, 2020).</w:t>
      </w:r>
    </w:p>
    <w:p>
      <w:pPr>
        <w:spacing w:after="0" w:line="33" w:lineRule="exact"/>
        <w:rPr>
          <w:rFonts w:ascii="Arial" w:cs="Arial" w:eastAsia="Arial" w:hAnsi="Arial"/>
          <w:sz w:val="16"/>
          <w:szCs w:val="16"/>
          <w:color w:val="auto"/>
        </w:rPr>
      </w:pPr>
    </w:p>
    <w:p>
      <w:pPr>
        <w:ind w:left="316" w:right="120"/>
        <w:spacing w:after="0" w:line="260" w:lineRule="auto"/>
        <w:rPr>
          <w:rFonts w:ascii="Arial" w:cs="Arial" w:eastAsia="Arial" w:hAnsi="Arial"/>
          <w:sz w:val="16"/>
          <w:szCs w:val="16"/>
          <w:color w:val="auto"/>
        </w:rPr>
      </w:pPr>
      <w:r>
        <w:rPr>
          <w:rFonts w:ascii="Arial" w:cs="Arial" w:eastAsia="Arial" w:hAnsi="Arial"/>
          <w:sz w:val="16"/>
          <w:szCs w:val="16"/>
          <w:color w:val="auto"/>
        </w:rPr>
        <w:t>Amendment to Agreement and Plan of Merger, dated as of May 28, 2020, by and among WillScot Corporation, Picasso Merger Sub, Inc. and Mobile Mini, Inc. (incorporated by reference to Exhibit 2.1 of the Company's Current Report on Form 8-K, filed June 2, 2020).</w:t>
      </w:r>
    </w:p>
    <w:p>
      <w:pPr>
        <w:spacing w:after="0" w:line="33" w:lineRule="exact"/>
        <w:rPr>
          <w:rFonts w:ascii="Arial" w:cs="Arial" w:eastAsia="Arial" w:hAnsi="Arial"/>
          <w:sz w:val="16"/>
          <w:szCs w:val="16"/>
          <w:color w:val="auto"/>
        </w:rPr>
      </w:pPr>
    </w:p>
    <w:p>
      <w:pPr>
        <w:ind w:left="316" w:right="120"/>
        <w:spacing w:after="0" w:line="260" w:lineRule="auto"/>
        <w:rPr>
          <w:rFonts w:ascii="Arial" w:cs="Arial" w:eastAsia="Arial" w:hAnsi="Arial"/>
          <w:sz w:val="16"/>
          <w:szCs w:val="16"/>
          <w:color w:val="auto"/>
        </w:rPr>
      </w:pPr>
      <w:r>
        <w:rPr>
          <w:rFonts w:ascii="Arial" w:cs="Arial" w:eastAsia="Arial" w:hAnsi="Arial"/>
          <w:sz w:val="16"/>
          <w:szCs w:val="16"/>
          <w:color w:val="auto"/>
        </w:rPr>
        <w:t>Amended and Restated Certificate of Incorporation of WillScot Mobile Mini Holdings Corp. (incorporated by reference to Exhibit 3.1(b) of the Company's Current Report on Form 8-K, filed July 1, 2020).</w:t>
      </w:r>
    </w:p>
    <w:p>
      <w:pPr>
        <w:spacing w:after="0" w:line="33" w:lineRule="exact"/>
        <w:rPr>
          <w:rFonts w:ascii="Arial" w:cs="Arial" w:eastAsia="Arial" w:hAnsi="Arial"/>
          <w:sz w:val="16"/>
          <w:szCs w:val="16"/>
          <w:color w:val="auto"/>
        </w:rPr>
      </w:pPr>
    </w:p>
    <w:p>
      <w:pPr>
        <w:ind w:left="316"/>
        <w:spacing w:after="0" w:line="260" w:lineRule="auto"/>
        <w:rPr>
          <w:rFonts w:ascii="Arial" w:cs="Arial" w:eastAsia="Arial" w:hAnsi="Arial"/>
          <w:sz w:val="16"/>
          <w:szCs w:val="16"/>
          <w:color w:val="auto"/>
        </w:rPr>
      </w:pPr>
      <w:r>
        <w:rPr>
          <w:rFonts w:ascii="Arial" w:cs="Arial" w:eastAsia="Arial" w:hAnsi="Arial"/>
          <w:sz w:val="16"/>
          <w:szCs w:val="16"/>
          <w:color w:val="auto"/>
        </w:rPr>
        <w:t>Amended and Restated Bylaws of WillScot Mobile Mini Holdings Corp. (incorporated by reference to Exhibit 3.2 of the Company's Current Report on Form 8-K, filed July 1, 2020).</w:t>
      </w:r>
    </w:p>
    <w:p>
      <w:pPr>
        <w:spacing w:after="0" w:line="33" w:lineRule="exact"/>
        <w:rPr>
          <w:rFonts w:ascii="Arial" w:cs="Arial" w:eastAsia="Arial" w:hAnsi="Arial"/>
          <w:sz w:val="16"/>
          <w:szCs w:val="16"/>
          <w:color w:val="auto"/>
        </w:rPr>
      </w:pPr>
    </w:p>
    <w:p>
      <w:pPr>
        <w:ind w:left="316" w:right="440"/>
        <w:spacing w:after="0" w:line="260" w:lineRule="auto"/>
        <w:rPr>
          <w:rFonts w:ascii="Arial" w:cs="Arial" w:eastAsia="Arial" w:hAnsi="Arial"/>
          <w:sz w:val="16"/>
          <w:szCs w:val="16"/>
          <w:color w:val="auto"/>
        </w:rPr>
      </w:pPr>
      <w:r>
        <w:rPr>
          <w:rFonts w:ascii="Arial" w:cs="Arial" w:eastAsia="Arial" w:hAnsi="Arial"/>
          <w:sz w:val="16"/>
          <w:szCs w:val="16"/>
          <w:color w:val="auto"/>
        </w:rPr>
        <w:t>Indenture, dated as of June 15, 2020, by and between Picasso Finance Sub, Inc., and Deutsche Bank Trust Company Americas, as trustee (incorporated by reference to Exhibit 4.1 of the Company's Current Report on Form 8-K, filed June 16, 2020).</w:t>
      </w:r>
    </w:p>
    <w:p>
      <w:pPr>
        <w:spacing w:after="0" w:line="33" w:lineRule="exact"/>
        <w:rPr>
          <w:rFonts w:ascii="Arial" w:cs="Arial" w:eastAsia="Arial" w:hAnsi="Arial"/>
          <w:sz w:val="16"/>
          <w:szCs w:val="16"/>
          <w:color w:val="auto"/>
        </w:rPr>
      </w:pPr>
    </w:p>
    <w:p>
      <w:pPr>
        <w:ind w:left="316" w:right="180"/>
        <w:spacing w:after="0" w:line="253" w:lineRule="auto"/>
        <w:rPr>
          <w:rFonts w:ascii="Arial" w:cs="Arial" w:eastAsia="Arial" w:hAnsi="Arial"/>
          <w:sz w:val="16"/>
          <w:szCs w:val="16"/>
          <w:color w:val="auto"/>
        </w:rPr>
      </w:pPr>
      <w:r>
        <w:rPr>
          <w:rFonts w:ascii="Arial" w:cs="Arial" w:eastAsia="Arial" w:hAnsi="Arial"/>
          <w:sz w:val="16"/>
          <w:szCs w:val="16"/>
          <w:color w:val="auto"/>
        </w:rPr>
        <w:t>Supplemental Indenture, dated July 1, 2020, to the Indenture dated June 15, 2020, by and among Williams Scotsman International, Inc. (“WSII”) (as successor to Picasso Finance Sub, Inc.), the guarantors party thereto and Deutsche Bank Trust Company Americas, as trustee (incorporated by reference to Exhibit 4.1 of the Company's Current Report on Form 8-K, filed July 1, 2020).</w:t>
      </w:r>
    </w:p>
    <w:p>
      <w:pPr>
        <w:spacing w:after="0" w:line="39" w:lineRule="exact"/>
        <w:rPr>
          <w:rFonts w:ascii="Arial" w:cs="Arial" w:eastAsia="Arial" w:hAnsi="Arial"/>
          <w:sz w:val="16"/>
          <w:szCs w:val="16"/>
          <w:color w:val="auto"/>
        </w:rPr>
      </w:pPr>
    </w:p>
    <w:p>
      <w:pPr>
        <w:ind w:left="316" w:right="120"/>
        <w:spacing w:after="0" w:line="251" w:lineRule="auto"/>
        <w:rPr>
          <w:rFonts w:ascii="Arial" w:cs="Arial" w:eastAsia="Arial" w:hAnsi="Arial"/>
          <w:sz w:val="16"/>
          <w:szCs w:val="16"/>
          <w:color w:val="auto"/>
        </w:rPr>
      </w:pPr>
      <w:r>
        <w:rPr>
          <w:rFonts w:ascii="Arial" w:cs="Arial" w:eastAsia="Arial" w:hAnsi="Arial"/>
          <w:sz w:val="16"/>
          <w:szCs w:val="16"/>
          <w:color w:val="auto"/>
        </w:rPr>
        <w:t>Supplemental Indenture, dated July 1, 2020, to the Indenture dated August 6, 2018, as supplemented by the First Supplemental Indenture dated August 15, 2018, by and among WSII (as successor to Mason Finance Sub, Inc.), the guarantors party thereto and Deutsche Bank Trust Company Americas, as trustee (incorporated by reference to Exhibit 4.2 of the Company's Current Report on Form 8-K, filed July 1, 2020).</w:t>
      </w:r>
    </w:p>
    <w:p>
      <w:pPr>
        <w:spacing w:after="0" w:line="40" w:lineRule="exact"/>
        <w:rPr>
          <w:rFonts w:ascii="Arial" w:cs="Arial" w:eastAsia="Arial" w:hAnsi="Arial"/>
          <w:sz w:val="16"/>
          <w:szCs w:val="16"/>
          <w:color w:val="auto"/>
        </w:rPr>
      </w:pPr>
    </w:p>
    <w:p>
      <w:pPr>
        <w:ind w:left="316" w:right="60"/>
        <w:spacing w:after="0" w:line="251" w:lineRule="auto"/>
        <w:rPr>
          <w:rFonts w:ascii="Arial" w:cs="Arial" w:eastAsia="Arial" w:hAnsi="Arial"/>
          <w:sz w:val="16"/>
          <w:szCs w:val="16"/>
          <w:color w:val="auto"/>
        </w:rPr>
      </w:pPr>
      <w:r>
        <w:rPr>
          <w:rFonts w:ascii="Arial" w:cs="Arial" w:eastAsia="Arial" w:hAnsi="Arial"/>
          <w:sz w:val="16"/>
          <w:szCs w:val="16"/>
          <w:color w:val="auto"/>
        </w:rPr>
        <w:t>Sixth Amended and Restated Commitment Letter, dated as of May 26, 2020, by and among WillScot Corporation, Bank of America, N.A., BofA Securities, Inc., Deutsche Bank AG New York Branch, Deutsche Bank Securities Inc., JPMorgan Chase Bank, N.A., ING Capital LLC, BBVA USA, Bank of the West, PNC Bank, National Association, PNC Capital Markets LLC, MUFG Union Bank, N.A., Bank of Montreal, BMO Capital Markets Corp. and M&amp;T Bank</w:t>
      </w:r>
    </w:p>
    <w:p>
      <w:pPr>
        <w:spacing w:after="0" w:line="40" w:lineRule="exact"/>
        <w:rPr>
          <w:rFonts w:ascii="Arial" w:cs="Arial" w:eastAsia="Arial" w:hAnsi="Arial"/>
          <w:sz w:val="16"/>
          <w:szCs w:val="16"/>
          <w:color w:val="auto"/>
        </w:rPr>
      </w:pPr>
    </w:p>
    <w:p>
      <w:pPr>
        <w:ind w:left="316" w:right="120"/>
        <w:spacing w:after="0" w:line="253" w:lineRule="auto"/>
        <w:rPr>
          <w:rFonts w:ascii="Arial" w:cs="Arial" w:eastAsia="Arial" w:hAnsi="Arial"/>
          <w:sz w:val="16"/>
          <w:szCs w:val="16"/>
          <w:color w:val="auto"/>
        </w:rPr>
      </w:pPr>
      <w:r>
        <w:rPr>
          <w:rFonts w:ascii="Arial" w:cs="Arial" w:eastAsia="Arial" w:hAnsi="Arial"/>
          <w:sz w:val="16"/>
          <w:szCs w:val="16"/>
          <w:color w:val="auto"/>
        </w:rPr>
        <w:t>Shareholders Agreement, dated July 1, 2020, by and among WillScot Mobile Mini Holdings Corp., Sapphire Holdings, S.á r.l., TDR Capital Holdings L.P. and TDR Capital LLP (incorporated by reference to Exhibit 1.1 of the Company's Current Report on Form 8-K, filed July 1, 2020).</w:t>
      </w:r>
    </w:p>
    <w:p>
      <w:pPr>
        <w:spacing w:after="0" w:line="39" w:lineRule="exact"/>
        <w:rPr>
          <w:rFonts w:ascii="Arial" w:cs="Arial" w:eastAsia="Arial" w:hAnsi="Arial"/>
          <w:sz w:val="16"/>
          <w:szCs w:val="16"/>
          <w:color w:val="auto"/>
        </w:rPr>
      </w:pPr>
    </w:p>
    <w:p>
      <w:pPr>
        <w:ind w:left="316" w:right="160"/>
        <w:spacing w:after="0" w:line="253" w:lineRule="auto"/>
        <w:rPr>
          <w:rFonts w:ascii="Arial" w:cs="Arial" w:eastAsia="Arial" w:hAnsi="Arial"/>
          <w:sz w:val="16"/>
          <w:szCs w:val="16"/>
          <w:color w:val="auto"/>
        </w:rPr>
      </w:pPr>
      <w:r>
        <w:rPr>
          <w:rFonts w:ascii="Arial" w:cs="Arial" w:eastAsia="Arial" w:hAnsi="Arial"/>
          <w:sz w:val="16"/>
          <w:szCs w:val="16"/>
          <w:color w:val="auto"/>
        </w:rPr>
        <w:t>ABL Credit Agreement, dated July 1, 2020, by and among Williams Scotsman Holdings Corp., WSII, the guarantors party thereto, the lenders party thereto, and Bank of America, N.A., as administrative agent and collateral agent (incorporated by reference to Exhibit 10.1 of the Company's Current Report on Form 8-K, filed July 1, 2020).</w:t>
      </w:r>
    </w:p>
    <w:p>
      <w:pPr>
        <w:spacing w:after="0" w:line="39" w:lineRule="exact"/>
        <w:rPr>
          <w:rFonts w:ascii="Arial" w:cs="Arial" w:eastAsia="Arial" w:hAnsi="Arial"/>
          <w:sz w:val="16"/>
          <w:szCs w:val="16"/>
          <w:color w:val="auto"/>
        </w:rPr>
      </w:pPr>
    </w:p>
    <w:p>
      <w:pPr>
        <w:ind w:left="316" w:right="440"/>
        <w:spacing w:after="0" w:line="260" w:lineRule="auto"/>
        <w:rPr>
          <w:rFonts w:ascii="Arial" w:cs="Arial" w:eastAsia="Arial" w:hAnsi="Arial"/>
          <w:sz w:val="16"/>
          <w:szCs w:val="16"/>
          <w:color w:val="auto"/>
        </w:rPr>
      </w:pPr>
      <w:r>
        <w:rPr>
          <w:rFonts w:ascii="Arial" w:cs="Arial" w:eastAsia="Arial" w:hAnsi="Arial"/>
          <w:sz w:val="16"/>
          <w:szCs w:val="16"/>
          <w:color w:val="auto"/>
        </w:rPr>
        <w:t>WillScot Mobile Mini Holdings Corp. 2020 Incentive Award Plan (incorporated by reference to Exhibit 10.3 of the Company's Current Report on Form 8-K, filed July 1, 2020).</w:t>
      </w:r>
    </w:p>
    <w:p>
      <w:pPr>
        <w:spacing w:after="0" w:line="33" w:lineRule="exact"/>
        <w:rPr>
          <w:rFonts w:ascii="Arial" w:cs="Arial" w:eastAsia="Arial" w:hAnsi="Arial"/>
          <w:sz w:val="16"/>
          <w:szCs w:val="16"/>
          <w:color w:val="auto"/>
        </w:rPr>
      </w:pPr>
    </w:p>
    <w:p>
      <w:pPr>
        <w:ind w:left="316" w:right="60"/>
        <w:spacing w:after="0" w:line="260" w:lineRule="auto"/>
        <w:rPr>
          <w:rFonts w:ascii="Arial" w:cs="Arial" w:eastAsia="Arial" w:hAnsi="Arial"/>
          <w:sz w:val="16"/>
          <w:szCs w:val="16"/>
          <w:color w:val="auto"/>
        </w:rPr>
      </w:pPr>
      <w:r>
        <w:rPr>
          <w:rFonts w:ascii="Arial" w:cs="Arial" w:eastAsia="Arial" w:hAnsi="Arial"/>
          <w:sz w:val="16"/>
          <w:szCs w:val="16"/>
          <w:color w:val="auto"/>
        </w:rPr>
        <w:t>Form of Indemnification Agreement (incorporated by reference to Exhibit 10.2 of the Company's Current Report on Form 8-K, filed July 1, 2020).</w:t>
      </w:r>
    </w:p>
    <w:p>
      <w:pPr>
        <w:spacing w:after="0" w:line="33" w:lineRule="exact"/>
        <w:rPr>
          <w:rFonts w:ascii="Arial" w:cs="Arial" w:eastAsia="Arial" w:hAnsi="Arial"/>
          <w:sz w:val="16"/>
          <w:szCs w:val="16"/>
          <w:color w:val="auto"/>
        </w:rPr>
      </w:pPr>
    </w:p>
    <w:p>
      <w:pPr>
        <w:ind w:left="316" w:right="160"/>
        <w:spacing w:after="0" w:line="260" w:lineRule="auto"/>
        <w:rPr>
          <w:rFonts w:ascii="Arial" w:cs="Arial" w:eastAsia="Arial" w:hAnsi="Arial"/>
          <w:sz w:val="16"/>
          <w:szCs w:val="16"/>
          <w:color w:val="auto"/>
        </w:rPr>
      </w:pPr>
      <w:r>
        <w:rPr>
          <w:rFonts w:ascii="Arial" w:cs="Arial" w:eastAsia="Arial" w:hAnsi="Arial"/>
          <w:sz w:val="16"/>
          <w:szCs w:val="16"/>
          <w:color w:val="auto"/>
        </w:rPr>
        <w:t>Form of Restricted Stock Unit Agreement (incorporated by reference to Exhibit 10.4 of the Company's Current Report on Form 8-K, filed July 1, 2020).</w:t>
      </w:r>
    </w:p>
    <w:p>
      <w:pPr>
        <w:spacing w:after="0" w:line="33" w:lineRule="exact"/>
        <w:rPr>
          <w:rFonts w:ascii="Arial" w:cs="Arial" w:eastAsia="Arial" w:hAnsi="Arial"/>
          <w:sz w:val="16"/>
          <w:szCs w:val="16"/>
          <w:color w:val="auto"/>
        </w:rPr>
      </w:pPr>
    </w:p>
    <w:p>
      <w:pPr>
        <w:ind w:left="316"/>
        <w:spacing w:after="0" w:line="260" w:lineRule="auto"/>
        <w:rPr>
          <w:rFonts w:ascii="Arial" w:cs="Arial" w:eastAsia="Arial" w:hAnsi="Arial"/>
          <w:sz w:val="16"/>
          <w:szCs w:val="16"/>
          <w:color w:val="auto"/>
        </w:rPr>
      </w:pPr>
      <w:r>
        <w:rPr>
          <w:rFonts w:ascii="Arial" w:cs="Arial" w:eastAsia="Arial" w:hAnsi="Arial"/>
          <w:sz w:val="16"/>
          <w:szCs w:val="16"/>
          <w:color w:val="auto"/>
        </w:rPr>
        <w:t>Form of Performance-Based Restricted Stock Unit Agreement (incorporated by reference to Exhibit 10.5 of the Company's Current Report on Form 8-K, filed July 1, 2020).</w:t>
      </w:r>
    </w:p>
    <w:p>
      <w:pPr>
        <w:spacing w:after="0" w:line="46" w:lineRule="exact"/>
        <w:rPr>
          <w:rFonts w:ascii="Arial" w:cs="Arial" w:eastAsia="Arial" w:hAnsi="Arial"/>
          <w:sz w:val="16"/>
          <w:szCs w:val="16"/>
          <w:color w:val="auto"/>
        </w:rPr>
      </w:pPr>
    </w:p>
    <w:p>
      <w:pPr>
        <w:ind w:left="316" w:hanging="316"/>
        <w:spacing w:after="0"/>
        <w:tabs>
          <w:tab w:leader="none" w:pos="316" w:val="left"/>
        </w:tabs>
        <w:numPr>
          <w:ilvl w:val="0"/>
          <w:numId w:val="13"/>
        </w:numPr>
        <w:rPr>
          <w:rFonts w:ascii="Arial" w:cs="Arial" w:eastAsia="Arial" w:hAnsi="Arial"/>
          <w:sz w:val="16"/>
          <w:szCs w:val="16"/>
          <w:color w:val="auto"/>
        </w:rPr>
      </w:pPr>
      <w:hyperlink w:anchor="page55">
        <w:r>
          <w:rPr>
            <w:rFonts w:ascii="Arial" w:cs="Arial" w:eastAsia="Arial" w:hAnsi="Arial"/>
            <w:sz w:val="16"/>
            <w:szCs w:val="16"/>
            <w:color w:val="auto"/>
          </w:rPr>
          <w:t>Certification of Chief Executive Officer pursuant to Section 302 of the Sarbanes-Oxley Act of 2002</w:t>
        </w:r>
      </w:hyperlink>
    </w:p>
    <w:p>
      <w:pPr>
        <w:spacing w:after="0" w:line="59" w:lineRule="exact"/>
        <w:rPr>
          <w:rFonts w:ascii="Arial" w:cs="Arial" w:eastAsia="Arial" w:hAnsi="Arial"/>
          <w:sz w:val="16"/>
          <w:szCs w:val="16"/>
          <w:color w:val="auto"/>
        </w:rPr>
      </w:pPr>
    </w:p>
    <w:p>
      <w:pPr>
        <w:ind w:left="316" w:hanging="316"/>
        <w:spacing w:after="0"/>
        <w:tabs>
          <w:tab w:leader="none" w:pos="316" w:val="left"/>
        </w:tabs>
        <w:numPr>
          <w:ilvl w:val="0"/>
          <w:numId w:val="13"/>
        </w:numPr>
        <w:rPr>
          <w:rFonts w:ascii="Arial" w:cs="Arial" w:eastAsia="Arial" w:hAnsi="Arial"/>
          <w:sz w:val="16"/>
          <w:szCs w:val="16"/>
          <w:color w:val="auto"/>
        </w:rPr>
      </w:pPr>
      <w:hyperlink w:anchor="page56">
        <w:r>
          <w:rPr>
            <w:rFonts w:ascii="Arial" w:cs="Arial" w:eastAsia="Arial" w:hAnsi="Arial"/>
            <w:sz w:val="16"/>
            <w:szCs w:val="16"/>
            <w:color w:val="auto"/>
          </w:rPr>
          <w:t>Certification of Chief Financial Officer pursuant to Section 302 of the Sarbanes-Oxley Act of 2002</w:t>
        </w:r>
      </w:hyperlink>
    </w:p>
    <w:p>
      <w:pPr>
        <w:spacing w:after="0" w:line="59" w:lineRule="exact"/>
        <w:rPr>
          <w:rFonts w:ascii="Arial" w:cs="Arial" w:eastAsia="Arial" w:hAnsi="Arial"/>
          <w:sz w:val="16"/>
          <w:szCs w:val="16"/>
          <w:color w:val="auto"/>
        </w:rPr>
      </w:pPr>
    </w:p>
    <w:p>
      <w:pPr>
        <w:ind w:left="316" w:hanging="316"/>
        <w:spacing w:after="0"/>
        <w:tabs>
          <w:tab w:leader="none" w:pos="316" w:val="left"/>
        </w:tabs>
        <w:numPr>
          <w:ilvl w:val="0"/>
          <w:numId w:val="14"/>
        </w:numPr>
        <w:rPr>
          <w:rFonts w:ascii="Arial" w:cs="Arial" w:eastAsia="Arial" w:hAnsi="Arial"/>
          <w:sz w:val="16"/>
          <w:szCs w:val="16"/>
          <w:color w:val="auto"/>
        </w:rPr>
      </w:pPr>
      <w:hyperlink w:anchor="page57">
        <w:r>
          <w:rPr>
            <w:rFonts w:ascii="Arial" w:cs="Arial" w:eastAsia="Arial" w:hAnsi="Arial"/>
            <w:sz w:val="16"/>
            <w:szCs w:val="16"/>
            <w:color w:val="auto"/>
          </w:rPr>
          <w:t>Certification of Chief Executive Officer pursuant to Section 906 of the Sarbanes-Oxley Act of 2002</w:t>
        </w:r>
      </w:hyperlink>
    </w:p>
    <w:p>
      <w:pPr>
        <w:spacing w:after="0" w:line="59" w:lineRule="exact"/>
        <w:rPr>
          <w:rFonts w:ascii="Arial" w:cs="Arial" w:eastAsia="Arial" w:hAnsi="Arial"/>
          <w:sz w:val="16"/>
          <w:szCs w:val="16"/>
          <w:color w:val="auto"/>
        </w:rPr>
      </w:pPr>
    </w:p>
    <w:p>
      <w:pPr>
        <w:ind w:left="316" w:hanging="316"/>
        <w:spacing w:after="0"/>
        <w:tabs>
          <w:tab w:leader="none" w:pos="316" w:val="left"/>
        </w:tabs>
        <w:numPr>
          <w:ilvl w:val="0"/>
          <w:numId w:val="14"/>
        </w:numPr>
        <w:rPr>
          <w:rFonts w:ascii="Arial" w:cs="Arial" w:eastAsia="Arial" w:hAnsi="Arial"/>
          <w:sz w:val="16"/>
          <w:szCs w:val="16"/>
          <w:color w:val="auto"/>
        </w:rPr>
      </w:pPr>
      <w:hyperlink w:anchor="page58">
        <w:r>
          <w:rPr>
            <w:rFonts w:ascii="Arial" w:cs="Arial" w:eastAsia="Arial" w:hAnsi="Arial"/>
            <w:sz w:val="16"/>
            <w:szCs w:val="16"/>
            <w:color w:val="auto"/>
          </w:rPr>
          <w:t>Certification of Chief Financial Officer pursuant to Section 906 of the Sarbanes-Oxley Act of 2002</w:t>
        </w:r>
      </w:hyperlink>
    </w:p>
    <w:p>
      <w:pPr>
        <w:spacing w:after="0" w:line="45" w:lineRule="exact"/>
        <w:rPr>
          <w:rFonts w:ascii="Arial" w:cs="Arial" w:eastAsia="Arial" w:hAnsi="Arial"/>
          <w:sz w:val="16"/>
          <w:szCs w:val="16"/>
          <w:color w:val="auto"/>
        </w:rPr>
      </w:pPr>
    </w:p>
    <w:p>
      <w:pPr>
        <w:ind w:left="316" w:right="320"/>
        <w:spacing w:after="0" w:line="260" w:lineRule="auto"/>
        <w:rPr>
          <w:rFonts w:ascii="Arial" w:cs="Arial" w:eastAsia="Arial" w:hAnsi="Arial"/>
          <w:sz w:val="16"/>
          <w:szCs w:val="16"/>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line="33" w:lineRule="exact"/>
        <w:rPr>
          <w:rFonts w:ascii="Arial" w:cs="Arial" w:eastAsia="Arial" w:hAnsi="Arial"/>
          <w:sz w:val="16"/>
          <w:szCs w:val="16"/>
          <w:color w:val="auto"/>
        </w:rPr>
      </w:pPr>
    </w:p>
    <w:p>
      <w:pPr>
        <w:ind w:left="316"/>
        <w:spacing w:after="0"/>
        <w:rPr>
          <w:rFonts w:ascii="Arial" w:cs="Arial" w:eastAsia="Arial" w:hAnsi="Arial"/>
          <w:sz w:val="16"/>
          <w:szCs w:val="16"/>
          <w:color w:val="auto"/>
        </w:rPr>
      </w:pPr>
      <w:r>
        <w:rPr>
          <w:rFonts w:ascii="Arial" w:cs="Arial" w:eastAsia="Arial" w:hAnsi="Arial"/>
          <w:sz w:val="16"/>
          <w:szCs w:val="16"/>
          <w:color w:val="auto"/>
        </w:rPr>
        <w:t>XBRL Taxonomy Extension Schema Document</w:t>
      </w:r>
    </w:p>
    <w:p>
      <w:pPr>
        <w:spacing w:after="0" w:line="59" w:lineRule="exact"/>
        <w:rPr>
          <w:rFonts w:ascii="Arial" w:cs="Arial" w:eastAsia="Arial" w:hAnsi="Arial"/>
          <w:sz w:val="16"/>
          <w:szCs w:val="16"/>
          <w:color w:val="auto"/>
        </w:rPr>
      </w:pPr>
    </w:p>
    <w:p>
      <w:pPr>
        <w:ind w:left="316" w:right="5480"/>
        <w:spacing w:after="0" w:line="321" w:lineRule="auto"/>
        <w:rPr>
          <w:rFonts w:ascii="Arial" w:cs="Arial" w:eastAsia="Arial" w:hAnsi="Arial"/>
          <w:sz w:val="16"/>
          <w:szCs w:val="16"/>
          <w:color w:val="auto"/>
        </w:rPr>
      </w:pPr>
      <w:r>
        <w:rPr>
          <w:rFonts w:ascii="Arial" w:cs="Arial" w:eastAsia="Arial" w:hAnsi="Arial"/>
          <w:sz w:val="16"/>
          <w:szCs w:val="16"/>
          <w:color w:val="auto"/>
        </w:rPr>
        <w:t>XBRL Taxonomy Extension Calculation Linkbase Document XBRL Taxonomy Extension Definition Linkbase Document XBRL Taxonomy Extension Label Linkbase Document XBRL Taxonomy Extension Presentation Linkbase Document</w:t>
      </w:r>
    </w:p>
    <w:p>
      <w:pPr>
        <w:spacing w:after="0" w:line="200" w:lineRule="exact"/>
        <w:rPr>
          <w:rFonts w:ascii="Arial" w:cs="Arial" w:eastAsia="Arial" w:hAnsi="Arial"/>
          <w:sz w:val="16"/>
          <w:szCs w:val="16"/>
          <w:color w:val="auto"/>
        </w:rPr>
      </w:pPr>
    </w:p>
    <w:p>
      <w:pPr>
        <w:sectPr>
          <w:pgSz w:w="11900" w:h="16838" w:orient="portrait"/>
          <w:cols w:equalWidth="0" w:num="2">
            <w:col w:w="900" w:space="64"/>
            <w:col w:w="10196"/>
          </w:cols>
          <w:pgMar w:left="340" w:top="1147" w:right="399" w:bottom="1440" w:gutter="0" w:footer="0" w:header="0"/>
        </w:sectPr>
      </w:pPr>
    </w:p>
    <w:p>
      <w:pPr>
        <w:spacing w:after="0" w:line="379"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147" w:right="3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229235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1170"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3"/>
          <w:szCs w:val="23"/>
          <w:color w:val="1D2758"/>
        </w:rPr>
        <w:t>Signature</w:t>
      </w:r>
    </w:p>
    <w:p>
      <w:pPr>
        <w:spacing w:after="0" w:line="9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WillScot Corporation</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0" w:type="dxa"/>
            <w:vAlign w:val="bottom"/>
          </w:tcPr>
          <w:p>
            <w:pPr>
              <w:spacing w:after="0"/>
              <w:rPr>
                <w:sz w:val="16"/>
                <w:szCs w:val="16"/>
                <w:color w:val="auto"/>
              </w:rPr>
            </w:pPr>
          </w:p>
        </w:tc>
        <w:tc>
          <w:tcPr>
            <w:tcW w:w="5640" w:type="dxa"/>
            <w:vAlign w:val="bottom"/>
          </w:tcPr>
          <w:p>
            <w:pPr>
              <w:ind w:left="5100"/>
              <w:spacing w:after="0"/>
              <w:rPr>
                <w:sz w:val="20"/>
                <w:szCs w:val="20"/>
                <w:color w:val="auto"/>
              </w:rPr>
            </w:pPr>
            <w:r>
              <w:rPr>
                <w:rFonts w:ascii="Arial" w:cs="Arial" w:eastAsia="Arial" w:hAnsi="Arial"/>
                <w:sz w:val="16"/>
                <w:szCs w:val="16"/>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23"/>
        </w:trPr>
        <w:tc>
          <w:tcPr>
            <w:tcW w:w="680" w:type="dxa"/>
            <w:vAlign w:val="bottom"/>
          </w:tcPr>
          <w:p>
            <w:pPr>
              <w:spacing w:after="0"/>
              <w:rPr>
                <w:sz w:val="20"/>
                <w:szCs w:val="20"/>
                <w:color w:val="auto"/>
              </w:rPr>
            </w:pPr>
            <w:r>
              <w:rPr>
                <w:rFonts w:ascii="Arial" w:cs="Arial" w:eastAsia="Arial" w:hAnsi="Arial"/>
                <w:sz w:val="16"/>
                <w:szCs w:val="16"/>
                <w:color w:val="auto"/>
              </w:rPr>
              <w:t>Dated:</w:t>
            </w:r>
          </w:p>
        </w:tc>
        <w:tc>
          <w:tcPr>
            <w:tcW w:w="5640" w:type="dxa"/>
            <w:vAlign w:val="bottom"/>
          </w:tcPr>
          <w:p>
            <w:pPr>
              <w:ind w:left="220"/>
              <w:spacing w:after="0"/>
              <w:rPr>
                <w:sz w:val="20"/>
                <w:szCs w:val="20"/>
                <w:color w:val="auto"/>
              </w:rPr>
            </w:pPr>
            <w:r>
              <w:rPr>
                <w:rFonts w:ascii="Arial" w:cs="Arial" w:eastAsia="Arial" w:hAnsi="Arial"/>
                <w:sz w:val="16"/>
                <w:szCs w:val="16"/>
                <w:color w:val="auto"/>
              </w:rPr>
              <w:t>August 10, 2020</w:t>
            </w:r>
          </w:p>
        </w:tc>
        <w:tc>
          <w:tcPr>
            <w:tcW w:w="4860" w:type="dxa"/>
            <w:vAlign w:val="bottom"/>
          </w:tcPr>
          <w:p>
            <w:pPr>
              <w:ind w:left="340"/>
              <w:spacing w:after="0"/>
              <w:rPr>
                <w:sz w:val="20"/>
                <w:szCs w:val="20"/>
                <w:color w:val="auto"/>
              </w:rPr>
            </w:pPr>
            <w:r>
              <w:rPr>
                <w:rFonts w:ascii="Arial" w:cs="Arial" w:eastAsia="Arial" w:hAnsi="Arial"/>
                <w:sz w:val="16"/>
                <w:szCs w:val="16"/>
                <w:color w:val="auto"/>
              </w:rPr>
              <w:t>Timothy D. Boswell</w:t>
            </w:r>
          </w:p>
        </w:tc>
      </w:tr>
      <w:tr>
        <w:trPr>
          <w:trHeight w:val="216"/>
        </w:trPr>
        <w:tc>
          <w:tcPr>
            <w:tcW w:w="6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11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2020</w:t>
      </w:r>
    </w:p>
    <w:p>
      <w:pPr>
        <w:spacing w:after="0" w:line="5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78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2020</w:t>
      </w:r>
    </w:p>
    <w:p>
      <w:pPr>
        <w:spacing w:after="0" w:line="5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19050</wp:posOffset>
            </wp:positionV>
            <wp:extent cx="28289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ind w:left="660" w:hanging="4"/>
        <w:spacing w:after="0" w:line="352" w:lineRule="auto"/>
        <w:tabs>
          <w:tab w:leader="none" w:pos="8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June 30,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2020</w:t>
      </w:r>
    </w:p>
    <w:p>
      <w:pPr>
        <w:spacing w:after="0" w:line="100"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19050</wp:posOffset>
            </wp:positionV>
            <wp:extent cx="25114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28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28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ind w:left="660" w:hanging="4"/>
        <w:spacing w:after="0" w:line="352" w:lineRule="auto"/>
        <w:tabs>
          <w:tab w:leader="none" w:pos="87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June 30, 2020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2020</w:t>
      </w:r>
    </w:p>
    <w:p>
      <w:pPr>
        <w:spacing w:after="0" w:line="100"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19050</wp:posOffset>
            </wp:positionV>
            <wp:extent cx="25114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right="20"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
      <w:numFmt w:val="bullet"/>
      <w:start w:val="1"/>
    </w:lvl>
    <w:lvl w:ilvl="1">
      <w:lvlJc w:val="left"/>
      <w:lvlText w:val="\endash "/>
      <w:numFmt w:val="bullet"/>
      <w:start w:val="1"/>
    </w:lvl>
  </w:abstractNum>
  <w:abstractNum w:abstractNumId="6">
    <w:nsid w:val="140E0F76"/>
    <w:multiLevelType w:val="hybridMultilevel"/>
    <w:lvl w:ilvl="0">
      <w:lvlJc w:val="left"/>
      <w:lvlText w:val="•"/>
      <w:numFmt w:val="bullet"/>
      <w:start w:val="1"/>
    </w:lvl>
    <w:lvl w:ilvl="1">
      <w:lvlJc w:val="left"/>
      <w:lvlText w:val="\endash "/>
      <w:numFmt w:val="bullet"/>
      <w:start w:val="1"/>
    </w:lvl>
  </w:abstractNum>
  <w:abstractNum w:abstractNumId="7">
    <w:nsid w:val="3352255A"/>
    <w:multiLevelType w:val="hybridMultilevel"/>
    <w:lvl w:ilvl="0">
      <w:lvlJc w:val="left"/>
      <w:lvlText w:val="%1."/>
      <w:numFmt w:val="decimal"/>
      <w:start w:val="2"/>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85" Type="http://schemas.openxmlformats.org/officeDocument/2006/relationships/hyperlink" Target="http://www.sec.gov/Archives/edgar/data/1647088/000110465920029590/tm2011399d7_ex2-1.htm" TargetMode="External"/><Relationship Id="rId86" Type="http://schemas.openxmlformats.org/officeDocument/2006/relationships/hyperlink" Target="http://www.sec.gov/ix?doc=/Archives/edgar/data/1647088/000110465920068763/tm2021384-1_8k.htm" TargetMode="External"/><Relationship Id="rId87" Type="http://schemas.openxmlformats.org/officeDocument/2006/relationships/hyperlink" Target="http://www.sec.gov/Archives/edgar/data/1647088/000110465920079826/tm2023606d2_ex3-1b.htm" TargetMode="External"/><Relationship Id="rId88" Type="http://schemas.openxmlformats.org/officeDocument/2006/relationships/hyperlink" Target="http://www.sec.gov/Archives/edgar/data/1647088/000110465920079826/tm2023606d2_ex3-2.htm" TargetMode="External"/><Relationship Id="rId89" Type="http://schemas.openxmlformats.org/officeDocument/2006/relationships/hyperlink" Target="http://www.sec.gov/Archives/edgar/data/1647088/000110465920079826/tm2023606d2_ex4-1.htm" TargetMode="External"/><Relationship Id="rId90" Type="http://schemas.openxmlformats.org/officeDocument/2006/relationships/hyperlink" Target="http://www.sec.gov/Archives/edgar/data/1647088/000110465920079826/tm2023606d2_ex4-2.htm" TargetMode="External"/><Relationship Id="rId91" Type="http://schemas.openxmlformats.org/officeDocument/2006/relationships/hyperlink" Target="http://www.sec.gov/Archives/edgar/data/1647088/000110465920029590/tm2011399d7_ex10-1.htm" TargetMode="External"/><Relationship Id="rId92" Type="http://schemas.openxmlformats.org/officeDocument/2006/relationships/hyperlink" Target="http://www.sec.gov/Archives/edgar/data/1647088/000110465920079826/tm2023606d2_ex1-1.htm" TargetMode="External"/><Relationship Id="rId93" Type="http://schemas.openxmlformats.org/officeDocument/2006/relationships/hyperlink" Target="http://www.sec.gov/Archives/edgar/data/1647088/000110465920079826/tm2023606d2_ex10-1.htm" TargetMode="External"/><Relationship Id="rId94" Type="http://schemas.openxmlformats.org/officeDocument/2006/relationships/hyperlink" Target="http://www.sec.gov/Archives/edgar/data/1647088/000110465920029590/tm2011399d7_ex10-4.htm" TargetMode="External"/><Relationship Id="rId95" Type="http://schemas.openxmlformats.org/officeDocument/2006/relationships/hyperlink" Target="http://www.sec.gov/Archives/edgar/data/1647088/000110465920079826/tm2023606d2_ex10-2.htm" TargetMode="External"/><Relationship Id="rId96" Type="http://schemas.openxmlformats.org/officeDocument/2006/relationships/hyperlink" Target="http://www.sec.gov/Archives/edgar/data/1647088/000110465920079826/tm2023606d2_ex10-4.htm" TargetMode="External"/><Relationship Id="rId97" Type="http://schemas.openxmlformats.org/officeDocument/2006/relationships/hyperlink" Target="http://www.sec.gov/Archives/edgar/data/1647088/000110465920079826/tm2023606d2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2020-08-10T10:45:53Z</dcterms:created>
  <dcterms:modified xsi:type="dcterms:W3CDTF">2020-08-10T10:45:53Z</dcterms:modified>
</cp:coreProperties>
</file>