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205105</wp:posOffset>
            </wp:positionH>
            <wp:positionV relativeFrom="page">
              <wp:posOffset>530860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498475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11" w:lineRule="exact"/>
        <w:rPr>
          <w:sz w:val="24"/>
          <w:szCs w:val="24"/>
          <w:color w:val="auto"/>
        </w:rPr>
      </w:pPr>
    </w:p>
    <w:p>
      <w:pPr>
        <w:ind w:left="1520" w:hanging="808"/>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320" w:lineRule="exact"/>
        <w:rPr>
          <w:sz w:val="24"/>
          <w:szCs w:val="24"/>
          <w:color w:val="auto"/>
        </w:rPr>
      </w:pPr>
    </w:p>
    <w:p>
      <w:pPr>
        <w:ind w:left="3920" w:right="2680" w:hanging="3208"/>
        <w:spacing w:after="0" w:line="403" w:lineRule="auto"/>
        <w:tabs>
          <w:tab w:leader="none" w:pos="1517"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66"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2695575</wp:posOffset>
            </wp:positionH>
            <wp:positionV relativeFrom="paragraph">
              <wp:posOffset>116840</wp:posOffset>
            </wp:positionV>
            <wp:extent cx="1751965" cy="589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1965" cy="589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WILLSCOT HOLDINGS CORPORATION</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3940" w:type="dxa"/>
            <w:vAlign w:val="bottom"/>
          </w:tcPr>
          <w:p>
            <w:pPr>
              <w:spacing w:after="0"/>
              <w:rPr>
                <w:sz w:val="15"/>
                <w:szCs w:val="15"/>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color w:val="auto"/>
                <w:w w:val="97"/>
              </w:rPr>
              <w:t>(Exact name of registrant as specified in its charter)</w:t>
            </w:r>
          </w:p>
        </w:tc>
        <w:tc>
          <w:tcPr>
            <w:tcW w:w="3600" w:type="dxa"/>
            <w:vAlign w:val="bottom"/>
          </w:tcPr>
          <w:p>
            <w:pPr>
              <w:spacing w:after="0"/>
              <w:rPr>
                <w:sz w:val="15"/>
                <w:szCs w:val="15"/>
                <w:color w:val="auto"/>
              </w:rPr>
            </w:pPr>
          </w:p>
        </w:tc>
      </w:tr>
      <w:tr>
        <w:trPr>
          <w:trHeight w:val="212"/>
        </w:trPr>
        <w:tc>
          <w:tcPr>
            <w:tcW w:w="3940" w:type="dxa"/>
            <w:vAlign w:val="bottom"/>
          </w:tcPr>
          <w:p>
            <w:pPr>
              <w:jc w:val="center"/>
              <w:ind w:right="51"/>
              <w:spacing w:after="0"/>
              <w:rPr>
                <w:sz w:val="20"/>
                <w:szCs w:val="20"/>
                <w:color w:val="auto"/>
              </w:rPr>
            </w:pPr>
            <w:r>
              <w:rPr>
                <w:rFonts w:ascii="Arial" w:cs="Arial" w:eastAsia="Arial" w:hAnsi="Arial"/>
                <w:sz w:val="14"/>
                <w:szCs w:val="14"/>
                <w:b w:val="1"/>
                <w:bCs w:val="1"/>
                <w:color w:val="auto"/>
              </w:rPr>
              <w:t>Delaware</w:t>
            </w:r>
          </w:p>
        </w:tc>
        <w:tc>
          <w:tcPr>
            <w:tcW w:w="3700" w:type="dxa"/>
            <w:vAlign w:val="bottom"/>
          </w:tcPr>
          <w:p>
            <w:pPr>
              <w:spacing w:after="0"/>
              <w:rPr>
                <w:sz w:val="18"/>
                <w:szCs w:val="18"/>
                <w:color w:val="auto"/>
              </w:rPr>
            </w:pPr>
          </w:p>
        </w:tc>
        <w:tc>
          <w:tcPr>
            <w:tcW w:w="3600" w:type="dxa"/>
            <w:vAlign w:val="bottom"/>
          </w:tcPr>
          <w:p>
            <w:pPr>
              <w:jc w:val="right"/>
              <w:ind w:right="1471"/>
              <w:spacing w:after="0"/>
              <w:rPr>
                <w:sz w:val="20"/>
                <w:szCs w:val="20"/>
                <w:color w:val="auto"/>
              </w:rPr>
            </w:pPr>
            <w:r>
              <w:rPr>
                <w:rFonts w:ascii="Arial" w:cs="Arial" w:eastAsia="Arial" w:hAnsi="Arial"/>
                <w:sz w:val="14"/>
                <w:szCs w:val="14"/>
                <w:b w:val="1"/>
                <w:bCs w:val="1"/>
                <w:color w:val="auto"/>
              </w:rPr>
              <w:t>82-3430194</w:t>
            </w:r>
          </w:p>
        </w:tc>
      </w:tr>
      <w:tr>
        <w:trPr>
          <w:trHeight w:val="213"/>
        </w:trPr>
        <w:tc>
          <w:tcPr>
            <w:tcW w:w="3940" w:type="dxa"/>
            <w:vAlign w:val="bottom"/>
          </w:tcPr>
          <w:p>
            <w:pPr>
              <w:jc w:val="center"/>
              <w:ind w:right="51"/>
              <w:spacing w:after="0"/>
              <w:rPr>
                <w:sz w:val="20"/>
                <w:szCs w:val="20"/>
                <w:color w:val="auto"/>
              </w:rPr>
            </w:pPr>
            <w:r>
              <w:rPr>
                <w:rFonts w:ascii="Arial" w:cs="Arial" w:eastAsia="Arial" w:hAnsi="Arial"/>
                <w:sz w:val="14"/>
                <w:szCs w:val="14"/>
                <w:color w:val="auto"/>
                <w:w w:val="97"/>
              </w:rPr>
              <w:t>(State or other jurisdiction of incorporation)</w:t>
            </w:r>
          </w:p>
        </w:tc>
        <w:tc>
          <w:tcPr>
            <w:tcW w:w="3700" w:type="dxa"/>
            <w:vAlign w:val="bottom"/>
          </w:tcPr>
          <w:p>
            <w:pPr>
              <w:spacing w:after="0"/>
              <w:rPr>
                <w:sz w:val="18"/>
                <w:szCs w:val="18"/>
                <w:color w:val="auto"/>
              </w:rPr>
            </w:pPr>
          </w:p>
        </w:tc>
        <w:tc>
          <w:tcPr>
            <w:tcW w:w="3600" w:type="dxa"/>
            <w:vAlign w:val="bottom"/>
          </w:tcPr>
          <w:p>
            <w:pPr>
              <w:jc w:val="center"/>
              <w:ind w:right="131"/>
              <w:spacing w:after="0"/>
              <w:rPr>
                <w:sz w:val="20"/>
                <w:szCs w:val="20"/>
                <w:color w:val="auto"/>
              </w:rPr>
            </w:pPr>
            <w:r>
              <w:rPr>
                <w:rFonts w:ascii="Arial" w:cs="Arial" w:eastAsia="Arial" w:hAnsi="Arial"/>
                <w:sz w:val="14"/>
                <w:szCs w:val="14"/>
                <w:color w:val="auto"/>
                <w:w w:val="98"/>
              </w:rPr>
              <w:t>(I.R.S. Employer Identification No.)</w:t>
            </w:r>
          </w:p>
        </w:tc>
      </w:tr>
      <w:tr>
        <w:trPr>
          <w:trHeight w:val="341"/>
        </w:trPr>
        <w:tc>
          <w:tcPr>
            <w:tcW w:w="3940" w:type="dxa"/>
            <w:vAlign w:val="bottom"/>
          </w:tcPr>
          <w:p>
            <w:pPr>
              <w:spacing w:after="0"/>
              <w:rPr>
                <w:sz w:val="24"/>
                <w:szCs w:val="24"/>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b w:val="1"/>
                <w:bCs w:val="1"/>
                <w:color w:val="auto"/>
                <w:w w:val="97"/>
              </w:rPr>
              <w:t>6400 East McDowell Road, Suite 300</w:t>
            </w:r>
          </w:p>
        </w:tc>
        <w:tc>
          <w:tcPr>
            <w:tcW w:w="3600" w:type="dxa"/>
            <w:vAlign w:val="bottom"/>
          </w:tcPr>
          <w:p>
            <w:pPr>
              <w:spacing w:after="0"/>
              <w:rPr>
                <w:sz w:val="24"/>
                <w:szCs w:val="24"/>
                <w:color w:val="auto"/>
              </w:rPr>
            </w:pPr>
          </w:p>
        </w:tc>
      </w:tr>
      <w:tr>
        <w:trPr>
          <w:trHeight w:val="219"/>
        </w:trPr>
        <w:tc>
          <w:tcPr>
            <w:tcW w:w="3940" w:type="dxa"/>
            <w:vAlign w:val="bottom"/>
          </w:tcPr>
          <w:p>
            <w:pPr>
              <w:spacing w:after="0"/>
              <w:rPr>
                <w:sz w:val="19"/>
                <w:szCs w:val="19"/>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Scottsdale, Arizona 85257</w:t>
            </w:r>
          </w:p>
        </w:tc>
        <w:tc>
          <w:tcPr>
            <w:tcW w:w="3600" w:type="dxa"/>
            <w:vAlign w:val="bottom"/>
          </w:tcPr>
          <w:p>
            <w:pPr>
              <w:spacing w:after="0"/>
              <w:rPr>
                <w:sz w:val="19"/>
                <w:szCs w:val="19"/>
                <w:color w:val="auto"/>
              </w:rPr>
            </w:pPr>
          </w:p>
        </w:tc>
      </w:tr>
      <w:tr>
        <w:trPr>
          <w:trHeight w:val="213"/>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(Address, including zip code, of principal executive offices)</w:t>
            </w:r>
          </w:p>
        </w:tc>
        <w:tc>
          <w:tcPr>
            <w:tcW w:w="3600" w:type="dxa"/>
            <w:vAlign w:val="bottom"/>
          </w:tcPr>
          <w:p>
            <w:pPr>
              <w:spacing w:after="0"/>
              <w:rPr>
                <w:sz w:val="18"/>
                <w:szCs w:val="18"/>
                <w:color w:val="auto"/>
              </w:rPr>
            </w:pPr>
          </w:p>
        </w:tc>
      </w:tr>
      <w:tr>
        <w:trPr>
          <w:trHeight w:val="496"/>
        </w:trPr>
        <w:tc>
          <w:tcPr>
            <w:tcW w:w="3940" w:type="dxa"/>
            <w:vAlign w:val="bottom"/>
          </w:tcPr>
          <w:p>
            <w:pPr>
              <w:spacing w:after="0"/>
              <w:rPr>
                <w:sz w:val="24"/>
                <w:szCs w:val="24"/>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(480) 894-6311</w:t>
            </w:r>
          </w:p>
        </w:tc>
        <w:tc>
          <w:tcPr>
            <w:tcW w:w="3600" w:type="dxa"/>
            <w:vAlign w:val="bottom"/>
          </w:tcPr>
          <w:p>
            <w:pPr>
              <w:spacing w:after="0"/>
              <w:rPr>
                <w:sz w:val="24"/>
                <w:szCs w:val="24"/>
                <w:color w:val="auto"/>
              </w:rPr>
            </w:pPr>
          </w:p>
        </w:tc>
      </w:tr>
      <w:tr>
        <w:trPr>
          <w:trHeight w:val="213"/>
        </w:trPr>
        <w:tc>
          <w:tcPr>
            <w:tcW w:w="3940" w:type="dxa"/>
            <w:vAlign w:val="bottom"/>
          </w:tcPr>
          <w:p>
            <w:pPr>
              <w:spacing w:after="0"/>
              <w:rPr>
                <w:sz w:val="18"/>
                <w:szCs w:val="18"/>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color w:val="auto"/>
                <w:w w:val="97"/>
              </w:rPr>
              <w:t>(Registrant’s telephone number, including area code)</w:t>
            </w:r>
          </w:p>
        </w:tc>
        <w:tc>
          <w:tcPr>
            <w:tcW w:w="3600" w:type="dxa"/>
            <w:vAlign w:val="bottom"/>
          </w:tcPr>
          <w:p>
            <w:pPr>
              <w:spacing w:after="0"/>
              <w:rPr>
                <w:sz w:val="18"/>
                <w:szCs w:val="18"/>
                <w:color w:val="auto"/>
              </w:rPr>
            </w:pPr>
          </w:p>
        </w:tc>
      </w:tr>
      <w:tr>
        <w:trPr>
          <w:trHeight w:val="271"/>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(Former Name or Former Address, if Changed Since Last Report)</w:t>
            </w:r>
          </w:p>
        </w:tc>
        <w:tc>
          <w:tcPr>
            <w:tcW w:w="3600" w:type="dxa"/>
            <w:vAlign w:val="bottom"/>
          </w:tcPr>
          <w:p>
            <w:pPr>
              <w:spacing w:after="0"/>
              <w:rPr>
                <w:sz w:val="23"/>
                <w:szCs w:val="23"/>
                <w:color w:val="auto"/>
              </w:rPr>
            </w:pPr>
          </w:p>
        </w:tc>
      </w:tr>
      <w:tr>
        <w:trPr>
          <w:trHeight w:val="225"/>
        </w:trPr>
        <w:tc>
          <w:tcPr>
            <w:tcW w:w="3940" w:type="dxa"/>
            <w:vAlign w:val="bottom"/>
          </w:tcPr>
          <w:p>
            <w:pPr>
              <w:spacing w:after="0"/>
              <w:rPr>
                <w:sz w:val="19"/>
                <w:szCs w:val="19"/>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b w:val="1"/>
                <w:bCs w:val="1"/>
                <w:color w:val="auto"/>
                <w:w w:val="97"/>
              </w:rPr>
              <w:t>4646 E Van Buren St., Suite 400</w:t>
            </w:r>
          </w:p>
        </w:tc>
        <w:tc>
          <w:tcPr>
            <w:tcW w:w="3600" w:type="dxa"/>
            <w:vAlign w:val="bottom"/>
          </w:tcPr>
          <w:p>
            <w:pPr>
              <w:spacing w:after="0"/>
              <w:rPr>
                <w:sz w:val="19"/>
                <w:szCs w:val="19"/>
                <w:color w:val="auto"/>
              </w:rPr>
            </w:pPr>
          </w:p>
        </w:tc>
      </w:tr>
      <w:tr>
        <w:trPr>
          <w:trHeight w:val="219"/>
        </w:trPr>
        <w:tc>
          <w:tcPr>
            <w:tcW w:w="3940" w:type="dxa"/>
            <w:vAlign w:val="bottom"/>
          </w:tcPr>
          <w:p>
            <w:pPr>
              <w:spacing w:after="0"/>
              <w:rPr>
                <w:sz w:val="19"/>
                <w:szCs w:val="19"/>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Phoenix, Arizona 85008</w:t>
            </w:r>
          </w:p>
        </w:tc>
        <w:tc>
          <w:tcPr>
            <w:tcW w:w="3600" w:type="dxa"/>
            <w:vAlign w:val="bottom"/>
          </w:tcPr>
          <w:p>
            <w:pPr>
              <w:spacing w:after="0"/>
              <w:rPr>
                <w:sz w:val="19"/>
                <w:szCs w:val="19"/>
                <w:color w:val="auto"/>
              </w:rPr>
            </w:pPr>
          </w:p>
        </w:tc>
      </w:tr>
      <w:tr>
        <w:trPr>
          <w:trHeight w:val="484"/>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3"/>
        </w:trPr>
        <w:tc>
          <w:tcPr>
            <w:tcW w:w="3940" w:type="dxa"/>
            <w:vAlign w:val="bottom"/>
            <w:tcBorders>
              <w:bottom w:val="single" w:sz="8" w:color="auto"/>
            </w:tcBorders>
          </w:tcPr>
          <w:p>
            <w:pPr>
              <w:jc w:val="center"/>
              <w:ind w:left="1011"/>
              <w:spacing w:after="0"/>
              <w:rPr>
                <w:sz w:val="20"/>
                <w:szCs w:val="20"/>
                <w:color w:val="auto"/>
              </w:rPr>
            </w:pPr>
            <w:r>
              <w:rPr>
                <w:rFonts w:ascii="Arial" w:cs="Arial" w:eastAsia="Arial" w:hAnsi="Arial"/>
                <w:sz w:val="14"/>
                <w:szCs w:val="14"/>
                <w:b w:val="1"/>
                <w:bCs w:val="1"/>
                <w:color w:val="auto"/>
                <w:w w:val="97"/>
              </w:rPr>
              <w:t>Title of each class</w:t>
            </w:r>
          </w:p>
        </w:tc>
        <w:tc>
          <w:tcPr>
            <w:tcW w:w="370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97"/>
              </w:rPr>
              <w:t>Trading Symbol(s)</w:t>
            </w:r>
          </w:p>
        </w:tc>
        <w:tc>
          <w:tcPr>
            <w:tcW w:w="3600" w:type="dxa"/>
            <w:vAlign w:val="bottom"/>
            <w:tcBorders>
              <w:bottom w:val="single" w:sz="8" w:color="auto"/>
            </w:tcBorders>
          </w:tcPr>
          <w:p>
            <w:pPr>
              <w:jc w:val="center"/>
              <w:ind w:right="631"/>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99"/>
        </w:trPr>
        <w:tc>
          <w:tcPr>
            <w:tcW w:w="3940" w:type="dxa"/>
            <w:vAlign w:val="bottom"/>
          </w:tcPr>
          <w:p>
            <w:pPr>
              <w:jc w:val="center"/>
              <w:ind w:left="1011"/>
              <w:spacing w:after="0"/>
              <w:rPr>
                <w:sz w:val="20"/>
                <w:szCs w:val="20"/>
                <w:color w:val="auto"/>
              </w:rPr>
            </w:pPr>
            <w:r>
              <w:rPr>
                <w:rFonts w:ascii="Arial" w:cs="Arial" w:eastAsia="Arial" w:hAnsi="Arial"/>
                <w:sz w:val="14"/>
                <w:szCs w:val="14"/>
                <w:color w:val="auto"/>
                <w:w w:val="98"/>
              </w:rPr>
              <w:t>Common Stock, par value $0.0001 per share</w:t>
            </w:r>
          </w:p>
        </w:tc>
        <w:tc>
          <w:tcPr>
            <w:tcW w:w="3700" w:type="dxa"/>
            <w:vAlign w:val="bottom"/>
          </w:tcPr>
          <w:p>
            <w:pPr>
              <w:jc w:val="center"/>
              <w:ind w:left="311"/>
              <w:spacing w:after="0"/>
              <w:rPr>
                <w:sz w:val="20"/>
                <w:szCs w:val="20"/>
                <w:color w:val="auto"/>
              </w:rPr>
            </w:pPr>
            <w:r>
              <w:rPr>
                <w:rFonts w:ascii="Arial" w:cs="Arial" w:eastAsia="Arial" w:hAnsi="Arial"/>
                <w:sz w:val="14"/>
                <w:szCs w:val="14"/>
                <w:color w:val="auto"/>
                <w:w w:val="97"/>
              </w:rPr>
              <w:t>WSC</w:t>
            </w:r>
          </w:p>
        </w:tc>
        <w:tc>
          <w:tcPr>
            <w:tcW w:w="3600" w:type="dxa"/>
            <w:vAlign w:val="bottom"/>
          </w:tcPr>
          <w:p>
            <w:pPr>
              <w:jc w:val="center"/>
              <w:ind w:right="631"/>
              <w:spacing w:after="0"/>
              <w:rPr>
                <w:sz w:val="20"/>
                <w:szCs w:val="20"/>
                <w:color w:val="auto"/>
              </w:rPr>
            </w:pPr>
            <w:r>
              <w:rPr>
                <w:rFonts w:ascii="Arial" w:cs="Arial" w:eastAsia="Arial" w:hAnsi="Arial"/>
                <w:sz w:val="14"/>
                <w:szCs w:val="14"/>
                <w:color w:val="auto"/>
                <w:w w:val="97"/>
              </w:rPr>
              <w:t>The Nasdaq Capital Market</w:t>
            </w:r>
          </w:p>
        </w:tc>
      </w:tr>
    </w:tbl>
    <w:p>
      <w:pPr>
        <w:spacing w:after="0" w:line="200" w:lineRule="exact"/>
        <w:rPr>
          <w:sz w:val="24"/>
          <w:szCs w:val="24"/>
          <w:color w:val="auto"/>
        </w:rPr>
      </w:pPr>
    </w:p>
    <w:p>
      <w:pPr>
        <w:spacing w:after="0" w:line="238" w:lineRule="exact"/>
        <w:rPr>
          <w:sz w:val="24"/>
          <w:szCs w:val="24"/>
          <w:color w:val="auto"/>
        </w:rPr>
      </w:pPr>
    </w:p>
    <w:p>
      <w:pPr>
        <w:jc w:val="both"/>
        <w:ind w:firstLine="619"/>
        <w:spacing w:after="0" w:line="18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2" w:lineRule="exact"/>
        <w:rPr>
          <w:sz w:val="24"/>
          <w:szCs w:val="24"/>
          <w:color w:val="auto"/>
        </w:rPr>
      </w:pPr>
    </w:p>
    <w:p>
      <w:pPr>
        <w:jc w:val="both"/>
        <w:ind w:firstLine="619"/>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5" w:lineRule="exact"/>
        <w:rPr>
          <w:sz w:val="24"/>
          <w:szCs w:val="24"/>
          <w:color w:val="auto"/>
        </w:rPr>
      </w:pPr>
    </w:p>
    <w:p>
      <w:pPr>
        <w:jc w:val="both"/>
        <w:ind w:firstLine="619"/>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76" w:right="339" w:bottom="1440" w:gutter="0" w:footer="0" w:header="0"/>
        </w:sectPr>
      </w:pPr>
    </w:p>
    <w:p>
      <w:pPr>
        <w:spacing w:after="0" w:line="34"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384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2">
            <w:col w:w="5540" w:space="720"/>
            <w:col w:w="4980"/>
          </w:cols>
          <w:pgMar w:left="320" w:top="976" w:right="339" w:bottom="1440" w:gutter="0" w:footer="0" w:header="0"/>
          <w:type w:val="continuous"/>
        </w:sectPr>
      </w:pPr>
    </w:p>
    <w:p>
      <w:pPr>
        <w:ind w:left="6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2">
            <w:col w:w="5540" w:space="720"/>
            <w:col w:w="4980"/>
          </w:cols>
          <w:pgMar w:left="320" w:top="976" w:right="339" w:bottom="1440" w:gutter="0" w:footer="0" w:header="0"/>
          <w:type w:val="continuous"/>
        </w:sectPr>
      </w:pPr>
    </w:p>
    <w:p>
      <w:pPr>
        <w:ind w:left="62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976" w:right="339" w:bottom="1440" w:gutter="0" w:footer="0" w:header="0"/>
          <w:type w:val="continuous"/>
        </w:sectPr>
      </w:pPr>
    </w:p>
    <w:p>
      <w:pPr>
        <w:spacing w:after="0" w:line="217" w:lineRule="exact"/>
        <w:rPr>
          <w:sz w:val="24"/>
          <w:szCs w:val="24"/>
          <w:color w:val="auto"/>
        </w:rPr>
      </w:pPr>
    </w:p>
    <w:p>
      <w:pPr>
        <w:ind w:firstLine="619"/>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ind w:left="620" w:right="3600"/>
        <w:spacing w:after="0" w:line="222"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Shares of Common Stock, par value $0.0001 per share, outstanding: 181,945,689 shares at October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810895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70485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Quarterly Report on Form 10-Q</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38670" cy="262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 Financial Information</w:t>
      </w:r>
    </w:p>
    <w:p>
      <w:pPr>
        <w:spacing w:after="0" w:line="242"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Balance Sheets as of September 30, 2025 and December 31, 2024</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Operations 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376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376555"/>
                    </a:xfrm>
                    <a:prstGeom prst="rect">
                      <a:avLst/>
                    </a:prstGeom>
                    <a:noFill/>
                  </pic:spPr>
                </pic:pic>
              </a:graphicData>
            </a:graphic>
          </wp:anchor>
        </w:drawing>
      </w:r>
    </w:p>
    <w:p>
      <w:pPr>
        <w:spacing w:after="0" w:line="220" w:lineRule="exact"/>
        <w:rPr>
          <w:sz w:val="20"/>
          <w:szCs w:val="20"/>
          <w:color w:val="auto"/>
        </w:rPr>
      </w:pPr>
    </w:p>
    <w:p>
      <w:pPr>
        <w:ind w:left="1600" w:right="380"/>
        <w:spacing w:after="0" w:line="312" w:lineRule="auto"/>
        <w:rPr>
          <w:sz w:val="20"/>
          <w:szCs w:val="20"/>
          <w:color w:val="auto"/>
        </w:rPr>
      </w:pPr>
      <w:r>
        <w:rPr>
          <w:rFonts w:ascii="Arial" w:cs="Arial" w:eastAsia="Arial" w:hAnsi="Arial"/>
          <w:sz w:val="15"/>
          <w:szCs w:val="15"/>
          <w:color w:val="auto"/>
        </w:rPr>
        <w:t>Condensed Consolidated Statements of Comprehensive Income (Loss) for the Three and Nine Months Ended September 30, 2025 and 2024</w:t>
      </w:r>
    </w:p>
    <w:p>
      <w:pPr>
        <w:spacing w:after="0" w:line="145" w:lineRule="exact"/>
        <w:rPr>
          <w:sz w:val="20"/>
          <w:szCs w:val="20"/>
          <w:color w:val="auto"/>
        </w:rPr>
      </w:pPr>
    </w:p>
    <w:p>
      <w:pPr>
        <w:ind w:left="1600" w:right="840"/>
        <w:spacing w:after="0" w:line="574" w:lineRule="auto"/>
        <w:rPr>
          <w:sz w:val="20"/>
          <w:szCs w:val="20"/>
          <w:color w:val="auto"/>
        </w:rPr>
      </w:pPr>
      <w:r>
        <w:rPr>
          <w:rFonts w:ascii="Arial" w:cs="Arial" w:eastAsia="Arial" w:hAnsi="Arial"/>
          <w:sz w:val="15"/>
          <w:szCs w:val="15"/>
          <w:color w:val="auto"/>
        </w:rPr>
        <w:t>Condensed Consolidated Statements of Changes in Equity for the Three and Nine Months Ended September 30, 2025 and 2024 Condensed Consolidated Statements of Cash Flows for the Nine Months Ended September 30, 2025 and 2024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-532130</wp:posOffset>
            </wp:positionV>
            <wp:extent cx="7138670" cy="262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62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262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ind w:left="400"/>
        <w:spacing w:after="0"/>
        <w:tabs>
          <w:tab w:leader="none" w:pos="124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240"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Controls and Procedures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II Other Information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1</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Legal Proceedings</w:t>
            </w:r>
          </w:p>
        </w:tc>
      </w:tr>
      <w:tr>
        <w:trPr>
          <w:trHeight w:val="189"/>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18"/>
        </w:trPr>
        <w:tc>
          <w:tcPr>
            <w:tcW w:w="1100" w:type="dxa"/>
            <w:vAlign w:val="bottom"/>
          </w:tcPr>
          <w:p>
            <w:pPr>
              <w:ind w:left="400"/>
              <w:spacing w:after="0"/>
              <w:rPr>
                <w:sz w:val="20"/>
                <w:szCs w:val="20"/>
                <w:color w:val="auto"/>
              </w:rPr>
            </w:pPr>
            <w:r>
              <w:rPr>
                <w:rFonts w:ascii="Arial" w:cs="Arial" w:eastAsia="Arial" w:hAnsi="Arial"/>
                <w:sz w:val="15"/>
                <w:szCs w:val="15"/>
                <w:color w:val="auto"/>
              </w:rPr>
              <w:t>Item 1A</w:t>
            </w:r>
          </w:p>
        </w:tc>
        <w:tc>
          <w:tcPr>
            <w:tcW w:w="10140" w:type="dxa"/>
            <w:vAlign w:val="bottom"/>
          </w:tcPr>
          <w:p>
            <w:pPr>
              <w:ind w:left="160"/>
              <w:spacing w:after="0"/>
              <w:rPr>
                <w:sz w:val="20"/>
                <w:szCs w:val="20"/>
                <w:color w:val="auto"/>
              </w:rPr>
            </w:pPr>
            <w:r>
              <w:rPr>
                <w:rFonts w:ascii="Arial" w:cs="Arial" w:eastAsia="Arial" w:hAnsi="Arial"/>
                <w:sz w:val="15"/>
                <w:szCs w:val="15"/>
                <w:color w:val="auto"/>
              </w:rPr>
              <w:t>Risk Factors</w:t>
            </w:r>
          </w:p>
        </w:tc>
      </w:tr>
      <w:tr>
        <w:trPr>
          <w:trHeight w:val="195"/>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18"/>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2</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195"/>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18"/>
        </w:trPr>
        <w:tc>
          <w:tcPr>
            <w:tcW w:w="1100" w:type="dxa"/>
            <w:vAlign w:val="bottom"/>
          </w:tcPr>
          <w:p>
            <w:pPr>
              <w:ind w:left="400"/>
              <w:spacing w:after="0"/>
              <w:rPr>
                <w:sz w:val="20"/>
                <w:szCs w:val="20"/>
                <w:color w:val="auto"/>
              </w:rPr>
            </w:pPr>
            <w:r>
              <w:rPr>
                <w:rFonts w:ascii="Arial" w:cs="Arial" w:eastAsia="Arial" w:hAnsi="Arial"/>
                <w:sz w:val="15"/>
                <w:szCs w:val="15"/>
                <w:color w:val="auto"/>
              </w:rPr>
              <w:t>Item 3</w:t>
            </w:r>
          </w:p>
        </w:tc>
        <w:tc>
          <w:tcPr>
            <w:tcW w:w="10140" w:type="dxa"/>
            <w:vAlign w:val="bottom"/>
          </w:tcPr>
          <w:p>
            <w:pPr>
              <w:ind w:left="160"/>
              <w:spacing w:after="0"/>
              <w:rPr>
                <w:sz w:val="20"/>
                <w:szCs w:val="20"/>
                <w:color w:val="auto"/>
              </w:rPr>
            </w:pPr>
            <w:r>
              <w:rPr>
                <w:rFonts w:ascii="Arial" w:cs="Arial" w:eastAsia="Arial" w:hAnsi="Arial"/>
                <w:sz w:val="15"/>
                <w:szCs w:val="15"/>
                <w:color w:val="auto"/>
              </w:rPr>
              <w:t>Defaults Upon Senior Securities</w:t>
            </w:r>
          </w:p>
        </w:tc>
      </w:tr>
      <w:tr>
        <w:trPr>
          <w:trHeight w:val="195"/>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18"/>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4</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Mine Safety Disclosures</w:t>
            </w:r>
          </w:p>
        </w:tc>
      </w:tr>
      <w:tr>
        <w:trPr>
          <w:trHeight w:val="195"/>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18"/>
        </w:trPr>
        <w:tc>
          <w:tcPr>
            <w:tcW w:w="1100" w:type="dxa"/>
            <w:vAlign w:val="bottom"/>
          </w:tcPr>
          <w:p>
            <w:pPr>
              <w:ind w:left="400"/>
              <w:spacing w:after="0"/>
              <w:rPr>
                <w:sz w:val="20"/>
                <w:szCs w:val="20"/>
                <w:color w:val="auto"/>
              </w:rPr>
            </w:pPr>
            <w:r>
              <w:rPr>
                <w:rFonts w:ascii="Arial" w:cs="Arial" w:eastAsia="Arial" w:hAnsi="Arial"/>
                <w:sz w:val="15"/>
                <w:szCs w:val="15"/>
                <w:color w:val="auto"/>
              </w:rPr>
              <w:t>Item 5</w:t>
            </w:r>
          </w:p>
        </w:tc>
        <w:tc>
          <w:tcPr>
            <w:tcW w:w="10140" w:type="dxa"/>
            <w:vAlign w:val="bottom"/>
          </w:tcPr>
          <w:p>
            <w:pPr>
              <w:ind w:left="160"/>
              <w:spacing w:after="0"/>
              <w:rPr>
                <w:sz w:val="20"/>
                <w:szCs w:val="20"/>
                <w:color w:val="auto"/>
              </w:rPr>
            </w:pPr>
            <w:r>
              <w:rPr>
                <w:rFonts w:ascii="Arial" w:cs="Arial" w:eastAsia="Arial" w:hAnsi="Arial"/>
                <w:sz w:val="15"/>
                <w:szCs w:val="15"/>
                <w:color w:val="auto"/>
              </w:rPr>
              <w:t>Other Information</w:t>
            </w:r>
          </w:p>
        </w:tc>
      </w:tr>
      <w:tr>
        <w:trPr>
          <w:trHeight w:val="195"/>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18"/>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6</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Exhibits</w:t>
            </w:r>
          </w:p>
        </w:tc>
      </w:tr>
      <w:tr>
        <w:trPr>
          <w:trHeight w:val="195"/>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26"/>
        </w:trPr>
        <w:tc>
          <w:tcPr>
            <w:tcW w:w="1100" w:type="dxa"/>
            <w:vAlign w:val="bottom"/>
          </w:tcPr>
          <w:p>
            <w:pPr>
              <w:ind w:left="20"/>
              <w:spacing w:after="0"/>
              <w:rPr>
                <w:sz w:val="20"/>
                <w:szCs w:val="20"/>
                <w:color w:val="auto"/>
              </w:rPr>
            </w:pPr>
            <w:r>
              <w:rPr>
                <w:rFonts w:ascii="Arial" w:cs="Arial" w:eastAsia="Arial" w:hAnsi="Arial"/>
                <w:sz w:val="15"/>
                <w:szCs w:val="15"/>
                <w:b w:val="1"/>
                <w:bCs w:val="1"/>
                <w:color w:val="auto"/>
              </w:rPr>
              <w:t>SIGNATURE</w:t>
            </w:r>
          </w:p>
        </w:tc>
        <w:tc>
          <w:tcPr>
            <w:tcW w:w="101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 w:name="page3"/>
    <w:bookmarkEnd w:id="2"/>
    <w:p>
      <w:pPr>
        <w:ind w:right="4340" w:firstLine="2495"/>
        <w:spacing w:after="0" w:line="411" w:lineRule="auto"/>
        <w:rPr>
          <w:sz w:val="20"/>
          <w:szCs w:val="20"/>
          <w:color w:val="auto"/>
        </w:rPr>
      </w:pPr>
      <w:r>
        <w:rPr>
          <w:rFonts w:ascii="Arial" w:cs="Arial" w:eastAsia="Arial" w:hAnsi="Arial"/>
          <w:sz w:val="31"/>
          <w:szCs w:val="31"/>
          <w:b w:val="1"/>
          <w:bCs w:val="1"/>
          <w:color w:val="auto"/>
        </w:rPr>
        <w:t>PART I - Financial Information ITEM 1.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76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September 30, 2025</w:t>
            </w:r>
          </w:p>
        </w:tc>
        <w:tc>
          <w:tcPr>
            <w:tcW w:w="160" w:type="dxa"/>
            <w:vAlign w:val="bottom"/>
            <w:shd w:val="clear" w:color="auto" w:fill="1D2758"/>
          </w:tcPr>
          <w:p>
            <w:pPr>
              <w:spacing w:after="0"/>
              <w:rPr>
                <w:sz w:val="16"/>
                <w:szCs w:val="16"/>
                <w:color w:val="auto"/>
              </w:rPr>
            </w:pPr>
          </w:p>
        </w:tc>
        <w:tc>
          <w:tcPr>
            <w:tcW w:w="1640" w:type="dxa"/>
            <w:vAlign w:val="bottom"/>
            <w:vMerge w:val="restart"/>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December 31, 2024</w:t>
            </w:r>
          </w:p>
        </w:tc>
        <w:tc>
          <w:tcPr>
            <w:tcW w:w="0" w:type="dxa"/>
            <w:vAlign w:val="bottom"/>
          </w:tcPr>
          <w:p>
            <w:pPr>
              <w:spacing w:after="0"/>
              <w:rPr>
                <w:sz w:val="1"/>
                <w:szCs w:val="1"/>
                <w:color w:val="auto"/>
              </w:rPr>
            </w:pPr>
          </w:p>
        </w:tc>
      </w:tr>
      <w:tr>
        <w:trPr>
          <w:trHeight w:val="124"/>
        </w:trPr>
        <w:tc>
          <w:tcPr>
            <w:tcW w:w="75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amounts)</w:t>
            </w:r>
          </w:p>
        </w:tc>
        <w:tc>
          <w:tcPr>
            <w:tcW w:w="140" w:type="dxa"/>
            <w:vAlign w:val="bottom"/>
            <w:shd w:val="clear" w:color="auto" w:fill="1D2758"/>
          </w:tcPr>
          <w:p>
            <w:pPr>
              <w:spacing w:after="0"/>
              <w:rPr>
                <w:sz w:val="10"/>
                <w:szCs w:val="10"/>
                <w:color w:val="auto"/>
              </w:rPr>
            </w:pPr>
          </w:p>
        </w:tc>
        <w:tc>
          <w:tcPr>
            <w:tcW w:w="1760" w:type="dxa"/>
            <w:vAlign w:val="bottom"/>
            <w:gridSpan w:val="2"/>
            <w:vMerge w:val="restart"/>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(unaudited)</w:t>
            </w:r>
          </w:p>
        </w:tc>
        <w:tc>
          <w:tcPr>
            <w:tcW w:w="160" w:type="dxa"/>
            <w:vAlign w:val="bottom"/>
            <w:shd w:val="clear" w:color="auto" w:fill="1D2758"/>
          </w:tcPr>
          <w:p>
            <w:pPr>
              <w:spacing w:after="0"/>
              <w:rPr>
                <w:sz w:val="10"/>
                <w:szCs w:val="10"/>
                <w:color w:val="auto"/>
              </w:rPr>
            </w:pPr>
          </w:p>
        </w:tc>
        <w:tc>
          <w:tcPr>
            <w:tcW w:w="1640" w:type="dxa"/>
            <w:vAlign w:val="bottom"/>
            <w:vMerge w:val="continue"/>
            <w:shd w:val="clear" w:color="auto" w:fill="1D2758"/>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7540" w:type="dxa"/>
            <w:vAlign w:val="bottom"/>
            <w:vMerge w:val="continue"/>
            <w:shd w:val="clear" w:color="auto" w:fill="1D2758"/>
          </w:tcPr>
          <w:p>
            <w:pPr>
              <w:spacing w:after="0"/>
              <w:rPr>
                <w:sz w:val="9"/>
                <w:szCs w:val="9"/>
                <w:color w:val="auto"/>
              </w:rPr>
            </w:pPr>
          </w:p>
        </w:tc>
        <w:tc>
          <w:tcPr>
            <w:tcW w:w="140" w:type="dxa"/>
            <w:vAlign w:val="bottom"/>
            <w:shd w:val="clear" w:color="auto" w:fill="1D2758"/>
          </w:tcPr>
          <w:p>
            <w:pPr>
              <w:spacing w:after="0"/>
              <w:rPr>
                <w:sz w:val="9"/>
                <w:szCs w:val="9"/>
                <w:color w:val="auto"/>
              </w:rPr>
            </w:pPr>
          </w:p>
        </w:tc>
        <w:tc>
          <w:tcPr>
            <w:tcW w:w="1760" w:type="dxa"/>
            <w:vAlign w:val="bottom"/>
            <w:gridSpan w:val="2"/>
            <w:vMerge w:val="continue"/>
            <w:shd w:val="clear" w:color="auto" w:fill="1D2758"/>
          </w:tcPr>
          <w:p>
            <w:pPr>
              <w:spacing w:after="0"/>
              <w:rPr>
                <w:sz w:val="9"/>
                <w:szCs w:val="9"/>
                <w:color w:val="auto"/>
              </w:rPr>
            </w:pPr>
          </w:p>
        </w:tc>
        <w:tc>
          <w:tcPr>
            <w:tcW w:w="160" w:type="dxa"/>
            <w:vAlign w:val="bottom"/>
            <w:shd w:val="clear" w:color="auto" w:fill="1D2758"/>
          </w:tcPr>
          <w:p>
            <w:pPr>
              <w:spacing w:after="0"/>
              <w:rPr>
                <w:sz w:val="9"/>
                <w:szCs w:val="9"/>
                <w:color w:val="auto"/>
              </w:rPr>
            </w:pPr>
          </w:p>
        </w:tc>
        <w:tc>
          <w:tcPr>
            <w:tcW w:w="164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DDDDD"/>
          </w:tcPr>
          <w:p>
            <w:pPr>
              <w:ind w:left="20"/>
              <w:spacing w:after="0"/>
              <w:rPr>
                <w:sz w:val="20"/>
                <w:szCs w:val="20"/>
                <w:color w:val="auto"/>
              </w:rPr>
            </w:pPr>
            <w:r>
              <w:rPr>
                <w:rFonts w:ascii="Arial" w:cs="Arial" w:eastAsia="Arial" w:hAnsi="Arial"/>
                <w:sz w:val="15"/>
                <w:szCs w:val="15"/>
                <w:color w:val="auto"/>
              </w:rPr>
              <w:t>Assets</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14,757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9,001</w:t>
            </w:r>
          </w:p>
        </w:tc>
        <w:tc>
          <w:tcPr>
            <w:tcW w:w="0" w:type="dxa"/>
            <w:vAlign w:val="bottom"/>
          </w:tcPr>
          <w:p>
            <w:pPr>
              <w:spacing w:after="0"/>
              <w:rPr>
                <w:sz w:val="1"/>
                <w:szCs w:val="1"/>
                <w:color w:val="auto"/>
              </w:rPr>
            </w:pPr>
          </w:p>
        </w:tc>
      </w:tr>
      <w:tr>
        <w:trPr>
          <w:trHeight w:val="201"/>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Trade receivables, net of allowances for credit losses at September 30, 2025 and December 31, 2024 of</w:t>
            </w:r>
          </w:p>
        </w:tc>
        <w:tc>
          <w:tcPr>
            <w:tcW w:w="140" w:type="dxa"/>
            <w:vAlign w:val="bottom"/>
            <w:shd w:val="clear" w:color="auto" w:fill="DDDDDD"/>
          </w:tcPr>
          <w:p>
            <w:pPr>
              <w:spacing w:after="0"/>
              <w:rPr>
                <w:sz w:val="17"/>
                <w:szCs w:val="17"/>
                <w:color w:val="auto"/>
              </w:rPr>
            </w:pPr>
          </w:p>
        </w:tc>
        <w:tc>
          <w:tcPr>
            <w:tcW w:w="16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6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$74,325 and $101,693, respectively</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403,679</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430,381</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43,452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47,473</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57,298</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67,751</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Assets held for sale</w:t>
            </w: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1,159</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2,904</w:t>
            </w:r>
          </w:p>
        </w:tc>
        <w:tc>
          <w:tcPr>
            <w:tcW w:w="0" w:type="dxa"/>
            <w:vAlign w:val="bottom"/>
          </w:tcPr>
          <w:p>
            <w:pPr>
              <w:spacing w:after="0"/>
              <w:rPr>
                <w:sz w:val="1"/>
                <w:szCs w:val="1"/>
                <w:color w:val="auto"/>
              </w:rPr>
            </w:pPr>
          </w:p>
        </w:tc>
      </w:tr>
      <w:tr>
        <w:trPr>
          <w:trHeight w:val="232"/>
        </w:trPr>
        <w:tc>
          <w:tcPr>
            <w:tcW w:w="754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current assets</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520,345</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557,510</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3,412,440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3,377,939</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Property, plant and equipment, net</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374,052</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363,073</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292,557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266,761</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Goodwill</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1,257,006</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1,201,353</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235,261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251,164</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assets</w:t>
            </w:r>
          </w:p>
        </w:tc>
        <w:tc>
          <w:tcPr>
            <w:tcW w:w="140" w:type="dxa"/>
            <w:vAlign w:val="bottom"/>
            <w:tcBorders>
              <w:bottom w:val="single" w:sz="8" w:color="auto"/>
            </w:tcBorders>
            <w:shd w:val="clear" w:color="auto" w:fill="DDDDDD"/>
          </w:tcPr>
          <w:p>
            <w:pPr>
              <w:spacing w:after="0"/>
              <w:rPr>
                <w:sz w:val="20"/>
                <w:szCs w:val="20"/>
                <w:color w:val="auto"/>
              </w:rPr>
            </w:pPr>
          </w:p>
        </w:tc>
        <w:tc>
          <w:tcPr>
            <w:tcW w:w="1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13,008</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17,111</w:t>
            </w:r>
          </w:p>
        </w:tc>
        <w:tc>
          <w:tcPr>
            <w:tcW w:w="0" w:type="dxa"/>
            <w:vAlign w:val="bottom"/>
          </w:tcPr>
          <w:p>
            <w:pPr>
              <w:spacing w:after="0"/>
              <w:rPr>
                <w:sz w:val="1"/>
                <w:szCs w:val="1"/>
                <w:color w:val="auto"/>
              </w:rPr>
            </w:pPr>
          </w:p>
        </w:tc>
      </w:tr>
      <w:tr>
        <w:trPr>
          <w:trHeight w:val="218"/>
        </w:trPr>
        <w:tc>
          <w:tcPr>
            <w:tcW w:w="7540" w:type="dxa"/>
            <w:vAlign w:val="bottom"/>
            <w:tcBorders>
              <w:bottom w:val="single" w:sz="8" w:color="DDDDDD"/>
            </w:tcBorders>
          </w:tcPr>
          <w:p>
            <w:pPr>
              <w:ind w:left="440"/>
              <w:spacing w:after="0"/>
              <w:rPr>
                <w:sz w:val="20"/>
                <w:szCs w:val="20"/>
                <w:color w:val="auto"/>
              </w:rPr>
            </w:pPr>
            <w:r>
              <w:rPr>
                <w:rFonts w:ascii="Arial" w:cs="Arial" w:eastAsia="Arial" w:hAnsi="Arial"/>
                <w:sz w:val="15"/>
                <w:szCs w:val="15"/>
                <w:color w:val="auto"/>
              </w:rPr>
              <w:t>Total long-term assets</w:t>
            </w: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5,584,324</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5,477,401</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Total assets</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6,104,669</w:t>
            </w:r>
          </w:p>
        </w:tc>
        <w:tc>
          <w:tcPr>
            <w:tcW w:w="10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6,034,911</w:t>
            </w:r>
          </w:p>
        </w:tc>
        <w:tc>
          <w:tcPr>
            <w:tcW w:w="0" w:type="dxa"/>
            <w:vAlign w:val="bottom"/>
          </w:tcPr>
          <w:p>
            <w:pPr>
              <w:spacing w:after="0"/>
              <w:rPr>
                <w:sz w:val="1"/>
                <w:szCs w:val="1"/>
                <w:color w:val="auto"/>
              </w:rPr>
            </w:pPr>
          </w:p>
        </w:tc>
      </w:tr>
      <w:tr>
        <w:trPr>
          <w:trHeight w:val="20"/>
        </w:trPr>
        <w:tc>
          <w:tcPr>
            <w:tcW w:w="754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5"/>
                <w:szCs w:val="15"/>
                <w:color w:val="auto"/>
              </w:rPr>
              <w:t>Liabilities and equity</w:t>
            </w: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6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6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Accounts payable</w:t>
            </w: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108,800</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96,597</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Accrued expenses</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171,082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121,583</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Accrued employee benefits</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32,865</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25,062</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248,302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250,790</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Operating lease liabilities – current</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71,333</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66,378</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Current portion of long-term debt</w:t>
            </w: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27,437</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24,598</w:t>
            </w:r>
          </w:p>
        </w:tc>
        <w:tc>
          <w:tcPr>
            <w:tcW w:w="0" w:type="dxa"/>
            <w:vAlign w:val="bottom"/>
          </w:tcPr>
          <w:p>
            <w:pPr>
              <w:spacing w:after="0"/>
              <w:rPr>
                <w:sz w:val="1"/>
                <w:szCs w:val="1"/>
                <w:color w:val="auto"/>
              </w:rPr>
            </w:pPr>
          </w:p>
        </w:tc>
      </w:tr>
      <w:tr>
        <w:trPr>
          <w:trHeight w:val="232"/>
        </w:trPr>
        <w:tc>
          <w:tcPr>
            <w:tcW w:w="754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659,819</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585,008</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3,590,015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3,683,502</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Deferred tax liabilities</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526,884</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505,913</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221,409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200,875</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liabilities</w:t>
            </w:r>
          </w:p>
        </w:tc>
        <w:tc>
          <w:tcPr>
            <w:tcW w:w="140" w:type="dxa"/>
            <w:vAlign w:val="bottom"/>
            <w:tcBorders>
              <w:bottom w:val="single" w:sz="8" w:color="auto"/>
            </w:tcBorders>
            <w:shd w:val="clear" w:color="auto" w:fill="DDDDDD"/>
          </w:tcPr>
          <w:p>
            <w:pPr>
              <w:spacing w:after="0"/>
              <w:rPr>
                <w:sz w:val="20"/>
                <w:szCs w:val="20"/>
                <w:color w:val="auto"/>
              </w:rPr>
            </w:pPr>
          </w:p>
        </w:tc>
        <w:tc>
          <w:tcPr>
            <w:tcW w:w="1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46,472</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41,020</w:t>
            </w:r>
          </w:p>
        </w:tc>
        <w:tc>
          <w:tcPr>
            <w:tcW w:w="0" w:type="dxa"/>
            <w:vAlign w:val="bottom"/>
          </w:tcPr>
          <w:p>
            <w:pPr>
              <w:spacing w:after="0"/>
              <w:rPr>
                <w:sz w:val="1"/>
                <w:szCs w:val="1"/>
                <w:color w:val="auto"/>
              </w:rPr>
            </w:pPr>
          </w:p>
        </w:tc>
      </w:tr>
      <w:tr>
        <w:trPr>
          <w:trHeight w:val="218"/>
        </w:trPr>
        <w:tc>
          <w:tcPr>
            <w:tcW w:w="7540" w:type="dxa"/>
            <w:vAlign w:val="bottom"/>
            <w:tcBorders>
              <w:bottom w:val="single" w:sz="8" w:color="DDDDDD"/>
            </w:tcBorders>
          </w:tcPr>
          <w:p>
            <w:pPr>
              <w:ind w:left="440"/>
              <w:spacing w:after="0"/>
              <w:rPr>
                <w:sz w:val="20"/>
                <w:szCs w:val="20"/>
                <w:color w:val="auto"/>
              </w:rPr>
            </w:pPr>
            <w:r>
              <w:rPr>
                <w:rFonts w:ascii="Arial" w:cs="Arial" w:eastAsia="Arial" w:hAnsi="Arial"/>
                <w:sz w:val="15"/>
                <w:szCs w:val="15"/>
                <w:color w:val="auto"/>
              </w:rPr>
              <w:t>Long-term liabilities</w:t>
            </w: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4,384,780</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4,431,310</w:t>
            </w:r>
          </w:p>
        </w:tc>
        <w:tc>
          <w:tcPr>
            <w:tcW w:w="0" w:type="dxa"/>
            <w:vAlign w:val="bottom"/>
          </w:tcPr>
          <w:p>
            <w:pPr>
              <w:spacing w:after="0"/>
              <w:rPr>
                <w:sz w:val="1"/>
                <w:szCs w:val="1"/>
                <w:color w:val="auto"/>
              </w:rPr>
            </w:pPr>
          </w:p>
        </w:tc>
      </w:tr>
      <w:tr>
        <w:trPr>
          <w:trHeight w:val="232"/>
        </w:trPr>
        <w:tc>
          <w:tcPr>
            <w:tcW w:w="7540" w:type="dxa"/>
            <w:vAlign w:val="bottom"/>
            <w:shd w:val="clear" w:color="auto" w:fill="DDDDDD"/>
          </w:tcPr>
          <w:p>
            <w:pPr>
              <w:ind w:left="20"/>
              <w:spacing w:after="0"/>
              <w:rPr>
                <w:sz w:val="20"/>
                <w:szCs w:val="20"/>
                <w:color w:val="auto"/>
              </w:rPr>
            </w:pPr>
            <w:r>
              <w:rPr>
                <w:rFonts w:ascii="Arial" w:cs="Arial" w:eastAsia="Arial" w:hAnsi="Arial"/>
                <w:sz w:val="15"/>
                <w:szCs w:val="15"/>
                <w:color w:val="auto"/>
              </w:rPr>
              <w:t>Total liabilities</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5,044,599</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5,016,318</w:t>
            </w:r>
          </w:p>
        </w:tc>
        <w:tc>
          <w:tcPr>
            <w:tcW w:w="0" w:type="dxa"/>
            <w:vAlign w:val="bottom"/>
          </w:tcPr>
          <w:p>
            <w:pPr>
              <w:spacing w:after="0"/>
              <w:rPr>
                <w:sz w:val="1"/>
                <w:szCs w:val="1"/>
                <w:color w:val="auto"/>
              </w:rPr>
            </w:pPr>
          </w:p>
        </w:tc>
      </w:tr>
      <w:tr>
        <w:trPr>
          <w:trHeight w:val="194"/>
        </w:trPr>
        <w:tc>
          <w:tcPr>
            <w:tcW w:w="7540" w:type="dxa"/>
            <w:vAlign w:val="bottom"/>
          </w:tcPr>
          <w:p>
            <w:pPr>
              <w:ind w:left="220"/>
              <w:spacing w:after="0"/>
              <w:rPr>
                <w:sz w:val="20"/>
                <w:szCs w:val="20"/>
                <w:color w:val="auto"/>
              </w:rPr>
            </w:pPr>
            <w:r>
              <w:rPr>
                <w:rFonts w:ascii="Arial" w:cs="Arial" w:eastAsia="Arial" w:hAnsi="Arial"/>
                <w:sz w:val="15"/>
                <w:szCs w:val="15"/>
                <w:color w:val="auto"/>
              </w:rPr>
              <w:t>Preferred Stock: $0.0001 par, 1,000,000 shares authorized and zero shares issued and outstanding at</w:t>
            </w: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40" w:type="dxa"/>
            <w:vAlign w:val="bottom"/>
          </w:tcPr>
          <w:p>
            <w:pPr>
              <w:ind w:left="220"/>
              <w:spacing w:after="0"/>
              <w:rPr>
                <w:sz w:val="20"/>
                <w:szCs w:val="20"/>
                <w:color w:val="auto"/>
              </w:rPr>
            </w:pPr>
            <w:r>
              <w:rPr>
                <w:rFonts w:ascii="Arial" w:cs="Arial" w:eastAsia="Arial" w:hAnsi="Arial"/>
                <w:sz w:val="15"/>
                <w:szCs w:val="15"/>
                <w:color w:val="auto"/>
              </w:rPr>
              <w:t>September 30, 2025 and December 31, 2024</w:t>
            </w: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Common Stock: $0.0001 par, 500,000,000 shares authorized and 181,941,675 and 183,564,899 shares</w:t>
            </w:r>
          </w:p>
        </w:tc>
        <w:tc>
          <w:tcPr>
            <w:tcW w:w="140" w:type="dxa"/>
            <w:vAlign w:val="bottom"/>
            <w:shd w:val="clear" w:color="auto" w:fill="DDDDDD"/>
          </w:tcPr>
          <w:p>
            <w:pPr>
              <w:spacing w:after="0"/>
              <w:rPr>
                <w:sz w:val="17"/>
                <w:szCs w:val="17"/>
                <w:color w:val="auto"/>
              </w:rPr>
            </w:pPr>
          </w:p>
        </w:tc>
        <w:tc>
          <w:tcPr>
            <w:tcW w:w="16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6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issued and outstanding at September 30, 2025 and December 31, 2024, respectively</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Additional paid-in-capital</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1,745,472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1,836,165</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Accumulated other comprehensive loss</w:t>
            </w:r>
          </w:p>
        </w:tc>
        <w:tc>
          <w:tcPr>
            <w:tcW w:w="140" w:type="dxa"/>
            <w:vAlign w:val="bottom"/>
            <w:shd w:val="clear" w:color="auto" w:fill="DDDDDD"/>
          </w:tcPr>
          <w:p>
            <w:pPr>
              <w:spacing w:after="0"/>
              <w:rPr>
                <w:sz w:val="20"/>
                <w:szCs w:val="20"/>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(72,783)</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(70,627)</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Accumulated deficit</w:t>
            </w: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(612,638)</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(746,964)</w:t>
            </w:r>
          </w:p>
        </w:tc>
        <w:tc>
          <w:tcPr>
            <w:tcW w:w="0" w:type="dxa"/>
            <w:vAlign w:val="bottom"/>
          </w:tcPr>
          <w:p>
            <w:pPr>
              <w:spacing w:after="0"/>
              <w:rPr>
                <w:sz w:val="1"/>
                <w:szCs w:val="1"/>
                <w:color w:val="auto"/>
              </w:rPr>
            </w:pPr>
          </w:p>
        </w:tc>
      </w:tr>
      <w:tr>
        <w:trPr>
          <w:trHeight w:val="232"/>
        </w:trPr>
        <w:tc>
          <w:tcPr>
            <w:tcW w:w="7540" w:type="dxa"/>
            <w:vAlign w:val="bottom"/>
            <w:shd w:val="clear" w:color="auto" w:fill="DDDDDD"/>
          </w:tcPr>
          <w:p>
            <w:pPr>
              <w:ind w:left="20"/>
              <w:spacing w:after="0"/>
              <w:rPr>
                <w:sz w:val="20"/>
                <w:szCs w:val="20"/>
                <w:color w:val="auto"/>
              </w:rPr>
            </w:pPr>
            <w:r>
              <w:rPr>
                <w:rFonts w:ascii="Arial" w:cs="Arial" w:eastAsia="Arial" w:hAnsi="Arial"/>
                <w:sz w:val="15"/>
                <w:szCs w:val="15"/>
                <w:color w:val="auto"/>
              </w:rPr>
              <w:t>Total shareholders' equity</w:t>
            </w:r>
          </w:p>
        </w:tc>
        <w:tc>
          <w:tcPr>
            <w:tcW w:w="140" w:type="dxa"/>
            <w:vAlign w:val="bottom"/>
            <w:tcBorders>
              <w:bottom w:val="single" w:sz="8" w:color="auto"/>
            </w:tcBorders>
            <w:shd w:val="clear" w:color="auto" w:fill="DDDDDD"/>
          </w:tcPr>
          <w:p>
            <w:pPr>
              <w:spacing w:after="0"/>
              <w:rPr>
                <w:sz w:val="20"/>
                <w:szCs w:val="20"/>
                <w:color w:val="auto"/>
              </w:rPr>
            </w:pPr>
          </w:p>
        </w:tc>
        <w:tc>
          <w:tcPr>
            <w:tcW w:w="1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1,060,070</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1,018,593</w:t>
            </w:r>
          </w:p>
        </w:tc>
        <w:tc>
          <w:tcPr>
            <w:tcW w:w="0" w:type="dxa"/>
            <w:vAlign w:val="bottom"/>
          </w:tcPr>
          <w:p>
            <w:pPr>
              <w:spacing w:after="0"/>
              <w:rPr>
                <w:sz w:val="1"/>
                <w:szCs w:val="1"/>
                <w:color w:val="auto"/>
              </w:rPr>
            </w:pPr>
          </w:p>
        </w:tc>
      </w:tr>
      <w:tr>
        <w:trPr>
          <w:trHeight w:val="218"/>
        </w:trPr>
        <w:tc>
          <w:tcPr>
            <w:tcW w:w="7540" w:type="dxa"/>
            <w:vAlign w:val="bottom"/>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6,104,669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6,034,911</w:t>
            </w:r>
          </w:p>
        </w:tc>
        <w:tc>
          <w:tcPr>
            <w:tcW w:w="0" w:type="dxa"/>
            <w:vAlign w:val="bottom"/>
          </w:tcPr>
          <w:p>
            <w:pPr>
              <w:spacing w:after="0"/>
              <w:rPr>
                <w:sz w:val="1"/>
                <w:szCs w:val="1"/>
                <w:color w:val="auto"/>
              </w:rPr>
            </w:pPr>
          </w:p>
        </w:tc>
      </w:tr>
      <w:tr>
        <w:trPr>
          <w:trHeight w:val="26"/>
        </w:trPr>
        <w:tc>
          <w:tcPr>
            <w:tcW w:w="7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3" w:name="page4"/>
    <w:bookmarkEnd w:id="3"/>
    <w:p>
      <w:pPr>
        <w:ind w:left="4440"/>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ind w:left="2460"/>
        <w:spacing w:after="0"/>
        <w:rPr>
          <w:sz w:val="20"/>
          <w:szCs w:val="20"/>
          <w:color w:val="auto"/>
        </w:rPr>
      </w:pPr>
      <w:r>
        <w:rPr>
          <w:rFonts w:ascii="Arial" w:cs="Arial" w:eastAsia="Arial" w:hAnsi="Arial"/>
          <w:sz w:val="22"/>
          <w:szCs w:val="22"/>
          <w:color w:val="1D2758"/>
        </w:rPr>
        <w:t>Condensed Consolidated Statements of Operations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6"/>
                <w:szCs w:val="16"/>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14"/>
        </w:trPr>
        <w:tc>
          <w:tcPr>
            <w:tcW w:w="47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8"/>
                <w:szCs w:val="18"/>
                <w:color w:val="auto"/>
              </w:rPr>
            </w:pPr>
          </w:p>
        </w:tc>
      </w:tr>
      <w:tr>
        <w:trPr>
          <w:trHeight w:val="251"/>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and per share amounts)</w:t>
            </w:r>
          </w:p>
        </w:tc>
        <w:tc>
          <w:tcPr>
            <w:tcW w:w="360" w:type="dxa"/>
            <w:vAlign w:val="bottom"/>
            <w:shd w:val="clear" w:color="auto" w:fill="1D2758"/>
          </w:tcPr>
          <w:p>
            <w:pPr>
              <w:spacing w:after="0"/>
              <w:rPr>
                <w:sz w:val="21"/>
                <w:szCs w:val="21"/>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560" w:type="dxa"/>
            <w:vAlign w:val="bottom"/>
            <w:shd w:val="clear" w:color="auto" w:fill="1D2758"/>
          </w:tcPr>
          <w:p>
            <w:pPr>
              <w:spacing w:after="0"/>
              <w:rPr>
                <w:sz w:val="21"/>
                <w:szCs w:val="21"/>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1"/>
                <w:szCs w:val="21"/>
                <w:color w:val="auto"/>
              </w:rPr>
            </w:pPr>
          </w:p>
        </w:tc>
        <w:tc>
          <w:tcPr>
            <w:tcW w:w="360" w:type="dxa"/>
            <w:vAlign w:val="bottom"/>
            <w:shd w:val="clear" w:color="auto" w:fill="1D2758"/>
          </w:tcPr>
          <w:p>
            <w:pPr>
              <w:spacing w:after="0"/>
              <w:rPr>
                <w:sz w:val="21"/>
                <w:szCs w:val="21"/>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560" w:type="dxa"/>
            <w:vAlign w:val="bottom"/>
            <w:shd w:val="clear" w:color="auto" w:fill="1D2758"/>
          </w:tcPr>
          <w:p>
            <w:pPr>
              <w:spacing w:after="0"/>
              <w:rPr>
                <w:sz w:val="21"/>
                <w:szCs w:val="21"/>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47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434,224</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455,578</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1,311,530</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1,374,771</w:t>
            </w:r>
          </w:p>
        </w:tc>
      </w:tr>
      <w:tr>
        <w:trPr>
          <w:trHeight w:val="225"/>
        </w:trPr>
        <w:tc>
          <w:tcPr>
            <w:tcW w:w="47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98,517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114,765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295,630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323,274</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r>
      <w:tr>
        <w:trPr>
          <w:trHeight w:val="225"/>
        </w:trPr>
        <w:tc>
          <w:tcPr>
            <w:tcW w:w="47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18,370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62,427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52,727</w:t>
            </w:r>
          </w:p>
        </w:tc>
      </w:tr>
      <w:tr>
        <w:trPr>
          <w:trHeight w:val="232"/>
        </w:trPr>
        <w:tc>
          <w:tcPr>
            <w:tcW w:w="47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15,730</w:t>
            </w:r>
          </w:p>
        </w:tc>
        <w:tc>
          <w:tcPr>
            <w:tcW w:w="80" w:type="dxa"/>
            <w:vAlign w:val="bottom"/>
            <w:shd w:val="clear" w:color="auto" w:fill="DBDBDB"/>
          </w:tcPr>
          <w:p>
            <w:pPr>
              <w:spacing w:after="0"/>
              <w:rPr>
                <w:sz w:val="20"/>
                <w:szCs w:val="20"/>
                <w:color w:val="auto"/>
              </w:rPr>
            </w:pPr>
          </w:p>
        </w:tc>
        <w:tc>
          <w:tcPr>
            <w:tcW w:w="560" w:type="dxa"/>
            <w:vAlign w:val="bottom"/>
            <w:tcBorders>
              <w:bottom w:val="single" w:sz="8" w:color="auto"/>
            </w:tcBorders>
            <w:shd w:val="clear" w:color="auto" w:fill="DBDBDB"/>
          </w:tcPr>
          <w:p>
            <w:pPr>
              <w:spacing w:after="0"/>
              <w:rPr>
                <w:sz w:val="20"/>
                <w:szCs w:val="20"/>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13,239</w:t>
            </w: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45,888</w:t>
            </w:r>
          </w:p>
        </w:tc>
        <w:tc>
          <w:tcPr>
            <w:tcW w:w="80" w:type="dxa"/>
            <w:vAlign w:val="bottom"/>
            <w:shd w:val="clear" w:color="auto" w:fill="DBDBDB"/>
          </w:tcPr>
          <w:p>
            <w:pPr>
              <w:spacing w:after="0"/>
              <w:rPr>
                <w:sz w:val="20"/>
                <w:szCs w:val="20"/>
                <w:color w:val="auto"/>
              </w:rPr>
            </w:pPr>
          </w:p>
        </w:tc>
        <w:tc>
          <w:tcPr>
            <w:tcW w:w="560" w:type="dxa"/>
            <w:vAlign w:val="bottom"/>
            <w:tcBorders>
              <w:bottom w:val="single" w:sz="8" w:color="auto"/>
            </w:tcBorders>
            <w:shd w:val="clear" w:color="auto" w:fill="DBDBDB"/>
          </w:tcPr>
          <w:p>
            <w:pPr>
              <w:spacing w:after="0"/>
              <w:rPr>
                <w:sz w:val="20"/>
                <w:szCs w:val="20"/>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42,431</w:t>
            </w:r>
          </w:p>
        </w:tc>
      </w:tr>
      <w:tr>
        <w:trPr>
          <w:trHeight w:val="225"/>
        </w:trPr>
        <w:tc>
          <w:tcPr>
            <w:tcW w:w="47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566,841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601,432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1,715,475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1,793,203</w:t>
            </w: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47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97,551</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96,050</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280,959</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296,692</w:t>
            </w:r>
          </w:p>
        </w:tc>
      </w:tr>
      <w:tr>
        <w:trPr>
          <w:trHeight w:val="225"/>
        </w:trPr>
        <w:tc>
          <w:tcPr>
            <w:tcW w:w="47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82,058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91,775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244,008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250,787</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r>
      <w:tr>
        <w:trPr>
          <w:trHeight w:val="225"/>
        </w:trPr>
        <w:tc>
          <w:tcPr>
            <w:tcW w:w="47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13,806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42,556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31,296</w:t>
            </w:r>
          </w:p>
        </w:tc>
      </w:tr>
      <w:tr>
        <w:trPr>
          <w:trHeight w:val="239"/>
        </w:trPr>
        <w:tc>
          <w:tcPr>
            <w:tcW w:w="47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8,174</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6,246</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23,868</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22,207</w:t>
            </w:r>
          </w:p>
        </w:tc>
      </w:tr>
      <w:tr>
        <w:trPr>
          <w:trHeight w:val="225"/>
        </w:trPr>
        <w:tc>
          <w:tcPr>
            <w:tcW w:w="47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83,634</w:t>
            </w:r>
          </w:p>
        </w:tc>
        <w:tc>
          <w:tcPr>
            <w:tcW w:w="8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76,212</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246,030</w:t>
            </w:r>
          </w:p>
        </w:tc>
        <w:tc>
          <w:tcPr>
            <w:tcW w:w="8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226,731</w:t>
            </w:r>
          </w:p>
        </w:tc>
      </w:tr>
      <w:tr>
        <w:trPr>
          <w:trHeight w:val="232"/>
        </w:trPr>
        <w:tc>
          <w:tcPr>
            <w:tcW w:w="47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281,618</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321,484</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878,054</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965,490</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137,699</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153,343</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439,868</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502,450</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24,424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71,752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59,163</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Termination fee</w:t>
            </w:r>
          </w:p>
        </w:tc>
        <w:tc>
          <w:tcPr>
            <w:tcW w:w="360" w:type="dxa"/>
            <w:vAlign w:val="bottom"/>
            <w:shd w:val="clear" w:color="auto" w:fill="DBDBDB"/>
          </w:tcPr>
          <w:p>
            <w:pPr>
              <w:spacing w:after="0"/>
              <w:rPr>
                <w:sz w:val="20"/>
                <w:szCs w:val="20"/>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Impairment loss on intangible asset</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132,540</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(gains), net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100</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244</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w:t>
            </w:r>
          </w:p>
        </w:tc>
      </w:tr>
      <w:tr>
        <w:trPr>
          <w:trHeight w:val="225"/>
        </w:trPr>
        <w:tc>
          <w:tcPr>
            <w:tcW w:w="47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589</w:t>
            </w:r>
          </w:p>
        </w:tc>
        <w:tc>
          <w:tcPr>
            <w:tcW w:w="8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1,050</w:t>
            </w:r>
          </w:p>
        </w:tc>
        <w:tc>
          <w:tcPr>
            <w:tcW w:w="8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1,935</w:t>
            </w:r>
          </w:p>
        </w:tc>
      </w:tr>
      <w:tr>
        <w:trPr>
          <w:trHeight w:val="232"/>
        </w:trPr>
        <w:tc>
          <w:tcPr>
            <w:tcW w:w="47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 (loss)</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118,806</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(35,218)</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365,140</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89,496</w:t>
            </w:r>
          </w:p>
        </w:tc>
      </w:tr>
      <w:tr>
        <w:trPr>
          <w:trHeight w:val="225"/>
        </w:trPr>
        <w:tc>
          <w:tcPr>
            <w:tcW w:w="47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58,466</w:t>
            </w:r>
          </w:p>
        </w:tc>
        <w:tc>
          <w:tcPr>
            <w:tcW w:w="8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55,823</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175,912</w:t>
            </w:r>
          </w:p>
        </w:tc>
        <w:tc>
          <w:tcPr>
            <w:tcW w:w="8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167,959</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(loss) before income tax</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60,340</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(91,041)</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189,228</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(78,463)</w:t>
            </w:r>
          </w:p>
        </w:tc>
      </w:tr>
      <w:tr>
        <w:trPr>
          <w:trHeight w:val="225"/>
        </w:trPr>
        <w:tc>
          <w:tcPr>
            <w:tcW w:w="47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17,008</w:t>
            </w:r>
          </w:p>
        </w:tc>
        <w:tc>
          <w:tcPr>
            <w:tcW w:w="8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(20,566)</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54,902</w:t>
            </w:r>
          </w:p>
        </w:tc>
        <w:tc>
          <w:tcPr>
            <w:tcW w:w="8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(17,377)</w:t>
            </w:r>
          </w:p>
        </w:tc>
      </w:tr>
      <w:tr>
        <w:trPr>
          <w:trHeight w:val="257"/>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 (loss)</w:t>
            </w: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43,332</w:t>
            </w:r>
          </w:p>
        </w:tc>
        <w:tc>
          <w:tcPr>
            <w:tcW w:w="8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auto"/>
            </w:tcBorders>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(70,475)</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134,326</w:t>
            </w:r>
          </w:p>
        </w:tc>
        <w:tc>
          <w:tcPr>
            <w:tcW w:w="8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auto"/>
            </w:tcBorders>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(61,086)</w:t>
            </w: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r>
        <w:trPr>
          <w:trHeight w:val="191"/>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(loss) per share:</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Basic</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0.24</w:t>
            </w:r>
          </w:p>
        </w:tc>
        <w:tc>
          <w:tcPr>
            <w:tcW w:w="80" w:type="dxa"/>
            <w:vAlign w:val="bottom"/>
          </w:tcPr>
          <w:p>
            <w:pPr>
              <w:spacing w:after="0"/>
              <w:rPr>
                <w:sz w:val="19"/>
                <w:szCs w:val="19"/>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(0.37)</w:t>
            </w:r>
          </w:p>
        </w:tc>
        <w:tc>
          <w:tcPr>
            <w:tcW w:w="10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0.74</w:t>
            </w:r>
          </w:p>
        </w:tc>
        <w:tc>
          <w:tcPr>
            <w:tcW w:w="80" w:type="dxa"/>
            <w:vAlign w:val="bottom"/>
          </w:tcPr>
          <w:p>
            <w:pPr>
              <w:spacing w:after="0"/>
              <w:rPr>
                <w:sz w:val="19"/>
                <w:szCs w:val="19"/>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(0.32)</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Diluted</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0.24</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(0.37)</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0.73</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(0.32)</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Weighted average shares outstanding: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Basic</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182,003,961</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188,281,346</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182,711,448</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189,362,364</w:t>
            </w:r>
          </w:p>
        </w:tc>
      </w:tr>
      <w:tr>
        <w:trPr>
          <w:trHeight w:val="218"/>
        </w:trPr>
        <w:tc>
          <w:tcPr>
            <w:tcW w:w="4740" w:type="dxa"/>
            <w:vAlign w:val="bottom"/>
          </w:tcPr>
          <w:p>
            <w:pPr>
              <w:ind w:left="220"/>
              <w:spacing w:after="0"/>
              <w:rPr>
                <w:sz w:val="20"/>
                <w:szCs w:val="20"/>
                <w:color w:val="auto"/>
              </w:rPr>
            </w:pPr>
            <w:r>
              <w:rPr>
                <w:rFonts w:ascii="Arial" w:cs="Arial" w:eastAsia="Arial" w:hAnsi="Arial"/>
                <w:sz w:val="15"/>
                <w:szCs w:val="15"/>
                <w:color w:val="auto"/>
              </w:rPr>
              <w:t>Diluted</w:t>
            </w:r>
          </w:p>
        </w:tc>
        <w:tc>
          <w:tcPr>
            <w:tcW w:w="36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182,772,186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188,281,346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183,831,571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189,362,364</w:t>
            </w: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Comprehensive Income (Loss)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shd w:val="clear" w:color="auto" w:fill="1D2758"/>
          </w:tcPr>
          <w:p>
            <w:pPr>
              <w:spacing w:after="0"/>
              <w:rPr>
                <w:sz w:val="16"/>
                <w:szCs w:val="16"/>
                <w:color w:val="auto"/>
              </w:rPr>
            </w:pPr>
          </w:p>
        </w:tc>
        <w:tc>
          <w:tcPr>
            <w:tcW w:w="280" w:type="dxa"/>
            <w:vAlign w:val="bottom"/>
            <w:shd w:val="clear" w:color="auto" w:fill="1D2758"/>
          </w:tcPr>
          <w:p>
            <w:pPr>
              <w:spacing w:after="0"/>
              <w:rPr>
                <w:sz w:val="16"/>
                <w:szCs w:val="16"/>
                <w:color w:val="auto"/>
              </w:rPr>
            </w:pPr>
          </w:p>
        </w:tc>
        <w:tc>
          <w:tcPr>
            <w:tcW w:w="2420" w:type="dxa"/>
            <w:vAlign w:val="bottom"/>
            <w:gridSpan w:val="5"/>
            <w:shd w:val="clear" w:color="auto" w:fill="1D2758"/>
          </w:tcPr>
          <w:p>
            <w:pPr>
              <w:jc w:val="center"/>
              <w:ind w:right="360"/>
              <w:spacing w:after="0"/>
              <w:rPr>
                <w:sz w:val="20"/>
                <w:szCs w:val="20"/>
                <w:color w:val="auto"/>
              </w:rPr>
            </w:pPr>
            <w:r>
              <w:rPr>
                <w:rFonts w:ascii="Arial" w:cs="Arial" w:eastAsia="Arial" w:hAnsi="Arial"/>
                <w:sz w:val="15"/>
                <w:szCs w:val="15"/>
                <w:b w:val="1"/>
                <w:bCs w:val="1"/>
                <w:color w:val="FFFFFF"/>
              </w:rPr>
              <w:t>Three Months Ended</w:t>
            </w:r>
          </w:p>
        </w:tc>
        <w:tc>
          <w:tcPr>
            <w:tcW w:w="280" w:type="dxa"/>
            <w:vAlign w:val="bottom"/>
            <w:shd w:val="clear" w:color="auto" w:fill="1D2758"/>
          </w:tcPr>
          <w:p>
            <w:pPr>
              <w:spacing w:after="0"/>
              <w:rPr>
                <w:sz w:val="16"/>
                <w:szCs w:val="16"/>
                <w:color w:val="auto"/>
              </w:rPr>
            </w:pPr>
          </w:p>
        </w:tc>
        <w:tc>
          <w:tcPr>
            <w:tcW w:w="2340" w:type="dxa"/>
            <w:vAlign w:val="bottom"/>
            <w:gridSpan w:val="4"/>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Nine Months Ended</w:t>
            </w:r>
          </w:p>
        </w:tc>
        <w:tc>
          <w:tcPr>
            <w:tcW w:w="0" w:type="dxa"/>
            <w:vAlign w:val="bottom"/>
          </w:tcPr>
          <w:p>
            <w:pPr>
              <w:spacing w:after="0"/>
              <w:rPr>
                <w:sz w:val="1"/>
                <w:szCs w:val="1"/>
                <w:color w:val="auto"/>
              </w:rPr>
            </w:pPr>
          </w:p>
        </w:tc>
      </w:tr>
      <w:tr>
        <w:trPr>
          <w:trHeight w:val="214"/>
        </w:trPr>
        <w:tc>
          <w:tcPr>
            <w:tcW w:w="592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2420" w:type="dxa"/>
            <w:vAlign w:val="bottom"/>
            <w:gridSpan w:val="5"/>
            <w:shd w:val="clear" w:color="auto" w:fill="1D2758"/>
          </w:tcPr>
          <w:p>
            <w:pPr>
              <w:jc w:val="center"/>
              <w:ind w:right="360"/>
              <w:spacing w:after="0"/>
              <w:rPr>
                <w:sz w:val="20"/>
                <w:szCs w:val="20"/>
                <w:color w:val="auto"/>
              </w:rPr>
            </w:pPr>
            <w:r>
              <w:rPr>
                <w:rFonts w:ascii="Arial" w:cs="Arial" w:eastAsia="Arial" w:hAnsi="Arial"/>
                <w:sz w:val="15"/>
                <w:szCs w:val="15"/>
                <w:b w:val="1"/>
                <w:bCs w:val="1"/>
                <w:color w:val="FFFFFF"/>
              </w:rPr>
              <w:t>September 30,</w:t>
            </w:r>
          </w:p>
        </w:tc>
        <w:tc>
          <w:tcPr>
            <w:tcW w:w="280" w:type="dxa"/>
            <w:vAlign w:val="bottom"/>
            <w:shd w:val="clear" w:color="auto" w:fill="1D2758"/>
          </w:tcPr>
          <w:p>
            <w:pPr>
              <w:spacing w:after="0"/>
              <w:rPr>
                <w:sz w:val="18"/>
                <w:szCs w:val="18"/>
                <w:color w:val="auto"/>
              </w:rPr>
            </w:pPr>
          </w:p>
        </w:tc>
        <w:tc>
          <w:tcPr>
            <w:tcW w:w="2340" w:type="dxa"/>
            <w:vAlign w:val="bottom"/>
            <w:gridSpan w:val="4"/>
            <w:shd w:val="clear" w:color="auto" w:fill="1D2758"/>
          </w:tcPr>
          <w:p>
            <w:pPr>
              <w:jc w:val="right"/>
              <w:ind w:right="703"/>
              <w:spacing w:after="0"/>
              <w:rPr>
                <w:sz w:val="20"/>
                <w:szCs w:val="20"/>
                <w:color w:val="auto"/>
              </w:rPr>
            </w:pPr>
            <w:r>
              <w:rPr>
                <w:rFonts w:ascii="Arial" w:cs="Arial" w:eastAsia="Arial" w:hAnsi="Arial"/>
                <w:sz w:val="15"/>
                <w:szCs w:val="15"/>
                <w:b w:val="1"/>
                <w:bCs w:val="1"/>
                <w:color w:val="FFFFFF"/>
              </w:rPr>
              <w:t>September 30,</w:t>
            </w:r>
          </w:p>
        </w:tc>
        <w:tc>
          <w:tcPr>
            <w:tcW w:w="0" w:type="dxa"/>
            <w:vAlign w:val="bottom"/>
          </w:tcPr>
          <w:p>
            <w:pPr>
              <w:spacing w:after="0"/>
              <w:rPr>
                <w:sz w:val="1"/>
                <w:szCs w:val="1"/>
                <w:color w:val="auto"/>
              </w:rPr>
            </w:pPr>
          </w:p>
        </w:tc>
      </w:tr>
      <w:tr>
        <w:trPr>
          <w:trHeight w:val="245"/>
        </w:trPr>
        <w:tc>
          <w:tcPr>
            <w:tcW w:w="59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80" w:type="dxa"/>
            <w:vAlign w:val="bottom"/>
            <w:shd w:val="clear" w:color="auto" w:fill="1D2758"/>
          </w:tcPr>
          <w:p>
            <w:pPr>
              <w:spacing w:after="0"/>
              <w:rPr>
                <w:sz w:val="21"/>
                <w:szCs w:val="21"/>
                <w:color w:val="auto"/>
              </w:rPr>
            </w:pPr>
          </w:p>
        </w:tc>
        <w:tc>
          <w:tcPr>
            <w:tcW w:w="98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21"/>
                <w:szCs w:val="21"/>
                <w:color w:val="auto"/>
              </w:rPr>
            </w:pPr>
          </w:p>
        </w:tc>
        <w:tc>
          <w:tcPr>
            <w:tcW w:w="280" w:type="dxa"/>
            <w:vAlign w:val="bottom"/>
            <w:shd w:val="clear" w:color="auto" w:fill="1D2758"/>
          </w:tcPr>
          <w:p>
            <w:pPr>
              <w:spacing w:after="0"/>
              <w:rPr>
                <w:sz w:val="21"/>
                <w:szCs w:val="21"/>
                <w:color w:val="auto"/>
              </w:rPr>
            </w:pPr>
          </w:p>
        </w:tc>
        <w:tc>
          <w:tcPr>
            <w:tcW w:w="98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21"/>
                <w:szCs w:val="21"/>
                <w:color w:val="auto"/>
              </w:rPr>
            </w:pPr>
          </w:p>
        </w:tc>
        <w:tc>
          <w:tcPr>
            <w:tcW w:w="280" w:type="dxa"/>
            <w:vAlign w:val="bottom"/>
            <w:shd w:val="clear" w:color="auto" w:fill="1D2758"/>
          </w:tcPr>
          <w:p>
            <w:pPr>
              <w:spacing w:after="0"/>
              <w:rPr>
                <w:sz w:val="21"/>
                <w:szCs w:val="21"/>
                <w:color w:val="auto"/>
              </w:rPr>
            </w:pPr>
          </w:p>
        </w:tc>
        <w:tc>
          <w:tcPr>
            <w:tcW w:w="100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280" w:type="dxa"/>
            <w:vAlign w:val="bottom"/>
            <w:shd w:val="clear" w:color="auto" w:fill="1D2758"/>
          </w:tcPr>
          <w:p>
            <w:pPr>
              <w:spacing w:after="0"/>
              <w:rPr>
                <w:sz w:val="21"/>
                <w:szCs w:val="21"/>
                <w:color w:val="auto"/>
              </w:rPr>
            </w:pPr>
          </w:p>
        </w:tc>
        <w:tc>
          <w:tcPr>
            <w:tcW w:w="98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2024</w:t>
            </w:r>
          </w:p>
        </w:tc>
        <w:tc>
          <w:tcPr>
            <w:tcW w:w="0" w:type="dxa"/>
            <w:vAlign w:val="bottom"/>
          </w:tcPr>
          <w:p>
            <w:pPr>
              <w:spacing w:after="0"/>
              <w:rPr>
                <w:sz w:val="1"/>
                <w:szCs w:val="1"/>
                <w:color w:val="auto"/>
              </w:rPr>
            </w:pPr>
          </w:p>
        </w:tc>
      </w:tr>
      <w:tr>
        <w:trPr>
          <w:trHeight w:val="187"/>
        </w:trPr>
        <w:tc>
          <w:tcPr>
            <w:tcW w:w="5920" w:type="dxa"/>
            <w:vAlign w:val="bottom"/>
            <w:shd w:val="clear" w:color="auto" w:fill="1D2758"/>
          </w:tcPr>
          <w:p>
            <w:pPr>
              <w:spacing w:after="0"/>
              <w:rPr>
                <w:sz w:val="16"/>
                <w:szCs w:val="16"/>
                <w:color w:val="auto"/>
              </w:rPr>
            </w:pPr>
          </w:p>
        </w:tc>
        <w:tc>
          <w:tcPr>
            <w:tcW w:w="280" w:type="dxa"/>
            <w:vAlign w:val="bottom"/>
            <w:shd w:val="clear" w:color="auto" w:fill="1D2758"/>
          </w:tcPr>
          <w:p>
            <w:pPr>
              <w:spacing w:after="0"/>
              <w:rPr>
                <w:sz w:val="16"/>
                <w:szCs w:val="16"/>
                <w:color w:val="auto"/>
              </w:rPr>
            </w:pPr>
          </w:p>
        </w:tc>
        <w:tc>
          <w:tcPr>
            <w:tcW w:w="980" w:type="dxa"/>
            <w:vAlign w:val="bottom"/>
            <w:vMerge w:val="continue"/>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280" w:type="dxa"/>
            <w:vAlign w:val="bottom"/>
            <w:shd w:val="clear" w:color="auto" w:fill="1D2758"/>
          </w:tcPr>
          <w:p>
            <w:pPr>
              <w:spacing w:after="0"/>
              <w:rPr>
                <w:sz w:val="16"/>
                <w:szCs w:val="16"/>
                <w:color w:val="auto"/>
              </w:rPr>
            </w:pPr>
          </w:p>
        </w:tc>
        <w:tc>
          <w:tcPr>
            <w:tcW w:w="980" w:type="dxa"/>
            <w:vAlign w:val="bottom"/>
            <w:vMerge w:val="continue"/>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280" w:type="dxa"/>
            <w:vAlign w:val="bottom"/>
            <w:shd w:val="clear" w:color="auto" w:fill="1D2758"/>
          </w:tcPr>
          <w:p>
            <w:pPr>
              <w:spacing w:after="0"/>
              <w:rPr>
                <w:sz w:val="16"/>
                <w:szCs w:val="16"/>
                <w:color w:val="auto"/>
              </w:rPr>
            </w:pPr>
          </w:p>
        </w:tc>
        <w:tc>
          <w:tcPr>
            <w:tcW w:w="1000" w:type="dxa"/>
            <w:vAlign w:val="bottom"/>
            <w:vMerge w:val="continue"/>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280" w:type="dxa"/>
            <w:vAlign w:val="bottom"/>
            <w:shd w:val="clear" w:color="auto" w:fill="1D2758"/>
          </w:tcPr>
          <w:p>
            <w:pPr>
              <w:spacing w:after="0"/>
              <w:rPr>
                <w:sz w:val="16"/>
                <w:szCs w:val="16"/>
                <w:color w:val="auto"/>
              </w:rPr>
            </w:pPr>
          </w:p>
        </w:tc>
        <w:tc>
          <w:tcPr>
            <w:tcW w:w="980" w:type="dxa"/>
            <w:vAlign w:val="bottom"/>
            <w:vMerge w:val="continue"/>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(loss)</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43,332</w:t>
            </w: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(70,475)</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134,326</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(61,086)</w:t>
            </w:r>
          </w:p>
        </w:tc>
        <w:tc>
          <w:tcPr>
            <w:tcW w:w="0" w:type="dxa"/>
            <w:vAlign w:val="bottom"/>
          </w:tcPr>
          <w:p>
            <w:pPr>
              <w:spacing w:after="0"/>
              <w:rPr>
                <w:sz w:val="1"/>
                <w:szCs w:val="1"/>
                <w:color w:val="auto"/>
              </w:rPr>
            </w:pPr>
          </w:p>
        </w:tc>
      </w:tr>
      <w:tr>
        <w:trPr>
          <w:trHeight w:val="225"/>
        </w:trPr>
        <w:tc>
          <w:tcPr>
            <w:tcW w:w="5920" w:type="dxa"/>
            <w:vAlign w:val="bottom"/>
          </w:tcPr>
          <w:p>
            <w:pPr>
              <w:ind w:left="20"/>
              <w:spacing w:after="0"/>
              <w:rPr>
                <w:sz w:val="20"/>
                <w:szCs w:val="20"/>
                <w:color w:val="auto"/>
              </w:rPr>
            </w:pPr>
            <w:r>
              <w:rPr>
                <w:rFonts w:ascii="Arial" w:cs="Arial" w:eastAsia="Arial" w:hAnsi="Arial"/>
                <w:sz w:val="15"/>
                <w:szCs w:val="15"/>
                <w:color w:val="auto"/>
              </w:rPr>
              <w:t>Other comprehensive (loss) income: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Foreign currency translation adjustments, net of income tax expense of $0</w:t>
            </w:r>
          </w:p>
        </w:tc>
        <w:tc>
          <w:tcPr>
            <w:tcW w:w="28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(5,820)</w:t>
            </w: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1,952</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10,619</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(7,750)</w:t>
            </w:r>
          </w:p>
        </w:tc>
        <w:tc>
          <w:tcPr>
            <w:tcW w:w="0" w:type="dxa"/>
            <w:vAlign w:val="bottom"/>
          </w:tcPr>
          <w:p>
            <w:pPr>
              <w:spacing w:after="0"/>
              <w:rPr>
                <w:sz w:val="1"/>
                <w:szCs w:val="1"/>
                <w:color w:val="auto"/>
              </w:rPr>
            </w:pPr>
          </w:p>
        </w:tc>
      </w:tr>
      <w:tr>
        <w:trPr>
          <w:trHeight w:val="194"/>
        </w:trPr>
        <w:tc>
          <w:tcPr>
            <w:tcW w:w="5920" w:type="dxa"/>
            <w:vAlign w:val="bottom"/>
          </w:tcPr>
          <w:p>
            <w:pPr>
              <w:ind w:left="220"/>
              <w:spacing w:after="0"/>
              <w:rPr>
                <w:sz w:val="20"/>
                <w:szCs w:val="20"/>
                <w:color w:val="auto"/>
              </w:rPr>
            </w:pPr>
            <w:r>
              <w:rPr>
                <w:rFonts w:ascii="Arial" w:cs="Arial" w:eastAsia="Arial" w:hAnsi="Arial"/>
                <w:sz w:val="15"/>
                <w:szCs w:val="15"/>
                <w:color w:val="auto"/>
              </w:rPr>
              <w:t>Net loss on derivatives, net of income tax benefit of $236 and $8,183 for the three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tcPr>
          <w:p>
            <w:pPr>
              <w:ind w:left="220"/>
              <w:spacing w:after="0"/>
              <w:rPr>
                <w:sz w:val="20"/>
                <w:szCs w:val="20"/>
                <w:color w:val="auto"/>
              </w:rPr>
            </w:pPr>
            <w:r>
              <w:rPr>
                <w:rFonts w:ascii="Arial" w:cs="Arial" w:eastAsia="Arial" w:hAnsi="Arial"/>
                <w:sz w:val="15"/>
                <w:szCs w:val="15"/>
                <w:color w:val="auto"/>
              </w:rPr>
              <w:t>months ended September 30, 2025 and 2024, respectively, and $4,227 and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9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$3,134 for the nine months ended September 30, 2025 and 2024, respectively</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(712)</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(24,570)</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(12,775)</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(9,406)</w:t>
            </w:r>
          </w:p>
        </w:tc>
        <w:tc>
          <w:tcPr>
            <w:tcW w:w="0" w:type="dxa"/>
            <w:vAlign w:val="bottom"/>
          </w:tcPr>
          <w:p>
            <w:pPr>
              <w:spacing w:after="0"/>
              <w:rPr>
                <w:sz w:val="1"/>
                <w:szCs w:val="1"/>
                <w:color w:val="auto"/>
              </w:rPr>
            </w:pPr>
          </w:p>
        </w:tc>
      </w:tr>
      <w:tr>
        <w:trPr>
          <w:trHeight w:val="225"/>
        </w:trPr>
        <w:tc>
          <w:tcPr>
            <w:tcW w:w="5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other comprehensive loss</w:t>
            </w: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(6,532)</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(22,618)</w:t>
            </w:r>
          </w:p>
        </w:tc>
        <w:tc>
          <w:tcPr>
            <w:tcW w:w="8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(2,156)</w:t>
            </w:r>
          </w:p>
        </w:tc>
        <w:tc>
          <w:tcPr>
            <w:tcW w:w="8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(17,156)</w:t>
            </w:r>
          </w:p>
        </w:tc>
        <w:tc>
          <w:tcPr>
            <w:tcW w:w="0" w:type="dxa"/>
            <w:vAlign w:val="bottom"/>
          </w:tcPr>
          <w:p>
            <w:pPr>
              <w:spacing w:after="0"/>
              <w:rPr>
                <w:sz w:val="1"/>
                <w:szCs w:val="1"/>
                <w:color w:val="auto"/>
              </w:rPr>
            </w:pPr>
          </w:p>
        </w:tc>
      </w:tr>
      <w:tr>
        <w:trPr>
          <w:trHeight w:val="232"/>
        </w:trPr>
        <w:tc>
          <w:tcPr>
            <w:tcW w:w="5920" w:type="dxa"/>
            <w:vAlign w:val="bottom"/>
          </w:tcPr>
          <w:p>
            <w:pPr>
              <w:ind w:left="20"/>
              <w:spacing w:after="0"/>
              <w:rPr>
                <w:sz w:val="20"/>
                <w:szCs w:val="20"/>
                <w:color w:val="auto"/>
              </w:rPr>
            </w:pPr>
            <w:r>
              <w:rPr>
                <w:rFonts w:ascii="Arial" w:cs="Arial" w:eastAsia="Arial" w:hAnsi="Arial"/>
                <w:sz w:val="15"/>
                <w:szCs w:val="15"/>
                <w:color w:val="auto"/>
              </w:rPr>
              <w:t>Total comprehensive income (loss)</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36,800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(93,093)</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132,170</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(78,242)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Changes in Equity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60" w:type="dxa"/>
            <w:vAlign w:val="bottom"/>
            <w:shd w:val="clear" w:color="auto" w:fill="1D2758"/>
          </w:tcPr>
          <w:p>
            <w:pPr>
              <w:spacing w:after="0"/>
              <w:rPr>
                <w:sz w:val="20"/>
                <w:szCs w:val="20"/>
                <w:color w:val="auto"/>
              </w:rPr>
            </w:pPr>
          </w:p>
        </w:tc>
        <w:tc>
          <w:tcPr>
            <w:tcW w:w="3540" w:type="dxa"/>
            <w:vAlign w:val="bottom"/>
            <w:gridSpan w:val="6"/>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Nine Months Ended September 30, 2025</w:t>
            </w:r>
          </w:p>
        </w:tc>
        <w:tc>
          <w:tcPr>
            <w:tcW w:w="140" w:type="dxa"/>
            <w:vAlign w:val="bottom"/>
            <w:shd w:val="clear" w:color="auto" w:fill="1D2758"/>
          </w:tcPr>
          <w:p>
            <w:pPr>
              <w:spacing w:after="0"/>
              <w:rPr>
                <w:sz w:val="20"/>
                <w:szCs w:val="20"/>
                <w:color w:val="auto"/>
              </w:rPr>
            </w:pPr>
          </w:p>
        </w:tc>
        <w:tc>
          <w:tcPr>
            <w:tcW w:w="1100" w:type="dxa"/>
            <w:vAlign w:val="bottom"/>
            <w:shd w:val="clear" w:color="auto" w:fill="1D2758"/>
          </w:tcPr>
          <w:p>
            <w:pPr>
              <w:spacing w:after="0"/>
              <w:rPr>
                <w:sz w:val="20"/>
                <w:szCs w:val="20"/>
                <w:color w:val="auto"/>
              </w:rPr>
            </w:pPr>
          </w:p>
        </w:tc>
        <w:tc>
          <w:tcPr>
            <w:tcW w:w="240" w:type="dxa"/>
            <w:vAlign w:val="bottom"/>
            <w:shd w:val="clear" w:color="auto" w:fill="1D2758"/>
          </w:tcPr>
          <w:p>
            <w:pPr>
              <w:spacing w:after="0"/>
              <w:rPr>
                <w:sz w:val="20"/>
                <w:szCs w:val="20"/>
                <w:color w:val="auto"/>
              </w:rPr>
            </w:pPr>
          </w:p>
        </w:tc>
        <w:tc>
          <w:tcPr>
            <w:tcW w:w="92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920" w:type="dxa"/>
            <w:vAlign w:val="bottom"/>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6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4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10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Accumulated</w:t>
            </w:r>
          </w:p>
        </w:tc>
        <w:tc>
          <w:tcPr>
            <w:tcW w:w="24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2020" w:type="dxa"/>
            <w:vAlign w:val="bottom"/>
            <w:gridSpan w:val="2"/>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Common Stock</w:t>
            </w:r>
          </w:p>
        </w:tc>
        <w:tc>
          <w:tcPr>
            <w:tcW w:w="26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10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Other</w:t>
            </w:r>
          </w:p>
        </w:tc>
        <w:tc>
          <w:tcPr>
            <w:tcW w:w="24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82"/>
        </w:trPr>
        <w:tc>
          <w:tcPr>
            <w:tcW w:w="4160" w:type="dxa"/>
            <w:vAlign w:val="bottom"/>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2020" w:type="dxa"/>
            <w:vAlign w:val="bottom"/>
            <w:gridSpan w:val="2"/>
            <w:vMerge w:val="continue"/>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98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Comprehensive</w:t>
            </w:r>
          </w:p>
        </w:tc>
        <w:tc>
          <w:tcPr>
            <w:tcW w:w="1160" w:type="dxa"/>
            <w:vAlign w:val="bottom"/>
            <w:gridSpan w:val="2"/>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45"/>
        </w:trPr>
        <w:tc>
          <w:tcPr>
            <w:tcW w:w="4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21"/>
                <w:szCs w:val="21"/>
                <w:color w:val="auto"/>
              </w:rPr>
            </w:pPr>
          </w:p>
        </w:tc>
        <w:tc>
          <w:tcPr>
            <w:tcW w:w="114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Shares</w:t>
            </w:r>
          </w:p>
        </w:tc>
        <w:tc>
          <w:tcPr>
            <w:tcW w:w="88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60" w:type="dxa"/>
            <w:vAlign w:val="bottom"/>
            <w:shd w:val="clear" w:color="auto" w:fill="1D2758"/>
          </w:tcPr>
          <w:p>
            <w:pPr>
              <w:spacing w:after="0"/>
              <w:rPr>
                <w:sz w:val="21"/>
                <w:szCs w:val="21"/>
                <w:color w:val="auto"/>
              </w:rPr>
            </w:pPr>
          </w:p>
        </w:tc>
        <w:tc>
          <w:tcPr>
            <w:tcW w:w="1140" w:type="dxa"/>
            <w:vAlign w:val="bottom"/>
            <w:gridSpan w:val="2"/>
            <w:shd w:val="clear" w:color="auto" w:fill="1D2758"/>
          </w:tcPr>
          <w:p>
            <w:pPr>
              <w:ind w:left="40"/>
              <w:spacing w:after="0"/>
              <w:rPr>
                <w:sz w:val="20"/>
                <w:szCs w:val="20"/>
                <w:color w:val="auto"/>
              </w:rPr>
            </w:pPr>
            <w:r>
              <w:rPr>
                <w:rFonts w:ascii="Arial" w:cs="Arial" w:eastAsia="Arial" w:hAnsi="Arial"/>
                <w:sz w:val="15"/>
                <w:szCs w:val="15"/>
                <w:b w:val="1"/>
                <w:bCs w:val="1"/>
                <w:color w:val="FFFFFF"/>
              </w:rPr>
              <w:t>Paid-in-Capital</w:t>
            </w:r>
          </w:p>
        </w:tc>
        <w:tc>
          <w:tcPr>
            <w:tcW w:w="140" w:type="dxa"/>
            <w:vAlign w:val="bottom"/>
            <w:shd w:val="clear" w:color="auto" w:fill="1D2758"/>
          </w:tcPr>
          <w:p>
            <w:pPr>
              <w:spacing w:after="0"/>
              <w:rPr>
                <w:sz w:val="21"/>
                <w:szCs w:val="21"/>
                <w:color w:val="auto"/>
              </w:rPr>
            </w:pPr>
          </w:p>
        </w:tc>
        <w:tc>
          <w:tcPr>
            <w:tcW w:w="110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Loss</w:t>
            </w:r>
          </w:p>
        </w:tc>
        <w:tc>
          <w:tcPr>
            <w:tcW w:w="240" w:type="dxa"/>
            <w:vAlign w:val="bottom"/>
            <w:shd w:val="clear" w:color="auto" w:fill="1D2758"/>
          </w:tcPr>
          <w:p>
            <w:pPr>
              <w:spacing w:after="0"/>
              <w:rPr>
                <w:sz w:val="21"/>
                <w:szCs w:val="21"/>
                <w:color w:val="auto"/>
              </w:rPr>
            </w:pPr>
          </w:p>
        </w:tc>
        <w:tc>
          <w:tcPr>
            <w:tcW w:w="92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21"/>
                <w:szCs w:val="21"/>
                <w:color w:val="auto"/>
              </w:rPr>
            </w:pPr>
          </w:p>
        </w:tc>
        <w:tc>
          <w:tcPr>
            <w:tcW w:w="92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32"/>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2024</w:t>
            </w:r>
          </w:p>
        </w:tc>
        <w:tc>
          <w:tcPr>
            <w:tcW w:w="126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183,565</w:t>
            </w:r>
          </w:p>
        </w:tc>
        <w:tc>
          <w:tcPr>
            <w:tcW w:w="880" w:type="dxa"/>
            <w:vAlign w:val="bottom"/>
            <w:shd w:val="clear" w:color="auto" w:fill="DBDBDB"/>
          </w:tcPr>
          <w:p>
            <w:pPr>
              <w:jc w:val="right"/>
              <w:ind w:right="70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1,836,165</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(70,627)</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(746,964)</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1,018,593</w:t>
            </w:r>
          </w:p>
        </w:tc>
        <w:tc>
          <w:tcPr>
            <w:tcW w:w="0" w:type="dxa"/>
            <w:vAlign w:val="bottom"/>
          </w:tcPr>
          <w:p>
            <w:pPr>
              <w:spacing w:after="0"/>
              <w:rPr>
                <w:sz w:val="1"/>
                <w:szCs w:val="1"/>
                <w:color w:val="auto"/>
              </w:rPr>
            </w:pPr>
          </w:p>
        </w:tc>
      </w:tr>
      <w:tr>
        <w:trPr>
          <w:trHeight w:val="225"/>
        </w:trPr>
        <w:tc>
          <w:tcPr>
            <w:tcW w:w="41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43,055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43,055</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(7,980)</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(7,980)</w:t>
            </w:r>
          </w:p>
        </w:tc>
        <w:tc>
          <w:tcPr>
            <w:tcW w:w="0" w:type="dxa"/>
            <w:vAlign w:val="bottom"/>
          </w:tcPr>
          <w:p>
            <w:pPr>
              <w:spacing w:after="0"/>
              <w:rPr>
                <w:sz w:val="1"/>
                <w:szCs w:val="1"/>
                <w:color w:val="auto"/>
              </w:rPr>
            </w:pPr>
          </w:p>
        </w:tc>
      </w:tr>
      <w:tr>
        <w:trPr>
          <w:trHeight w:val="194"/>
        </w:trPr>
        <w:tc>
          <w:tcPr>
            <w:tcW w:w="4160" w:type="dxa"/>
            <w:vAlign w:val="bottom"/>
          </w:tcPr>
          <w:p>
            <w:pPr>
              <w:ind w:left="220"/>
              <w:spacing w:after="0"/>
              <w:rPr>
                <w:sz w:val="20"/>
                <w:szCs w:val="20"/>
                <w:color w:val="auto"/>
              </w:rPr>
            </w:pPr>
            <w:r>
              <w:rPr>
                <w:rFonts w:ascii="Arial" w:cs="Arial" w:eastAsia="Arial" w:hAnsi="Arial"/>
                <w:sz w:val="15"/>
                <w:szCs w:val="15"/>
                <w:color w:val="auto"/>
              </w:rPr>
              <w:t>Withholding taxes on net share settlement of stock-based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2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(7,718)</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(7,718)</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26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451</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8,341</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8,341</w:t>
            </w:r>
          </w:p>
        </w:tc>
        <w:tc>
          <w:tcPr>
            <w:tcW w:w="0" w:type="dxa"/>
            <w:vAlign w:val="bottom"/>
          </w:tcPr>
          <w:p>
            <w:pPr>
              <w:spacing w:after="0"/>
              <w:rPr>
                <w:sz w:val="1"/>
                <w:szCs w:val="1"/>
                <w:color w:val="auto"/>
              </w:rPr>
            </w:pPr>
          </w:p>
        </w:tc>
      </w:tr>
      <w:tr>
        <w:trPr>
          <w:trHeight w:val="225"/>
        </w:trPr>
        <w:tc>
          <w:tcPr>
            <w:tcW w:w="416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(1,095)</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(32,117)</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(32,117)</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dividends declared</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(13,044)</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(13,044)</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20" w:type="dxa"/>
            <w:vAlign w:val="bottom"/>
            <w:tcBorders>
              <w:bottom w:val="single" w:sz="8" w:color="DBDBDB"/>
            </w:tcBorders>
          </w:tcPr>
          <w:p>
            <w:pPr>
              <w:spacing w:after="0"/>
              <w:rPr>
                <w:sz w:val="19"/>
                <w:szCs w:val="19"/>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188</w:t>
            </w: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2,232</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2,232</w:t>
            </w:r>
          </w:p>
        </w:tc>
        <w:tc>
          <w:tcPr>
            <w:tcW w:w="0" w:type="dxa"/>
            <w:vAlign w:val="bottom"/>
          </w:tcPr>
          <w:p>
            <w:pPr>
              <w:spacing w:after="0"/>
              <w:rPr>
                <w:sz w:val="1"/>
                <w:szCs w:val="1"/>
                <w:color w:val="auto"/>
              </w:rPr>
            </w:pPr>
          </w:p>
        </w:tc>
      </w:tr>
      <w:tr>
        <w:trPr>
          <w:trHeight w:val="232"/>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March 31, 2025</w:t>
            </w:r>
          </w:p>
        </w:tc>
        <w:tc>
          <w:tcPr>
            <w:tcW w:w="126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183,109</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1,793,859</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(78,607)</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(703,909)</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1,011,362</w:t>
            </w:r>
          </w:p>
        </w:tc>
        <w:tc>
          <w:tcPr>
            <w:tcW w:w="0" w:type="dxa"/>
            <w:vAlign w:val="bottom"/>
          </w:tcPr>
          <w:p>
            <w:pPr>
              <w:spacing w:after="0"/>
              <w:rPr>
                <w:sz w:val="1"/>
                <w:szCs w:val="1"/>
                <w:color w:val="auto"/>
              </w:rPr>
            </w:pPr>
          </w:p>
        </w:tc>
      </w:tr>
      <w:tr>
        <w:trPr>
          <w:trHeight w:val="225"/>
        </w:trPr>
        <w:tc>
          <w:tcPr>
            <w:tcW w:w="41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47,939</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47,939</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12,356</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12,356</w:t>
            </w:r>
          </w:p>
        </w:tc>
        <w:tc>
          <w:tcPr>
            <w:tcW w:w="0" w:type="dxa"/>
            <w:vAlign w:val="bottom"/>
          </w:tcPr>
          <w:p>
            <w:pPr>
              <w:spacing w:after="0"/>
              <w:rPr>
                <w:sz w:val="1"/>
                <w:szCs w:val="1"/>
                <w:color w:val="auto"/>
              </w:rPr>
            </w:pPr>
          </w:p>
        </w:tc>
      </w:tr>
      <w:tr>
        <w:trPr>
          <w:trHeight w:val="194"/>
        </w:trPr>
        <w:tc>
          <w:tcPr>
            <w:tcW w:w="4160" w:type="dxa"/>
            <w:vAlign w:val="bottom"/>
          </w:tcPr>
          <w:p>
            <w:pPr>
              <w:ind w:left="220"/>
              <w:spacing w:after="0"/>
              <w:rPr>
                <w:sz w:val="20"/>
                <w:szCs w:val="20"/>
                <w:color w:val="auto"/>
              </w:rPr>
            </w:pPr>
            <w:r>
              <w:rPr>
                <w:rFonts w:ascii="Arial" w:cs="Arial" w:eastAsia="Arial" w:hAnsi="Arial"/>
                <w:sz w:val="15"/>
                <w:szCs w:val="15"/>
                <w:color w:val="auto"/>
              </w:rPr>
              <w:t>Withholding taxes on net share settlement of stock-based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2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(265)</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26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63</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8,373</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8,373</w:t>
            </w:r>
          </w:p>
        </w:tc>
        <w:tc>
          <w:tcPr>
            <w:tcW w:w="0" w:type="dxa"/>
            <w:vAlign w:val="bottom"/>
          </w:tcPr>
          <w:p>
            <w:pPr>
              <w:spacing w:after="0"/>
              <w:rPr>
                <w:sz w:val="1"/>
                <w:szCs w:val="1"/>
                <w:color w:val="auto"/>
              </w:rPr>
            </w:pPr>
          </w:p>
        </w:tc>
      </w:tr>
      <w:tr>
        <w:trPr>
          <w:trHeight w:val="225"/>
        </w:trPr>
        <w:tc>
          <w:tcPr>
            <w:tcW w:w="416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(1,533)</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(40,079)</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(40,079)</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dividends declared</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(12,899)</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(12,899)</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20" w:type="dxa"/>
            <w:vAlign w:val="bottom"/>
            <w:tcBorders>
              <w:bottom w:val="single" w:sz="8" w:color="DBDBDB"/>
            </w:tcBorders>
          </w:tcPr>
          <w:p>
            <w:pPr>
              <w:spacing w:after="0"/>
              <w:rPr>
                <w:sz w:val="19"/>
                <w:szCs w:val="19"/>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598</w:t>
            </w: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7,808</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7,808</w:t>
            </w:r>
          </w:p>
        </w:tc>
        <w:tc>
          <w:tcPr>
            <w:tcW w:w="0" w:type="dxa"/>
            <w:vAlign w:val="bottom"/>
          </w:tcPr>
          <w:p>
            <w:pPr>
              <w:spacing w:after="0"/>
              <w:rPr>
                <w:sz w:val="1"/>
                <w:szCs w:val="1"/>
                <w:color w:val="auto"/>
              </w:rPr>
            </w:pPr>
          </w:p>
        </w:tc>
      </w:tr>
      <w:tr>
        <w:trPr>
          <w:trHeight w:val="232"/>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June 30, 2025</w:t>
            </w:r>
          </w:p>
        </w:tc>
        <w:tc>
          <w:tcPr>
            <w:tcW w:w="126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182,237</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1,756,797</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(66,251)</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(655,970)</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1,034,595</w:t>
            </w:r>
          </w:p>
        </w:tc>
        <w:tc>
          <w:tcPr>
            <w:tcW w:w="0" w:type="dxa"/>
            <w:vAlign w:val="bottom"/>
          </w:tcPr>
          <w:p>
            <w:pPr>
              <w:spacing w:after="0"/>
              <w:rPr>
                <w:sz w:val="1"/>
                <w:szCs w:val="1"/>
                <w:color w:val="auto"/>
              </w:rPr>
            </w:pPr>
          </w:p>
        </w:tc>
      </w:tr>
      <w:tr>
        <w:trPr>
          <w:trHeight w:val="225"/>
        </w:trPr>
        <w:tc>
          <w:tcPr>
            <w:tcW w:w="41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43,332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43,332</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(6,532)</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i w:val="1"/>
                <w:iCs w:val="1"/>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(6,532)</w:t>
            </w:r>
          </w:p>
        </w:tc>
        <w:tc>
          <w:tcPr>
            <w:tcW w:w="0" w:type="dxa"/>
            <w:vAlign w:val="bottom"/>
          </w:tcPr>
          <w:p>
            <w:pPr>
              <w:spacing w:after="0"/>
              <w:rPr>
                <w:sz w:val="1"/>
                <w:szCs w:val="1"/>
                <w:color w:val="auto"/>
              </w:rPr>
            </w:pPr>
          </w:p>
        </w:tc>
      </w:tr>
      <w:tr>
        <w:trPr>
          <w:trHeight w:val="194"/>
        </w:trPr>
        <w:tc>
          <w:tcPr>
            <w:tcW w:w="4160" w:type="dxa"/>
            <w:vAlign w:val="bottom"/>
          </w:tcPr>
          <w:p>
            <w:pPr>
              <w:ind w:left="220"/>
              <w:spacing w:after="0"/>
              <w:rPr>
                <w:sz w:val="20"/>
                <w:szCs w:val="20"/>
                <w:color w:val="auto"/>
              </w:rPr>
            </w:pPr>
            <w:r>
              <w:rPr>
                <w:rFonts w:ascii="Arial" w:cs="Arial" w:eastAsia="Arial" w:hAnsi="Arial"/>
                <w:sz w:val="15"/>
                <w:szCs w:val="15"/>
                <w:color w:val="auto"/>
              </w:rPr>
              <w:t>Withholding taxes on net share settlement of stock-based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2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i w:val="1"/>
                <w:iCs w:val="1"/>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i w:val="1"/>
                <w:iCs w:val="1"/>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i w:val="1"/>
                <w:i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26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2</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9,964</w:t>
            </w:r>
          </w:p>
        </w:tc>
        <w:tc>
          <w:tcPr>
            <w:tcW w:w="1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9,964</w:t>
            </w:r>
          </w:p>
        </w:tc>
        <w:tc>
          <w:tcPr>
            <w:tcW w:w="0" w:type="dxa"/>
            <w:vAlign w:val="bottom"/>
          </w:tcPr>
          <w:p>
            <w:pPr>
              <w:spacing w:after="0"/>
              <w:rPr>
                <w:sz w:val="1"/>
                <w:szCs w:val="1"/>
                <w:color w:val="auto"/>
              </w:rPr>
            </w:pPr>
          </w:p>
        </w:tc>
      </w:tr>
      <w:tr>
        <w:trPr>
          <w:trHeight w:val="225"/>
        </w:trPr>
        <w:tc>
          <w:tcPr>
            <w:tcW w:w="416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(297)</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(8,356)</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(8,356)</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dividends declared</w:t>
            </w:r>
          </w:p>
        </w:tc>
        <w:tc>
          <w:tcPr>
            <w:tcW w:w="120" w:type="dxa"/>
            <w:vAlign w:val="bottom"/>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DBDBDB"/>
          </w:tcPr>
          <w:p>
            <w:pPr>
              <w:spacing w:after="0"/>
              <w:rPr>
                <w:sz w:val="20"/>
                <w:szCs w:val="20"/>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20"/>
                <w:szCs w:val="20"/>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(12,907)</w:t>
            </w:r>
          </w:p>
        </w:tc>
        <w:tc>
          <w:tcPr>
            <w:tcW w:w="140" w:type="dxa"/>
            <w:vAlign w:val="bottom"/>
            <w:tcBorders>
              <w:bottom w:val="single" w:sz="8" w:color="auto"/>
            </w:tcBorders>
            <w:shd w:val="clear" w:color="auto" w:fill="DBDBDB"/>
          </w:tcPr>
          <w:p>
            <w:pPr>
              <w:spacing w:after="0"/>
              <w:rPr>
                <w:sz w:val="20"/>
                <w:szCs w:val="20"/>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DBDBDB"/>
          </w:tcPr>
          <w:p>
            <w:pPr>
              <w:spacing w:after="0"/>
              <w:rPr>
                <w:sz w:val="20"/>
                <w:szCs w:val="20"/>
                <w:color w:val="auto"/>
              </w:rPr>
            </w:pP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20"/>
                <w:szCs w:val="20"/>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(12,907)</w:t>
            </w:r>
          </w:p>
        </w:tc>
        <w:tc>
          <w:tcPr>
            <w:tcW w:w="0" w:type="dxa"/>
            <w:vAlign w:val="bottom"/>
          </w:tcPr>
          <w:p>
            <w:pPr>
              <w:spacing w:after="0"/>
              <w:rPr>
                <w:sz w:val="1"/>
                <w:szCs w:val="1"/>
                <w:color w:val="auto"/>
              </w:rPr>
            </w:pPr>
          </w:p>
        </w:tc>
      </w:tr>
      <w:tr>
        <w:trPr>
          <w:trHeight w:val="218"/>
        </w:trPr>
        <w:tc>
          <w:tcPr>
            <w:tcW w:w="4160" w:type="dxa"/>
            <w:vAlign w:val="bottom"/>
          </w:tcPr>
          <w:p>
            <w:pPr>
              <w:ind w:left="20"/>
              <w:spacing w:after="0"/>
              <w:rPr>
                <w:sz w:val="20"/>
                <w:szCs w:val="20"/>
                <w:color w:val="auto"/>
              </w:rPr>
            </w:pPr>
            <w:r>
              <w:rPr>
                <w:rFonts w:ascii="Arial" w:cs="Arial" w:eastAsia="Arial" w:hAnsi="Arial"/>
                <w:sz w:val="15"/>
                <w:szCs w:val="15"/>
                <w:color w:val="auto"/>
              </w:rPr>
              <w:t>Balance at September 30, 2025</w:t>
            </w:r>
          </w:p>
        </w:tc>
        <w:tc>
          <w:tcPr>
            <w:tcW w:w="1260" w:type="dxa"/>
            <w:vAlign w:val="bottom"/>
            <w:gridSpan w:val="2"/>
          </w:tcPr>
          <w:p>
            <w:pPr>
              <w:jc w:val="right"/>
              <w:ind w:right="3"/>
              <w:spacing w:after="0"/>
              <w:rPr>
                <w:sz w:val="20"/>
                <w:szCs w:val="20"/>
                <w:color w:val="auto"/>
              </w:rPr>
            </w:pPr>
            <w:r>
              <w:rPr>
                <w:rFonts w:ascii="Arial" w:cs="Arial" w:eastAsia="Arial" w:hAnsi="Arial"/>
                <w:sz w:val="15"/>
                <w:szCs w:val="15"/>
                <w:color w:val="auto"/>
              </w:rPr>
              <w:t>181,942</w:t>
            </w:r>
          </w:p>
        </w:tc>
        <w:tc>
          <w:tcPr>
            <w:tcW w:w="880" w:type="dxa"/>
            <w:vAlign w:val="bottom"/>
          </w:tcPr>
          <w:p>
            <w:pPr>
              <w:jc w:val="right"/>
              <w:ind w:right="703"/>
              <w:spacing w:after="0"/>
              <w:rPr>
                <w:sz w:val="20"/>
                <w:szCs w:val="20"/>
                <w:color w:val="auto"/>
              </w:rPr>
            </w:pPr>
            <w:r>
              <w:rPr>
                <w:rFonts w:ascii="Arial" w:cs="Arial" w:eastAsia="Arial" w:hAnsi="Arial"/>
                <w:sz w:val="15"/>
                <w:szCs w:val="15"/>
                <w:color w:val="auto"/>
                <w:w w:val="95"/>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19</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1,745,472</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(72,783)</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(612,638)</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1,060,070</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2"/>
        </w:trPr>
        <w:tc>
          <w:tcPr>
            <w:tcW w:w="4160" w:type="dxa"/>
            <w:vAlign w:val="bottom"/>
            <w:shd w:val="clear" w:color="auto" w:fill="1D2758"/>
          </w:tcPr>
          <w:p>
            <w:pPr>
              <w:spacing w:after="0"/>
              <w:rPr>
                <w:sz w:val="20"/>
                <w:szCs w:val="20"/>
                <w:color w:val="auto"/>
              </w:rPr>
            </w:pPr>
          </w:p>
        </w:tc>
        <w:tc>
          <w:tcPr>
            <w:tcW w:w="3580" w:type="dxa"/>
            <w:vAlign w:val="bottom"/>
            <w:gridSpan w:val="6"/>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Nine Months Ended September 30, 2024</w:t>
            </w:r>
          </w:p>
        </w:tc>
        <w:tc>
          <w:tcPr>
            <w:tcW w:w="120" w:type="dxa"/>
            <w:vAlign w:val="bottom"/>
            <w:shd w:val="clear" w:color="auto" w:fill="1D2758"/>
          </w:tcPr>
          <w:p>
            <w:pPr>
              <w:spacing w:after="0"/>
              <w:rPr>
                <w:sz w:val="20"/>
                <w:szCs w:val="20"/>
                <w:color w:val="auto"/>
              </w:rPr>
            </w:pPr>
          </w:p>
        </w:tc>
        <w:tc>
          <w:tcPr>
            <w:tcW w:w="112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90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920" w:type="dxa"/>
            <w:vAlign w:val="bottom"/>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6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Accumulated</w:t>
            </w:r>
          </w:p>
        </w:tc>
        <w:tc>
          <w:tcPr>
            <w:tcW w:w="220" w:type="dxa"/>
            <w:vAlign w:val="bottom"/>
            <w:shd w:val="clear" w:color="auto" w:fill="1D2758"/>
          </w:tcPr>
          <w:p>
            <w:pPr>
              <w:spacing w:after="0"/>
              <w:rPr>
                <w:sz w:val="17"/>
                <w:szCs w:val="17"/>
                <w:color w:val="auto"/>
              </w:rPr>
            </w:pPr>
          </w:p>
        </w:tc>
        <w:tc>
          <w:tcPr>
            <w:tcW w:w="90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60" w:type="dxa"/>
            <w:vAlign w:val="bottom"/>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2000" w:type="dxa"/>
            <w:vAlign w:val="bottom"/>
            <w:gridSpan w:val="2"/>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Common Stock</w:t>
            </w:r>
          </w:p>
        </w:tc>
        <w:tc>
          <w:tcPr>
            <w:tcW w:w="26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98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w w:val="99"/>
              </w:rPr>
              <w:t>Other</w:t>
            </w:r>
          </w:p>
        </w:tc>
        <w:tc>
          <w:tcPr>
            <w:tcW w:w="220" w:type="dxa"/>
            <w:vAlign w:val="bottom"/>
            <w:shd w:val="clear" w:color="auto" w:fill="1D2758"/>
          </w:tcPr>
          <w:p>
            <w:pPr>
              <w:spacing w:after="0"/>
              <w:rPr>
                <w:sz w:val="16"/>
                <w:szCs w:val="16"/>
                <w:color w:val="auto"/>
              </w:rPr>
            </w:pPr>
          </w:p>
        </w:tc>
        <w:tc>
          <w:tcPr>
            <w:tcW w:w="900" w:type="dxa"/>
            <w:vAlign w:val="bottom"/>
            <w:shd w:val="clear" w:color="auto" w:fill="1D2758"/>
          </w:tcPr>
          <w:p>
            <w:pPr>
              <w:spacing w:after="0"/>
              <w:rPr>
                <w:sz w:val="16"/>
                <w:szCs w:val="16"/>
                <w:color w:val="auto"/>
              </w:rPr>
            </w:pPr>
          </w:p>
        </w:tc>
        <w:tc>
          <w:tcPr>
            <w:tcW w:w="220" w:type="dxa"/>
            <w:vAlign w:val="bottom"/>
            <w:shd w:val="clear" w:color="auto" w:fill="1D2758"/>
          </w:tcPr>
          <w:p>
            <w:pPr>
              <w:spacing w:after="0"/>
              <w:rPr>
                <w:sz w:val="16"/>
                <w:szCs w:val="16"/>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69"/>
        </w:trPr>
        <w:tc>
          <w:tcPr>
            <w:tcW w:w="416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2000" w:type="dxa"/>
            <w:vAlign w:val="bottom"/>
            <w:gridSpan w:val="2"/>
            <w:vMerge w:val="continue"/>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980" w:type="dxa"/>
            <w:vAlign w:val="bottom"/>
            <w:shd w:val="clear" w:color="auto" w:fill="1D2758"/>
          </w:tcPr>
          <w:p>
            <w:pPr>
              <w:jc w:val="right"/>
              <w:ind w:right="123"/>
              <w:spacing w:after="0" w:line="169" w:lineRule="exact"/>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jc w:val="center"/>
              <w:spacing w:after="0" w:line="169" w:lineRule="exact"/>
              <w:rPr>
                <w:sz w:val="20"/>
                <w:szCs w:val="20"/>
                <w:color w:val="auto"/>
              </w:rPr>
            </w:pPr>
            <w:r>
              <w:rPr>
                <w:rFonts w:ascii="Arial" w:cs="Arial" w:eastAsia="Arial" w:hAnsi="Arial"/>
                <w:sz w:val="15"/>
                <w:szCs w:val="15"/>
                <w:b w:val="1"/>
                <w:bCs w:val="1"/>
                <w:color w:val="FFFFFF"/>
              </w:rPr>
              <w:t>Comprehensive</w:t>
            </w:r>
          </w:p>
        </w:tc>
        <w:tc>
          <w:tcPr>
            <w:tcW w:w="1120" w:type="dxa"/>
            <w:vAlign w:val="bottom"/>
            <w:gridSpan w:val="2"/>
            <w:shd w:val="clear" w:color="auto" w:fill="1D2758"/>
          </w:tcPr>
          <w:p>
            <w:pPr>
              <w:jc w:val="right"/>
              <w:ind w:right="3"/>
              <w:spacing w:after="0" w:line="169" w:lineRule="exact"/>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shd w:val="clear" w:color="auto" w:fill="1D2758"/>
          </w:tcPr>
          <w:p>
            <w:pPr>
              <w:jc w:val="center"/>
              <w:spacing w:after="0" w:line="169"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45"/>
        </w:trPr>
        <w:tc>
          <w:tcPr>
            <w:tcW w:w="4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21"/>
                <w:szCs w:val="21"/>
                <w:color w:val="auto"/>
              </w:rPr>
            </w:pPr>
          </w:p>
        </w:tc>
        <w:tc>
          <w:tcPr>
            <w:tcW w:w="112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Shares</w:t>
            </w:r>
          </w:p>
        </w:tc>
        <w:tc>
          <w:tcPr>
            <w:tcW w:w="88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60" w:type="dxa"/>
            <w:vAlign w:val="bottom"/>
            <w:shd w:val="clear" w:color="auto" w:fill="1D2758"/>
          </w:tcPr>
          <w:p>
            <w:pPr>
              <w:spacing w:after="0"/>
              <w:rPr>
                <w:sz w:val="21"/>
                <w:szCs w:val="21"/>
                <w:color w:val="auto"/>
              </w:rPr>
            </w:pPr>
          </w:p>
        </w:tc>
        <w:tc>
          <w:tcPr>
            <w:tcW w:w="114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Paid-in-Capital</w:t>
            </w:r>
          </w:p>
        </w:tc>
        <w:tc>
          <w:tcPr>
            <w:tcW w:w="120" w:type="dxa"/>
            <w:vAlign w:val="bottom"/>
            <w:shd w:val="clear" w:color="auto" w:fill="1D2758"/>
          </w:tcPr>
          <w:p>
            <w:pPr>
              <w:spacing w:after="0"/>
              <w:rPr>
                <w:sz w:val="21"/>
                <w:szCs w:val="21"/>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Loss</w:t>
            </w:r>
          </w:p>
        </w:tc>
        <w:tc>
          <w:tcPr>
            <w:tcW w:w="220" w:type="dxa"/>
            <w:vAlign w:val="bottom"/>
            <w:shd w:val="clear" w:color="auto" w:fill="1D2758"/>
          </w:tcPr>
          <w:p>
            <w:pPr>
              <w:spacing w:after="0"/>
              <w:rPr>
                <w:sz w:val="21"/>
                <w:szCs w:val="21"/>
                <w:color w:val="auto"/>
              </w:rPr>
            </w:pPr>
          </w:p>
        </w:tc>
        <w:tc>
          <w:tcPr>
            <w:tcW w:w="90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21"/>
                <w:szCs w:val="21"/>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32"/>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2023</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189,967</w:t>
            </w:r>
          </w:p>
        </w:tc>
        <w:tc>
          <w:tcPr>
            <w:tcW w:w="880" w:type="dxa"/>
            <w:vAlign w:val="bottom"/>
            <w:shd w:val="clear" w:color="auto" w:fill="DBDBDB"/>
          </w:tcPr>
          <w:p>
            <w:pPr>
              <w:jc w:val="right"/>
              <w:ind w:right="683"/>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2,089,091</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(52,768)</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(775,093)</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1,261,250</w:t>
            </w:r>
          </w:p>
        </w:tc>
        <w:tc>
          <w:tcPr>
            <w:tcW w:w="0" w:type="dxa"/>
            <w:vAlign w:val="bottom"/>
          </w:tcPr>
          <w:p>
            <w:pPr>
              <w:spacing w:after="0"/>
              <w:rPr>
                <w:sz w:val="1"/>
                <w:szCs w:val="1"/>
                <w:color w:val="auto"/>
              </w:rPr>
            </w:pPr>
          </w:p>
        </w:tc>
      </w:tr>
      <w:tr>
        <w:trPr>
          <w:trHeight w:val="225"/>
        </w:trPr>
        <w:tc>
          <w:tcPr>
            <w:tcW w:w="41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56,240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56,240</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18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7,992</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7,992</w:t>
            </w:r>
          </w:p>
        </w:tc>
        <w:tc>
          <w:tcPr>
            <w:tcW w:w="0" w:type="dxa"/>
            <w:vAlign w:val="bottom"/>
          </w:tcPr>
          <w:p>
            <w:pPr>
              <w:spacing w:after="0"/>
              <w:rPr>
                <w:sz w:val="1"/>
                <w:szCs w:val="1"/>
                <w:color w:val="auto"/>
              </w:rPr>
            </w:pPr>
          </w:p>
        </w:tc>
      </w:tr>
      <w:tr>
        <w:trPr>
          <w:trHeight w:val="194"/>
        </w:trPr>
        <w:tc>
          <w:tcPr>
            <w:tcW w:w="4160" w:type="dxa"/>
            <w:vAlign w:val="bottom"/>
          </w:tcPr>
          <w:p>
            <w:pPr>
              <w:ind w:left="220"/>
              <w:spacing w:after="0"/>
              <w:rPr>
                <w:sz w:val="20"/>
                <w:szCs w:val="20"/>
                <w:color w:val="auto"/>
              </w:rPr>
            </w:pPr>
            <w:r>
              <w:rPr>
                <w:rFonts w:ascii="Arial" w:cs="Arial" w:eastAsia="Arial" w:hAnsi="Arial"/>
                <w:sz w:val="15"/>
                <w:szCs w:val="15"/>
                <w:color w:val="auto"/>
              </w:rPr>
              <w:t>Withholding taxes on net share settlement of stock-based</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(14,524)</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(14,524)</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628</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9,099</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9,099</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80" w:type="dxa"/>
            <w:vAlign w:val="bottom"/>
            <w:tcBorders>
              <w:bottom w:val="single" w:sz="8" w:color="DBDBDB"/>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69</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32"/>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March 31, 2024</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190,598</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2,083,735</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(44,776)</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(718,853)</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1,320,126</w:t>
            </w:r>
          </w:p>
        </w:tc>
        <w:tc>
          <w:tcPr>
            <w:tcW w:w="0" w:type="dxa"/>
            <w:vAlign w:val="bottom"/>
          </w:tcPr>
          <w:p>
            <w:pPr>
              <w:spacing w:after="0"/>
              <w:rPr>
                <w:sz w:val="1"/>
                <w:szCs w:val="1"/>
                <w:color w:val="auto"/>
              </w:rPr>
            </w:pPr>
          </w:p>
        </w:tc>
      </w:tr>
      <w:tr>
        <w:trPr>
          <w:trHeight w:val="225"/>
        </w:trPr>
        <w:tc>
          <w:tcPr>
            <w:tcW w:w="4160" w:type="dxa"/>
            <w:vAlign w:val="bottom"/>
          </w:tcPr>
          <w:p>
            <w:pPr>
              <w:ind w:left="220"/>
              <w:spacing w:after="0"/>
              <w:rPr>
                <w:sz w:val="20"/>
                <w:szCs w:val="20"/>
                <w:color w:val="auto"/>
              </w:rPr>
            </w:pPr>
            <w:r>
              <w:rPr>
                <w:rFonts w:ascii="Arial" w:cs="Arial" w:eastAsia="Arial" w:hAnsi="Arial"/>
                <w:sz w:val="15"/>
                <w:szCs w:val="15"/>
                <w:color w:val="auto"/>
              </w:rPr>
              <w:t>Net loss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(46,851)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(46,851)</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8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(2,530)</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(2,530)</w:t>
            </w:r>
          </w:p>
        </w:tc>
        <w:tc>
          <w:tcPr>
            <w:tcW w:w="0" w:type="dxa"/>
            <w:vAlign w:val="bottom"/>
          </w:tcPr>
          <w:p>
            <w:pPr>
              <w:spacing w:after="0"/>
              <w:rPr>
                <w:sz w:val="1"/>
                <w:szCs w:val="1"/>
                <w:color w:val="auto"/>
              </w:rPr>
            </w:pPr>
          </w:p>
        </w:tc>
      </w:tr>
      <w:tr>
        <w:trPr>
          <w:trHeight w:val="225"/>
        </w:trPr>
        <w:tc>
          <w:tcPr>
            <w:tcW w:w="4160" w:type="dxa"/>
            <w:vAlign w:val="bottom"/>
          </w:tcPr>
          <w:p>
            <w:pPr>
              <w:ind w:left="220"/>
              <w:spacing w:after="0"/>
              <w:rPr>
                <w:sz w:val="20"/>
                <w:szCs w:val="20"/>
                <w:color w:val="auto"/>
              </w:rPr>
            </w:pPr>
            <w:r>
              <w:rPr>
                <w:rFonts w:ascii="Arial" w:cs="Arial" w:eastAsia="Arial" w:hAnsi="Arial"/>
                <w:sz w:val="15"/>
                <w:szCs w:val="15"/>
                <w:color w:val="auto"/>
              </w:rPr>
              <w:t>Common Stock-based award activity</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26</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9,614</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9,614</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(2,036)</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(79,074)</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(79,075)</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80" w:type="dxa"/>
            <w:vAlign w:val="bottom"/>
            <w:tcBorders>
              <w:bottom w:val="single" w:sz="8" w:color="DBDBDB"/>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52</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32"/>
        </w:trPr>
        <w:tc>
          <w:tcPr>
            <w:tcW w:w="4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June 30, 2024</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188,592</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2,014,327</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(47,306)</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(765,704)</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1,201,336</w:t>
            </w:r>
          </w:p>
        </w:tc>
        <w:tc>
          <w:tcPr>
            <w:tcW w:w="0" w:type="dxa"/>
            <w:vAlign w:val="bottom"/>
          </w:tcPr>
          <w:p>
            <w:pPr>
              <w:spacing w:after="0"/>
              <w:rPr>
                <w:sz w:val="1"/>
                <w:szCs w:val="1"/>
                <w:color w:val="auto"/>
              </w:rPr>
            </w:pPr>
          </w:p>
        </w:tc>
      </w:tr>
      <w:tr>
        <w:trPr>
          <w:trHeight w:val="225"/>
        </w:trPr>
        <w:tc>
          <w:tcPr>
            <w:tcW w:w="4160" w:type="dxa"/>
            <w:vAlign w:val="bottom"/>
          </w:tcPr>
          <w:p>
            <w:pPr>
              <w:ind w:left="220"/>
              <w:spacing w:after="0"/>
              <w:rPr>
                <w:sz w:val="20"/>
                <w:szCs w:val="20"/>
                <w:color w:val="auto"/>
              </w:rPr>
            </w:pPr>
            <w:r>
              <w:rPr>
                <w:rFonts w:ascii="Arial" w:cs="Arial" w:eastAsia="Arial" w:hAnsi="Arial"/>
                <w:sz w:val="15"/>
                <w:szCs w:val="15"/>
                <w:color w:val="auto"/>
              </w:rPr>
              <w:t>Net loss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(70,475)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(70,475)</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8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(22,618)</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(22,618)</w:t>
            </w:r>
          </w:p>
        </w:tc>
        <w:tc>
          <w:tcPr>
            <w:tcW w:w="0" w:type="dxa"/>
            <w:vAlign w:val="bottom"/>
          </w:tcPr>
          <w:p>
            <w:pPr>
              <w:spacing w:after="0"/>
              <w:rPr>
                <w:sz w:val="1"/>
                <w:szCs w:val="1"/>
                <w:color w:val="auto"/>
              </w:rPr>
            </w:pPr>
          </w:p>
        </w:tc>
      </w:tr>
      <w:tr>
        <w:trPr>
          <w:trHeight w:val="194"/>
        </w:trPr>
        <w:tc>
          <w:tcPr>
            <w:tcW w:w="4160" w:type="dxa"/>
            <w:vAlign w:val="bottom"/>
          </w:tcPr>
          <w:p>
            <w:pPr>
              <w:ind w:left="220"/>
              <w:spacing w:after="0"/>
              <w:rPr>
                <w:sz w:val="20"/>
                <w:szCs w:val="20"/>
                <w:color w:val="auto"/>
              </w:rPr>
            </w:pPr>
            <w:r>
              <w:rPr>
                <w:rFonts w:ascii="Arial" w:cs="Arial" w:eastAsia="Arial" w:hAnsi="Arial"/>
                <w:sz w:val="15"/>
                <w:szCs w:val="15"/>
                <w:color w:val="auto"/>
              </w:rPr>
              <w:t>Withholding taxes on net share settlement of stock-based</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(1,429)</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(1,429)</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45</w:t>
            </w:r>
          </w:p>
        </w:tc>
        <w:tc>
          <w:tcPr>
            <w:tcW w:w="880" w:type="dxa"/>
            <w:vAlign w:val="bottom"/>
            <w:shd w:val="clear" w:color="auto" w:fill="DBDBDB"/>
          </w:tcPr>
          <w:p>
            <w:pPr>
              <w:spacing w:after="0"/>
              <w:rPr>
                <w:sz w:val="20"/>
                <w:szCs w:val="20"/>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9,534</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9,534</w:t>
            </w:r>
          </w:p>
        </w:tc>
        <w:tc>
          <w:tcPr>
            <w:tcW w:w="0" w:type="dxa"/>
            <w:vAlign w:val="bottom"/>
          </w:tcPr>
          <w:p>
            <w:pPr>
              <w:spacing w:after="0"/>
              <w:rPr>
                <w:sz w:val="1"/>
                <w:szCs w:val="1"/>
                <w:color w:val="auto"/>
              </w:rPr>
            </w:pPr>
          </w:p>
        </w:tc>
      </w:tr>
      <w:tr>
        <w:trPr>
          <w:trHeight w:val="225"/>
        </w:trPr>
        <w:tc>
          <w:tcPr>
            <w:tcW w:w="416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(1,588)</w:t>
            </w: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(62,269)</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(62,269)</w:t>
            </w:r>
          </w:p>
        </w:tc>
        <w:tc>
          <w:tcPr>
            <w:tcW w:w="0" w:type="dxa"/>
            <w:vAlign w:val="bottom"/>
          </w:tcPr>
          <w:p>
            <w:pPr>
              <w:spacing w:after="0"/>
              <w:rPr>
                <w:sz w:val="1"/>
                <w:szCs w:val="1"/>
                <w:color w:val="auto"/>
              </w:rPr>
            </w:pPr>
          </w:p>
        </w:tc>
      </w:tr>
      <w:tr>
        <w:trPr>
          <w:trHeight w:val="239"/>
        </w:trPr>
        <w:tc>
          <w:tcPr>
            <w:tcW w:w="4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80" w:type="dxa"/>
            <w:vAlign w:val="bottom"/>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DBDBDB"/>
          </w:tcPr>
          <w:p>
            <w:pPr>
              <w:spacing w:after="0"/>
              <w:rPr>
                <w:sz w:val="20"/>
                <w:szCs w:val="20"/>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20"/>
                <w:szCs w:val="20"/>
                <w:color w:val="auto"/>
              </w:rPr>
            </w:pP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20"/>
                <w:szCs w:val="20"/>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20"/>
                <w:szCs w:val="20"/>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4160" w:type="dxa"/>
            <w:vAlign w:val="bottom"/>
          </w:tcPr>
          <w:p>
            <w:pPr>
              <w:ind w:left="20"/>
              <w:spacing w:after="0"/>
              <w:rPr>
                <w:sz w:val="20"/>
                <w:szCs w:val="20"/>
                <w:color w:val="auto"/>
              </w:rPr>
            </w:pPr>
            <w:r>
              <w:rPr>
                <w:rFonts w:ascii="Arial" w:cs="Arial" w:eastAsia="Arial" w:hAnsi="Arial"/>
                <w:sz w:val="15"/>
                <w:szCs w:val="15"/>
                <w:color w:val="auto"/>
              </w:rPr>
              <w:t>Balance at September 30, 2024</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187,049</w:t>
            </w:r>
          </w:p>
        </w:tc>
        <w:tc>
          <w:tcPr>
            <w:tcW w:w="880" w:type="dxa"/>
            <w:vAlign w:val="bottom"/>
          </w:tcPr>
          <w:p>
            <w:pPr>
              <w:jc w:val="right"/>
              <w:ind w:right="683"/>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19</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1,960,163</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(69,924)</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(836,179)</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1,054,079</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Cash Flows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shd w:val="clear" w:color="auto" w:fill="1D2758"/>
          </w:tcPr>
          <w:p>
            <w:pPr>
              <w:spacing w:after="0"/>
              <w:rPr>
                <w:sz w:val="20"/>
                <w:szCs w:val="20"/>
                <w:color w:val="auto"/>
              </w:rPr>
            </w:pPr>
          </w:p>
        </w:tc>
        <w:tc>
          <w:tcPr>
            <w:tcW w:w="340" w:type="dxa"/>
            <w:vAlign w:val="bottom"/>
            <w:shd w:val="clear" w:color="auto" w:fill="1D2758"/>
          </w:tcPr>
          <w:p>
            <w:pPr>
              <w:spacing w:after="0"/>
              <w:rPr>
                <w:sz w:val="20"/>
                <w:szCs w:val="20"/>
                <w:color w:val="auto"/>
              </w:rPr>
            </w:pPr>
          </w:p>
        </w:tc>
        <w:tc>
          <w:tcPr>
            <w:tcW w:w="3360" w:type="dxa"/>
            <w:vAlign w:val="bottom"/>
            <w:gridSpan w:val="4"/>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26"/>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19"/>
                <w:szCs w:val="19"/>
                <w:color w:val="auto"/>
              </w:rPr>
            </w:pPr>
          </w:p>
        </w:tc>
        <w:tc>
          <w:tcPr>
            <w:tcW w:w="146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19"/>
                <w:szCs w:val="19"/>
                <w:color w:val="auto"/>
              </w:rPr>
            </w:pPr>
          </w:p>
        </w:tc>
        <w:tc>
          <w:tcPr>
            <w:tcW w:w="420" w:type="dxa"/>
            <w:vAlign w:val="bottom"/>
            <w:shd w:val="clear" w:color="auto" w:fill="1D2758"/>
          </w:tcPr>
          <w:p>
            <w:pPr>
              <w:spacing w:after="0"/>
              <w:rPr>
                <w:sz w:val="19"/>
                <w:szCs w:val="19"/>
                <w:color w:val="auto"/>
              </w:rPr>
            </w:pPr>
          </w:p>
        </w:tc>
        <w:tc>
          <w:tcPr>
            <w:tcW w:w="138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2024</w:t>
            </w:r>
          </w:p>
        </w:tc>
        <w:tc>
          <w:tcPr>
            <w:tcW w:w="0" w:type="dxa"/>
            <w:vAlign w:val="bottom"/>
          </w:tcPr>
          <w:p>
            <w:pPr>
              <w:spacing w:after="0"/>
              <w:rPr>
                <w:sz w:val="1"/>
                <w:szCs w:val="1"/>
                <w:color w:val="auto"/>
              </w:rPr>
            </w:pPr>
          </w:p>
        </w:tc>
      </w:tr>
      <w:tr>
        <w:trPr>
          <w:trHeight w:val="187"/>
        </w:trPr>
        <w:tc>
          <w:tcPr>
            <w:tcW w:w="754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1460" w:type="dxa"/>
            <w:vAlign w:val="bottom"/>
            <w:vMerge w:val="continue"/>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420" w:type="dxa"/>
            <w:vAlign w:val="bottom"/>
            <w:shd w:val="clear" w:color="auto" w:fill="1D2758"/>
          </w:tcPr>
          <w:p>
            <w:pPr>
              <w:spacing w:after="0"/>
              <w:rPr>
                <w:sz w:val="16"/>
                <w:szCs w:val="16"/>
                <w:color w:val="auto"/>
              </w:rPr>
            </w:pPr>
          </w:p>
        </w:tc>
        <w:tc>
          <w:tcPr>
            <w:tcW w:w="1380" w:type="dxa"/>
            <w:vAlign w:val="bottom"/>
            <w:vMerge w:val="continue"/>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134,326</w:t>
            </w:r>
          </w:p>
        </w:tc>
        <w:tc>
          <w:tcPr>
            <w:tcW w:w="100" w:type="dxa"/>
            <w:vAlign w:val="bottom"/>
          </w:tcPr>
          <w:p>
            <w:pPr>
              <w:spacing w:after="0"/>
              <w:rPr>
                <w:sz w:val="19"/>
                <w:szCs w:val="19"/>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(61,086)</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317,782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285,894</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37,579</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45,317</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Impairment loss on intangible asset</w:t>
            </w:r>
          </w:p>
        </w:tc>
        <w:tc>
          <w:tcPr>
            <w:tcW w:w="3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132,540</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(21,183)</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(19,103)</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10,011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9,192</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Stock-based compensation expense</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26,678</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28,247</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Deferred income tax expense (benefit)</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30,282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(47,789)</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Unrealized currency losses (gains), net</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Other</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2,559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3,129</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Trade receivables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(38,501)</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Inventories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3,703</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(5,398)</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Prepaid expenses and other assets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2,463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(12,583)</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(418)</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1,073</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72,647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35,879</w:t>
            </w: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340" w:type="dxa"/>
            <w:vAlign w:val="bottom"/>
            <w:tcBorders>
              <w:bottom w:val="single" w:sz="8" w:color="auto"/>
            </w:tcBorders>
            <w:shd w:val="clear" w:color="auto" w:fill="DBDBDB"/>
          </w:tcPr>
          <w:p>
            <w:pPr>
              <w:spacing w:after="0"/>
              <w:rPr>
                <w:sz w:val="20"/>
                <w:szCs w:val="20"/>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(5,780)</w:t>
            </w:r>
          </w:p>
        </w:tc>
        <w:tc>
          <w:tcPr>
            <w:tcW w:w="100" w:type="dxa"/>
            <w:vAlign w:val="bottom"/>
            <w:shd w:val="clear" w:color="auto" w:fill="DBDBDB"/>
          </w:tcPr>
          <w:p>
            <w:pPr>
              <w:spacing w:after="0"/>
              <w:rPr>
                <w:sz w:val="20"/>
                <w:szCs w:val="20"/>
                <w:color w:val="auto"/>
              </w:rPr>
            </w:pPr>
          </w:p>
        </w:tc>
        <w:tc>
          <w:tcPr>
            <w:tcW w:w="42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26,071</w:t>
            </w:r>
          </w:p>
        </w:tc>
        <w:tc>
          <w:tcPr>
            <w:tcW w:w="0" w:type="dxa"/>
            <w:vAlign w:val="bottom"/>
          </w:tcPr>
          <w:p>
            <w:pPr>
              <w:spacing w:after="0"/>
              <w:rPr>
                <w:sz w:val="1"/>
                <w:szCs w:val="1"/>
                <w:color w:val="auto"/>
              </w:rPr>
            </w:pPr>
          </w:p>
        </w:tc>
      </w:tr>
      <w:tr>
        <w:trPr>
          <w:trHeight w:val="225"/>
        </w:trPr>
        <w:tc>
          <w:tcPr>
            <w:tcW w:w="7540" w:type="dxa"/>
            <w:vAlign w:val="bottom"/>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603,089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382,725</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Acquisitions, net of cash acquired</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(144,387)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(84,462)</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(238,839)</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(206,989)</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46,045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43,906</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(15,164)</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(16,119)</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Proceeds from sale of property, plant and equipment</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2,203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1,133</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Purchases of investments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(614)</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(6,137)</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Maturities of marketable securities</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1,090</w:t>
            </w: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(349,666)</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(268,668)</w:t>
            </w:r>
          </w:p>
        </w:tc>
        <w:tc>
          <w:tcPr>
            <w:tcW w:w="0" w:type="dxa"/>
            <w:vAlign w:val="bottom"/>
          </w:tcPr>
          <w:p>
            <w:pPr>
              <w:spacing w:after="0"/>
              <w:rPr>
                <w:sz w:val="1"/>
                <w:szCs w:val="1"/>
                <w:color w:val="auto"/>
              </w:rPr>
            </w:pPr>
          </w:p>
        </w:tc>
      </w:tr>
      <w:tr>
        <w:trPr>
          <w:trHeight w:val="225"/>
        </w:trPr>
        <w:tc>
          <w:tcPr>
            <w:tcW w:w="754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Receipts from borrowings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977,756</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1,101,484</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Repayment of borrowings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(1,082,693)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(1,046,793)</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of financing costs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(7,328)</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(6,932)</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Payments on finance lease obligations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(17,740)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(14,815)</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10,040</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Repurchase and cancellation of Common Stock</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(82,499)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(130,346)</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Taxes paid on employee stock awards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(8,009)</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(15,953)</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Dividends paid</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(38,368)</w:t>
            </w: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(248,841)</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(113,234)</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1,174</w:t>
            </w: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(735)</w:t>
            </w: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5,756</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Cash and cash equivalents at the beginning of the period</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9,001</w:t>
            </w: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10,958</w:t>
            </w:r>
          </w:p>
        </w:tc>
        <w:tc>
          <w:tcPr>
            <w:tcW w:w="0" w:type="dxa"/>
            <w:vAlign w:val="bottom"/>
          </w:tcPr>
          <w:p>
            <w:pPr>
              <w:spacing w:after="0"/>
              <w:rPr>
                <w:sz w:val="1"/>
                <w:szCs w:val="1"/>
                <w:color w:val="auto"/>
              </w:rPr>
            </w:pPr>
          </w:p>
        </w:tc>
      </w:tr>
      <w:tr>
        <w:trPr>
          <w:trHeight w:val="257"/>
        </w:trPr>
        <w:tc>
          <w:tcPr>
            <w:tcW w:w="75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Cash and cash equivalents at the end of the period</w:t>
            </w: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14,757</w:t>
            </w:r>
          </w:p>
        </w:tc>
        <w:tc>
          <w:tcPr>
            <w:tcW w:w="10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11,046</w:t>
            </w:r>
          </w:p>
        </w:tc>
        <w:tc>
          <w:tcPr>
            <w:tcW w:w="0" w:type="dxa"/>
            <w:vAlign w:val="bottom"/>
          </w:tcPr>
          <w:p>
            <w:pPr>
              <w:spacing w:after="0"/>
              <w:rPr>
                <w:sz w:val="1"/>
                <w:szCs w:val="1"/>
                <w:color w:val="auto"/>
              </w:rPr>
            </w:pPr>
          </w:p>
        </w:tc>
      </w:tr>
      <w:tr>
        <w:trPr>
          <w:trHeight w:val="20"/>
        </w:trPr>
        <w:tc>
          <w:tcPr>
            <w:tcW w:w="75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Supplemental cash flow information:</w:t>
            </w:r>
          </w:p>
        </w:tc>
        <w:tc>
          <w:tcPr>
            <w:tcW w:w="340" w:type="dxa"/>
            <w:vAlign w:val="bottom"/>
            <w:shd w:val="clear" w:color="auto" w:fill="DBDBDB"/>
          </w:tcPr>
          <w:p>
            <w:pPr>
              <w:spacing w:after="0"/>
              <w:rPr>
                <w:sz w:val="20"/>
                <w:szCs w:val="20"/>
                <w:color w:val="auto"/>
              </w:rPr>
            </w:pPr>
          </w:p>
        </w:tc>
        <w:tc>
          <w:tcPr>
            <w:tcW w:w="14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Interest paid, net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139,551</w:t>
            </w:r>
          </w:p>
        </w:tc>
        <w:tc>
          <w:tcPr>
            <w:tcW w:w="100" w:type="dxa"/>
            <w:vAlign w:val="bottom"/>
          </w:tcPr>
          <w:p>
            <w:pPr>
              <w:spacing w:after="0"/>
              <w:rPr>
                <w:sz w:val="19"/>
                <w:szCs w:val="19"/>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141,702</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taxes paid, net</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14,529</w:t>
            </w:r>
          </w:p>
        </w:tc>
        <w:tc>
          <w:tcPr>
            <w:tcW w:w="100" w:type="dxa"/>
            <w:vAlign w:val="bottom"/>
            <w:shd w:val="clear" w:color="auto" w:fill="DBDBDB"/>
          </w:tcPr>
          <w:p>
            <w:pPr>
              <w:spacing w:after="0"/>
              <w:rPr>
                <w:sz w:val="20"/>
                <w:szCs w:val="20"/>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42,693</w:t>
            </w:r>
          </w:p>
        </w:tc>
        <w:tc>
          <w:tcPr>
            <w:tcW w:w="0" w:type="dxa"/>
            <w:vAlign w:val="bottom"/>
          </w:tcPr>
          <w:p>
            <w:pPr>
              <w:spacing w:after="0"/>
              <w:rPr>
                <w:sz w:val="1"/>
                <w:szCs w:val="1"/>
                <w:color w:val="auto"/>
              </w:rPr>
            </w:pPr>
          </w:p>
        </w:tc>
      </w:tr>
      <w:tr>
        <w:trPr>
          <w:trHeight w:val="218"/>
        </w:trPr>
        <w:tc>
          <w:tcPr>
            <w:tcW w:w="7540" w:type="dxa"/>
            <w:vAlign w:val="bottom"/>
          </w:tcPr>
          <w:p>
            <w:pPr>
              <w:ind w:left="220"/>
              <w:spacing w:after="0"/>
              <w:rPr>
                <w:sz w:val="20"/>
                <w:szCs w:val="20"/>
                <w:color w:val="auto"/>
              </w:rPr>
            </w:pPr>
            <w:r>
              <w:rPr>
                <w:rFonts w:ascii="Arial" w:cs="Arial" w:eastAsia="Arial" w:hAnsi="Arial"/>
                <w:sz w:val="15"/>
                <w:szCs w:val="15"/>
                <w:color w:val="auto"/>
              </w:rPr>
              <w:t>Capital expenditures accrued or payable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16,376</w:t>
            </w:r>
          </w:p>
        </w:tc>
        <w:tc>
          <w:tcPr>
            <w:tcW w:w="100" w:type="dxa"/>
            <w:vAlign w:val="bottom"/>
          </w:tcPr>
          <w:p>
            <w:pPr>
              <w:spacing w:after="0"/>
              <w:rPr>
                <w:sz w:val="18"/>
                <w:szCs w:val="18"/>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13,326</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ectPr>
          <w:pgSz w:w="11900" w:h="16838" w:orient="portrait"/>
          <w:cols w:equalWidth="0" w:num="1">
            <w:col w:w="11240"/>
          </w:cols>
          <w:pgMar w:left="320" w:top="947"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ind w:right="2040" w:firstLine="2044"/>
        <w:spacing w:after="0" w:line="323" w:lineRule="auto"/>
        <w:rPr>
          <w:sz w:val="20"/>
          <w:szCs w:val="20"/>
          <w:color w:val="auto"/>
        </w:rPr>
      </w:pPr>
      <w:r>
        <w:rPr>
          <w:rFonts w:ascii="Arial" w:cs="Arial" w:eastAsia="Arial" w:hAnsi="Arial"/>
          <w:sz w:val="22"/>
          <w:szCs w:val="22"/>
          <w:color w:val="1D2758"/>
        </w:rPr>
        <w:t>Notes to the Condensed Consolidated Financial Statements (Unaudited) NOTE 1 - Summary of Significant Accounting Policies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WillScot Holdings Corporation (“WillScot” and, together with its subsidiaries, the “Company”) is a leading business services provider specializing in innovative and flexible turnkey space solutions in the United States (“US”), Canada, and Mexico. The Company leases, sells, delivers and installs modular space solutions (modular office complexes, mobile offices, classrooms, blast-resistant modules, clearspan structures and sanitation solutions) and portable storage products (portable storage containers and climate-controlled containers and trailers) through an integrated network of branch locations. WillScot also offers its customers a thoughtfully curated selection of solutions with Value-Added Products ("VAPS"), such as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overall customer experience. The Company operates a hybrid in-house and outsourced logistics and service infrastructure that provides delivery, site work, installation, disassembly, removal and other services to customers for an additional fee as part of leasing and sales operations.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accounting principles generally accepted in the US ("GAAP") for complete financial statements. The accompanying unaudited condensed consolidated financial statements comprise the financial statements of WillScot and its subsidiaries, that it controls due to ownership of a majority voting interest, and contain all adjustments, which are of a normal and recurring nature, considered necessary by management to present fairly the financial position, results of operations and cash flows for the interim periods presented.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WillScot. All intercompany balances and transactions are eliminated in consolidation.</w:t>
      </w:r>
    </w:p>
    <w:p>
      <w:pPr>
        <w:spacing w:after="0" w:line="2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results of operations for the three and nine months ended September 30, 2025 are not necessarily indicative of the results to be expected for the full year. For further information, refer to the consolidated financial statements and notes included in the Company's Annual Report on Form 10-K for the year ended December 31, 2024.</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In December 2023, the Financial Accounting Standards Board ("FASB") issued Accounting Standards Update ("ASU") No. 2023-09 </w:t>
      </w:r>
      <w:r>
        <w:rPr>
          <w:rFonts w:ascii="Arial" w:cs="Arial" w:eastAsia="Arial" w:hAnsi="Arial"/>
          <w:sz w:val="15"/>
          <w:szCs w:val="15"/>
          <w:i w:val="1"/>
          <w:iCs w:val="1"/>
          <w:color w:val="auto"/>
        </w:rPr>
        <w:t>Income Taxes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740): Improvements to Income Tax Disclosures </w:t>
      </w:r>
      <w:r>
        <w:rPr>
          <w:rFonts w:ascii="Arial" w:cs="Arial" w:eastAsia="Arial" w:hAnsi="Arial"/>
          <w:sz w:val="15"/>
          <w:szCs w:val="15"/>
          <w:color w:val="auto"/>
        </w:rPr>
        <w:t>("ASU 2023-09"), which requires entities to disclose more detailed information in the reconciliation of their statutory</w:t>
      </w:r>
      <w:r>
        <w:rPr>
          <w:rFonts w:ascii="Arial" w:cs="Arial" w:eastAsia="Arial" w:hAnsi="Arial"/>
          <w:sz w:val="15"/>
          <w:szCs w:val="15"/>
          <w:i w:val="1"/>
          <w:iCs w:val="1"/>
          <w:color w:val="auto"/>
        </w:rPr>
        <w:t xml:space="preserve"> </w:t>
      </w:r>
      <w:r>
        <w:rPr>
          <w:rFonts w:ascii="Arial" w:cs="Arial" w:eastAsia="Arial" w:hAnsi="Arial"/>
          <w:sz w:val="15"/>
          <w:szCs w:val="15"/>
          <w:color w:val="auto"/>
        </w:rPr>
        <w:t>tax rate to their effective tax rate and their income taxes paid. ASU 2023-09 is effective for annual reporting periods beginning after December 15, 2024. The Company is evaluating the impact of ASU 2023-09 on its income tax disclosures.</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xml:space="preserve">In November 2024, the FASB issued ASU No. 2024-03 </w:t>
      </w:r>
      <w:r>
        <w:rPr>
          <w:rFonts w:ascii="Arial" w:cs="Arial" w:eastAsia="Arial" w:hAnsi="Arial"/>
          <w:sz w:val="15"/>
          <w:szCs w:val="15"/>
          <w:i w:val="1"/>
          <w:iCs w:val="1"/>
          <w:color w:val="auto"/>
        </w:rPr>
        <w:t>Income Statement - Reporting Comprehensive Income - Expense Disaggregation Disclosures</w:t>
      </w:r>
    </w:p>
    <w:p>
      <w:pPr>
        <w:spacing w:after="0" w:line="3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i w:val="1"/>
          <w:iCs w:val="1"/>
          <w:color w:val="auto"/>
        </w:rPr>
        <w:t xml:space="preserve">(Subtopic 220-40): Disaggregation of Income Statement Expenses </w:t>
      </w:r>
      <w:r>
        <w:rPr>
          <w:rFonts w:ascii="Arial" w:cs="Arial" w:eastAsia="Arial" w:hAnsi="Arial"/>
          <w:sz w:val="15"/>
          <w:szCs w:val="15"/>
          <w:color w:val="auto"/>
        </w:rPr>
        <w:t>("ASU 2024-03"), which requires incremental disclosures about specific expense categories,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but not limited to, purchases of inventory, employee compensation, depreciation, amortization, and selling expenses. The amendments are effective for annual reporting periods beginning after December 15, 2026, and interim reporting periods within annual reporting periods beginning after December 15, 2027. The Company is evaluating the impact of ASU 2024-03 on its disclosures.</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xml:space="preserve">In September 2025, the FASB issued ASU No. 2025-06 </w:t>
      </w:r>
      <w:r>
        <w:rPr>
          <w:rFonts w:ascii="Arial" w:cs="Arial" w:eastAsia="Arial" w:hAnsi="Arial"/>
          <w:sz w:val="15"/>
          <w:szCs w:val="15"/>
          <w:i w:val="1"/>
          <w:iCs w:val="1"/>
          <w:color w:val="auto"/>
        </w:rPr>
        <w:t>Intangibles - Goodwill and Other Internal-Use Software (Subtopic 350-40): Targeted Improvements</w:t>
      </w:r>
    </w:p>
    <w:p>
      <w:pPr>
        <w:spacing w:after="0" w:line="3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i w:val="1"/>
          <w:iCs w:val="1"/>
          <w:color w:val="auto"/>
        </w:rPr>
        <w:t xml:space="preserve">to the Accounting for Internal-Use Software </w:t>
      </w:r>
      <w:r>
        <w:rPr>
          <w:rFonts w:ascii="Arial" w:cs="Arial" w:eastAsia="Arial" w:hAnsi="Arial"/>
          <w:sz w:val="15"/>
          <w:szCs w:val="15"/>
          <w:color w:val="auto"/>
        </w:rPr>
        <w:t>("ASU 2025-06") to modernize the accounting guidance for costs incurred to develop internal-use software,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which costs are required to be recognized as an asset. ASU 2025-06 is effective for annual and interim reporting periods beginning after December 15, 2027. The Company is evaluating the impact of ASU 2025-06 on its accounting and disclosures.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 xml:space="preserve">In July 2025, the FASB issued ASU No. 2025-05 </w:t>
      </w:r>
      <w:r>
        <w:rPr>
          <w:rFonts w:ascii="Arial" w:cs="Arial" w:eastAsia="Arial" w:hAnsi="Arial"/>
          <w:sz w:val="15"/>
          <w:szCs w:val="15"/>
          <w:i w:val="1"/>
          <w:iCs w:val="1"/>
          <w:color w:val="auto"/>
        </w:rPr>
        <w:t>Financial Instruments - Credit Losses (Topic 326): Measurement of Credit Losses for Accounts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Receivable and Contract Assets </w:t>
      </w:r>
      <w:r>
        <w:rPr>
          <w:rFonts w:ascii="Arial" w:cs="Arial" w:eastAsia="Arial" w:hAnsi="Arial"/>
          <w:sz w:val="15"/>
          <w:szCs w:val="15"/>
          <w:color w:val="auto"/>
        </w:rPr>
        <w:t>("ASU 2025-05"), which provides a practical expedient and, if applicable, an accounting policy election to simplify the measurement</w:t>
      </w:r>
      <w:r>
        <w:rPr>
          <w:rFonts w:ascii="Arial" w:cs="Arial" w:eastAsia="Arial" w:hAnsi="Arial"/>
          <w:sz w:val="15"/>
          <w:szCs w:val="15"/>
          <w:i w:val="1"/>
          <w:iCs w:val="1"/>
          <w:color w:val="auto"/>
        </w:rPr>
        <w:t xml:space="preserve"> </w:t>
      </w:r>
      <w:r>
        <w:rPr>
          <w:rFonts w:ascii="Arial" w:cs="Arial" w:eastAsia="Arial" w:hAnsi="Arial"/>
          <w:sz w:val="15"/>
          <w:szCs w:val="15"/>
          <w:color w:val="auto"/>
        </w:rPr>
        <w:t>of credit losses for certain receivables and contract assets. ASU 2025-05 is effective for annual and interim reporting periods beginning after December 15, 2025 and may be early adopted. Effective July 1, 2025, the Company early adopted ASU 2025-05, electing the practical expedient permitting an entity to assume that current conditions as of the balance sheet date remain unchanged over the life of the asset when estimating expected credit losses for current accounts receivable and current contract assets. The adoption of ASU 2025-05 did not have a material impact on the Company's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1D2758"/>
        </w:rPr>
        <w:t>NOTE 2 - Business Combination and Acquisition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During the nine months ended September 30, 2025, the Company acquired a regional provider of climate-controlled containers and trailers for $115.6 million, net of cash acquired, the tangible assets of which consisted primarily of approximately 2,100 temperature-controlled units. As of the acquisition date, the fair value of the goodwill recognized was $54.5 million, the fair value of the intangible assets acquired was $18.7 million, and the fair value of rental equipment acquired was $36.6 million. The preliminary accounting for the transaction, including the valuation of acquired rental equipment and intangible assets, was based on the best estimates of management and is subject to revision based on the final valuations. Goodwill recognized is attributable to expected operating synergies, assembled workforce, and the going concern value of the acquired business. Goodwill recorded for this acquisition is deductible for tax purposes. Revenue and earnings from the business combination following the acquisition date are not available, as the business was integrated into the Company's centralized financial and operational processes following the acquisition.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During the nine months ended September 30, 2025, the Company acquired $23.2 million in rental fleet assets from two companies for $25.8 million in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cash.</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1D2758"/>
        </w:rPr>
        <w:t>NOTE 3 - Revenue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Geographic Areas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total revenue in the following geographic areas for the three and nine months ended September 30, 2025 and 2024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7"/>
                <w:szCs w:val="17"/>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14"/>
        </w:trPr>
        <w:tc>
          <w:tcPr>
            <w:tcW w:w="47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8"/>
                <w:szCs w:val="18"/>
                <w:color w:val="auto"/>
              </w:rPr>
            </w:pPr>
          </w:p>
        </w:tc>
      </w:tr>
      <w:tr>
        <w:trPr>
          <w:trHeight w:val="239"/>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560" w:type="dxa"/>
            <w:vAlign w:val="bottom"/>
            <w:shd w:val="clear" w:color="auto" w:fill="1D2758"/>
          </w:tcPr>
          <w:p>
            <w:pPr>
              <w:spacing w:after="0"/>
              <w:rPr>
                <w:sz w:val="20"/>
                <w:szCs w:val="20"/>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560" w:type="dxa"/>
            <w:vAlign w:val="bottom"/>
            <w:shd w:val="clear" w:color="auto" w:fill="1D2758"/>
          </w:tcPr>
          <w:p>
            <w:pPr>
              <w:spacing w:after="0"/>
              <w:rPr>
                <w:sz w:val="20"/>
                <w:szCs w:val="20"/>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533,085</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565,021</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1,614,847</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1,683,434</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Canada</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28,453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29,657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84,771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88,495</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5,303</w:t>
            </w:r>
          </w:p>
        </w:tc>
        <w:tc>
          <w:tcPr>
            <w:tcW w:w="80" w:type="dxa"/>
            <w:vAlign w:val="bottom"/>
            <w:shd w:val="clear" w:color="auto" w:fill="DBDBDB"/>
          </w:tcPr>
          <w:p>
            <w:pPr>
              <w:spacing w:after="0"/>
              <w:rPr>
                <w:sz w:val="20"/>
                <w:szCs w:val="20"/>
                <w:color w:val="auto"/>
              </w:rPr>
            </w:pPr>
          </w:p>
        </w:tc>
        <w:tc>
          <w:tcPr>
            <w:tcW w:w="560" w:type="dxa"/>
            <w:vAlign w:val="bottom"/>
            <w:tcBorders>
              <w:bottom w:val="single" w:sz="8" w:color="auto"/>
            </w:tcBorders>
            <w:shd w:val="clear" w:color="auto" w:fill="DBDBDB"/>
          </w:tcPr>
          <w:p>
            <w:pPr>
              <w:spacing w:after="0"/>
              <w:rPr>
                <w:sz w:val="20"/>
                <w:szCs w:val="20"/>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6,754</w:t>
            </w: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15,857</w:t>
            </w:r>
          </w:p>
        </w:tc>
        <w:tc>
          <w:tcPr>
            <w:tcW w:w="80" w:type="dxa"/>
            <w:vAlign w:val="bottom"/>
            <w:shd w:val="clear" w:color="auto" w:fill="DBDBDB"/>
          </w:tcPr>
          <w:p>
            <w:pPr>
              <w:spacing w:after="0"/>
              <w:rPr>
                <w:sz w:val="20"/>
                <w:szCs w:val="20"/>
                <w:color w:val="auto"/>
              </w:rPr>
            </w:pPr>
          </w:p>
        </w:tc>
        <w:tc>
          <w:tcPr>
            <w:tcW w:w="560" w:type="dxa"/>
            <w:vAlign w:val="bottom"/>
            <w:tcBorders>
              <w:bottom w:val="single" w:sz="8" w:color="auto"/>
            </w:tcBorders>
            <w:shd w:val="clear" w:color="auto" w:fill="DBDBDB"/>
          </w:tcPr>
          <w:p>
            <w:pPr>
              <w:spacing w:after="0"/>
              <w:rPr>
                <w:sz w:val="20"/>
                <w:szCs w:val="20"/>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21,274</w:t>
            </w:r>
          </w:p>
        </w:tc>
      </w:tr>
      <w:tr>
        <w:trPr>
          <w:trHeight w:val="232"/>
        </w:trPr>
        <w:tc>
          <w:tcPr>
            <w:tcW w:w="4740" w:type="dxa"/>
            <w:vAlign w:val="bottom"/>
          </w:tcPr>
          <w:p>
            <w:pPr>
              <w:ind w:left="12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566,841</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601,432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1,715,475</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1,793,203</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Major Product and Service Lines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turnkey space solutions along with VAPS. Leasing is complemented by new unit sales and sales of rental units. In connection with its leasing and sales activities, the Company provides services including delivery and installation, maintenance, removal, and other ad hoc services.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0" w:name="page11"/>
    <w:bookmarkEnd w:id="10"/>
    <w:p>
      <w:pPr>
        <w:ind w:left="620"/>
        <w:spacing w:after="0"/>
        <w:rPr>
          <w:sz w:val="20"/>
          <w:szCs w:val="20"/>
          <w:color w:val="auto"/>
        </w:rPr>
      </w:pPr>
      <w:r>
        <w:rPr>
          <w:rFonts w:ascii="Arial" w:cs="Arial" w:eastAsia="Arial" w:hAnsi="Arial"/>
          <w:sz w:val="15"/>
          <w:szCs w:val="15"/>
          <w:color w:val="auto"/>
        </w:rPr>
        <w:t>The Company’s revenue by major product and service line for the three and nine months ended September 30, 2025 and 2024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7"/>
                <w:szCs w:val="17"/>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14"/>
        </w:trPr>
        <w:tc>
          <w:tcPr>
            <w:tcW w:w="47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8"/>
                <w:szCs w:val="18"/>
                <w:color w:val="auto"/>
              </w:rPr>
            </w:pPr>
          </w:p>
        </w:tc>
      </w:tr>
      <w:tr>
        <w:trPr>
          <w:trHeight w:val="239"/>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560" w:type="dxa"/>
            <w:vAlign w:val="bottom"/>
            <w:shd w:val="clear" w:color="auto" w:fill="1D2758"/>
          </w:tcPr>
          <w:p>
            <w:pPr>
              <w:spacing w:after="0"/>
              <w:rPr>
                <w:sz w:val="20"/>
                <w:szCs w:val="20"/>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560" w:type="dxa"/>
            <w:vAlign w:val="bottom"/>
            <w:shd w:val="clear" w:color="auto" w:fill="1D2758"/>
          </w:tcPr>
          <w:p>
            <w:pPr>
              <w:spacing w:after="0"/>
              <w:rPr>
                <w:sz w:val="20"/>
                <w:szCs w:val="20"/>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DDDDD"/>
          </w:tcPr>
          <w:p>
            <w:pPr>
              <w:ind w:left="20"/>
              <w:spacing w:after="0"/>
              <w:rPr>
                <w:sz w:val="20"/>
                <w:szCs w:val="20"/>
                <w:color w:val="auto"/>
              </w:rPr>
            </w:pPr>
            <w:r>
              <w:rPr>
                <w:rFonts w:ascii="Arial" w:cs="Arial" w:eastAsia="Arial" w:hAnsi="Arial"/>
                <w:sz w:val="15"/>
                <w:szCs w:val="15"/>
                <w:color w:val="auto"/>
              </w:rPr>
              <w:t>Modular space leasing revenue</w:t>
            </w:r>
            <w:r>
              <w:rPr>
                <w:rFonts w:ascii="Arial" w:cs="Arial" w:eastAsia="Arial" w:hAnsi="Arial"/>
                <w:sz w:val="20"/>
                <w:szCs w:val="20"/>
                <w:color w:val="auto"/>
                <w:vertAlign w:val="superscript"/>
              </w:rPr>
              <w:t>(a)</w:t>
            </w:r>
          </w:p>
        </w:tc>
        <w:tc>
          <w:tcPr>
            <w:tcW w:w="360" w:type="dxa"/>
            <w:vAlign w:val="bottom"/>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250,754</w:t>
            </w:r>
          </w:p>
        </w:tc>
        <w:tc>
          <w:tcPr>
            <w:tcW w:w="80" w:type="dxa"/>
            <w:vAlign w:val="bottom"/>
            <w:shd w:val="clear" w:color="auto" w:fill="DDDDDD"/>
          </w:tcPr>
          <w:p>
            <w:pPr>
              <w:spacing w:after="0"/>
              <w:rPr>
                <w:sz w:val="20"/>
                <w:szCs w:val="20"/>
                <w:color w:val="auto"/>
              </w:rPr>
            </w:pPr>
          </w:p>
        </w:tc>
        <w:tc>
          <w:tcPr>
            <w:tcW w:w="560" w:type="dxa"/>
            <w:vAlign w:val="bottom"/>
            <w:shd w:val="clear" w:color="auto" w:fill="DDDDDD"/>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254,531</w:t>
            </w:r>
          </w:p>
        </w:tc>
        <w:tc>
          <w:tcPr>
            <w:tcW w:w="100" w:type="dxa"/>
            <w:vAlign w:val="bottom"/>
            <w:shd w:val="clear" w:color="auto" w:fill="DDDDDD"/>
          </w:tcPr>
          <w:p>
            <w:pPr>
              <w:spacing w:after="0"/>
              <w:rPr>
                <w:sz w:val="20"/>
                <w:szCs w:val="20"/>
                <w:color w:val="auto"/>
              </w:rPr>
            </w:pPr>
          </w:p>
        </w:tc>
        <w:tc>
          <w:tcPr>
            <w:tcW w:w="360" w:type="dxa"/>
            <w:vAlign w:val="bottom"/>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747,993</w:t>
            </w:r>
          </w:p>
        </w:tc>
        <w:tc>
          <w:tcPr>
            <w:tcW w:w="80" w:type="dxa"/>
            <w:vAlign w:val="bottom"/>
            <w:shd w:val="clear" w:color="auto" w:fill="DDDDDD"/>
          </w:tcPr>
          <w:p>
            <w:pPr>
              <w:spacing w:after="0"/>
              <w:rPr>
                <w:sz w:val="20"/>
                <w:szCs w:val="20"/>
                <w:color w:val="auto"/>
              </w:rPr>
            </w:pPr>
          </w:p>
        </w:tc>
        <w:tc>
          <w:tcPr>
            <w:tcW w:w="560" w:type="dxa"/>
            <w:vAlign w:val="bottom"/>
            <w:shd w:val="clear" w:color="auto" w:fill="DDDDDD"/>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760,404</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79,756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85,746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236,354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263,628</w:t>
            </w:r>
          </w:p>
        </w:tc>
      </w:tr>
      <w:tr>
        <w:trPr>
          <w:trHeight w:val="239"/>
        </w:trPr>
        <w:tc>
          <w:tcPr>
            <w:tcW w:w="4740" w:type="dxa"/>
            <w:vAlign w:val="bottom"/>
            <w:shd w:val="clear" w:color="auto" w:fill="DDDDDD"/>
          </w:tcPr>
          <w:p>
            <w:pPr>
              <w:ind w:left="20"/>
              <w:spacing w:after="0"/>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20"/>
                <w:szCs w:val="20"/>
                <w:color w:val="auto"/>
                <w:vertAlign w:val="superscript"/>
              </w:rPr>
              <w:t>(b)</w:t>
            </w: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100,217</w:t>
            </w:r>
          </w:p>
        </w:tc>
        <w:tc>
          <w:tcPr>
            <w:tcW w:w="8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100,176</w:t>
            </w:r>
          </w:p>
        </w:tc>
        <w:tc>
          <w:tcPr>
            <w:tcW w:w="10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296,587</w:t>
            </w:r>
          </w:p>
        </w:tc>
        <w:tc>
          <w:tcPr>
            <w:tcW w:w="8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296,602</w:t>
            </w:r>
          </w:p>
        </w:tc>
      </w:tr>
      <w:tr>
        <w:trPr>
          <w:trHeight w:val="232"/>
        </w:trPr>
        <w:tc>
          <w:tcPr>
            <w:tcW w:w="474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(b)(c)</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3,497</w:t>
            </w:r>
          </w:p>
        </w:tc>
        <w:tc>
          <w:tcPr>
            <w:tcW w:w="80" w:type="dxa"/>
            <w:vAlign w:val="bottom"/>
            <w:tcBorders>
              <w:bottom w:val="single" w:sz="8" w:color="DDDDDD"/>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15,125</w:t>
            </w:r>
          </w:p>
        </w:tc>
        <w:tc>
          <w:tcPr>
            <w:tcW w:w="10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30,596</w:t>
            </w:r>
          </w:p>
        </w:tc>
        <w:tc>
          <w:tcPr>
            <w:tcW w:w="80" w:type="dxa"/>
            <w:vAlign w:val="bottom"/>
            <w:tcBorders>
              <w:bottom w:val="single" w:sz="8" w:color="DDDDDD"/>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54,137</w:t>
            </w:r>
          </w:p>
        </w:tc>
      </w:tr>
      <w:tr>
        <w:trPr>
          <w:trHeight w:val="225"/>
        </w:trPr>
        <w:tc>
          <w:tcPr>
            <w:tcW w:w="47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Leasing revenue</w:t>
            </w:r>
          </w:p>
        </w:tc>
        <w:tc>
          <w:tcPr>
            <w:tcW w:w="360" w:type="dxa"/>
            <w:vAlign w:val="bottom"/>
            <w:shd w:val="clear" w:color="auto" w:fill="DDDDDD"/>
          </w:tcPr>
          <w:p>
            <w:pPr>
              <w:spacing w:after="0"/>
              <w:rPr>
                <w:sz w:val="19"/>
                <w:szCs w:val="19"/>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434,224</w:t>
            </w:r>
          </w:p>
        </w:tc>
        <w:tc>
          <w:tcPr>
            <w:tcW w:w="80" w:type="dxa"/>
            <w:vAlign w:val="bottom"/>
            <w:shd w:val="clear" w:color="auto" w:fill="DDDDDD"/>
          </w:tcPr>
          <w:p>
            <w:pPr>
              <w:spacing w:after="0"/>
              <w:rPr>
                <w:sz w:val="19"/>
                <w:szCs w:val="19"/>
                <w:color w:val="auto"/>
              </w:rPr>
            </w:pPr>
          </w:p>
        </w:tc>
        <w:tc>
          <w:tcPr>
            <w:tcW w:w="56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455,578</w:t>
            </w:r>
          </w:p>
        </w:tc>
        <w:tc>
          <w:tcPr>
            <w:tcW w:w="10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1,311,530</w:t>
            </w:r>
          </w:p>
        </w:tc>
        <w:tc>
          <w:tcPr>
            <w:tcW w:w="80" w:type="dxa"/>
            <w:vAlign w:val="bottom"/>
            <w:shd w:val="clear" w:color="auto" w:fill="DDDDDD"/>
          </w:tcPr>
          <w:p>
            <w:pPr>
              <w:spacing w:after="0"/>
              <w:rPr>
                <w:sz w:val="19"/>
                <w:szCs w:val="19"/>
                <w:color w:val="auto"/>
              </w:rPr>
            </w:pPr>
          </w:p>
        </w:tc>
        <w:tc>
          <w:tcPr>
            <w:tcW w:w="56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1,374,771</w:t>
            </w:r>
          </w:p>
        </w:tc>
      </w:tr>
      <w:tr>
        <w:trPr>
          <w:trHeight w:val="225"/>
        </w:trPr>
        <w:tc>
          <w:tcPr>
            <w:tcW w:w="474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Delivery and installation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98,517</w:t>
            </w:r>
          </w:p>
        </w:tc>
        <w:tc>
          <w:tcPr>
            <w:tcW w:w="80" w:type="dxa"/>
            <w:vAlign w:val="bottom"/>
            <w:tcBorders>
              <w:bottom w:val="single" w:sz="8" w:color="DDDDDD"/>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114,765</w:t>
            </w:r>
          </w:p>
        </w:tc>
        <w:tc>
          <w:tcPr>
            <w:tcW w:w="10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295,630</w:t>
            </w:r>
          </w:p>
        </w:tc>
        <w:tc>
          <w:tcPr>
            <w:tcW w:w="80" w:type="dxa"/>
            <w:vAlign w:val="bottom"/>
            <w:tcBorders>
              <w:bottom w:val="single" w:sz="8" w:color="DDDDDD"/>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323,274</w:t>
            </w:r>
          </w:p>
        </w:tc>
      </w:tr>
      <w:tr>
        <w:trPr>
          <w:trHeight w:val="232"/>
        </w:trPr>
        <w:tc>
          <w:tcPr>
            <w:tcW w:w="47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Total leasing and services revenue</w:t>
            </w: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532,741</w:t>
            </w:r>
          </w:p>
        </w:tc>
        <w:tc>
          <w:tcPr>
            <w:tcW w:w="8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570,343</w:t>
            </w:r>
          </w:p>
        </w:tc>
        <w:tc>
          <w:tcPr>
            <w:tcW w:w="10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1,607,160</w:t>
            </w:r>
          </w:p>
        </w:tc>
        <w:tc>
          <w:tcPr>
            <w:tcW w:w="8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1,698,045</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New unit sales revenue</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18,370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62,427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52,727</w:t>
            </w:r>
          </w:p>
        </w:tc>
      </w:tr>
      <w:tr>
        <w:trPr>
          <w:trHeight w:val="232"/>
        </w:trPr>
        <w:tc>
          <w:tcPr>
            <w:tcW w:w="4740" w:type="dxa"/>
            <w:vAlign w:val="bottom"/>
            <w:shd w:val="clear" w:color="auto" w:fill="DDDDDD"/>
          </w:tcPr>
          <w:p>
            <w:pPr>
              <w:ind w:left="20"/>
              <w:spacing w:after="0"/>
              <w:rPr>
                <w:sz w:val="20"/>
                <w:szCs w:val="20"/>
                <w:color w:val="auto"/>
              </w:rPr>
            </w:pPr>
            <w:r>
              <w:rPr>
                <w:rFonts w:ascii="Arial" w:cs="Arial" w:eastAsia="Arial" w:hAnsi="Arial"/>
                <w:sz w:val="15"/>
                <w:szCs w:val="15"/>
                <w:color w:val="auto"/>
              </w:rPr>
              <w:t>Rental unit sales revenue</w:t>
            </w:r>
          </w:p>
        </w:tc>
        <w:tc>
          <w:tcPr>
            <w:tcW w:w="360" w:type="dxa"/>
            <w:vAlign w:val="bottom"/>
            <w:tcBorders>
              <w:bottom w:val="single" w:sz="8" w:color="auto"/>
            </w:tcBorders>
            <w:shd w:val="clear" w:color="auto" w:fill="DDDDDD"/>
          </w:tcPr>
          <w:p>
            <w:pPr>
              <w:spacing w:after="0"/>
              <w:rPr>
                <w:sz w:val="20"/>
                <w:szCs w:val="20"/>
                <w:color w:val="auto"/>
              </w:rPr>
            </w:pPr>
          </w:p>
        </w:tc>
        <w:tc>
          <w:tcPr>
            <w:tcW w:w="1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15,730</w:t>
            </w:r>
          </w:p>
        </w:tc>
        <w:tc>
          <w:tcPr>
            <w:tcW w:w="80" w:type="dxa"/>
            <w:vAlign w:val="bottom"/>
            <w:shd w:val="clear" w:color="auto" w:fill="DDDDDD"/>
          </w:tcPr>
          <w:p>
            <w:pPr>
              <w:spacing w:after="0"/>
              <w:rPr>
                <w:sz w:val="20"/>
                <w:szCs w:val="20"/>
                <w:color w:val="auto"/>
              </w:rPr>
            </w:pPr>
          </w:p>
        </w:tc>
        <w:tc>
          <w:tcPr>
            <w:tcW w:w="560" w:type="dxa"/>
            <w:vAlign w:val="bottom"/>
            <w:tcBorders>
              <w:bottom w:val="single" w:sz="8" w:color="auto"/>
            </w:tcBorders>
            <w:shd w:val="clear" w:color="auto" w:fill="DDDDDD"/>
          </w:tcPr>
          <w:p>
            <w:pPr>
              <w:spacing w:after="0"/>
              <w:rPr>
                <w:sz w:val="20"/>
                <w:szCs w:val="20"/>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13,239</w:t>
            </w:r>
          </w:p>
        </w:tc>
        <w:tc>
          <w:tcPr>
            <w:tcW w:w="100" w:type="dxa"/>
            <w:vAlign w:val="bottom"/>
            <w:shd w:val="clear" w:color="auto" w:fill="DDDDDD"/>
          </w:tcPr>
          <w:p>
            <w:pPr>
              <w:spacing w:after="0"/>
              <w:rPr>
                <w:sz w:val="20"/>
                <w:szCs w:val="20"/>
                <w:color w:val="auto"/>
              </w:rPr>
            </w:pPr>
          </w:p>
        </w:tc>
        <w:tc>
          <w:tcPr>
            <w:tcW w:w="360" w:type="dxa"/>
            <w:vAlign w:val="bottom"/>
            <w:tcBorders>
              <w:bottom w:val="single" w:sz="8" w:color="auto"/>
            </w:tcBorders>
            <w:shd w:val="clear" w:color="auto" w:fill="DDDDDD"/>
          </w:tcPr>
          <w:p>
            <w:pPr>
              <w:spacing w:after="0"/>
              <w:rPr>
                <w:sz w:val="20"/>
                <w:szCs w:val="20"/>
                <w:color w:val="auto"/>
              </w:rPr>
            </w:pPr>
          </w:p>
        </w:tc>
        <w:tc>
          <w:tcPr>
            <w:tcW w:w="1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45,888</w:t>
            </w:r>
          </w:p>
        </w:tc>
        <w:tc>
          <w:tcPr>
            <w:tcW w:w="80" w:type="dxa"/>
            <w:vAlign w:val="bottom"/>
            <w:shd w:val="clear" w:color="auto" w:fill="DDDDDD"/>
          </w:tcPr>
          <w:p>
            <w:pPr>
              <w:spacing w:after="0"/>
              <w:rPr>
                <w:sz w:val="20"/>
                <w:szCs w:val="20"/>
                <w:color w:val="auto"/>
              </w:rPr>
            </w:pPr>
          </w:p>
        </w:tc>
        <w:tc>
          <w:tcPr>
            <w:tcW w:w="560" w:type="dxa"/>
            <w:vAlign w:val="bottom"/>
            <w:tcBorders>
              <w:bottom w:val="single" w:sz="8" w:color="auto"/>
            </w:tcBorders>
            <w:shd w:val="clear" w:color="auto" w:fill="DDDDDD"/>
          </w:tcPr>
          <w:p>
            <w:pPr>
              <w:spacing w:after="0"/>
              <w:rPr>
                <w:sz w:val="20"/>
                <w:szCs w:val="20"/>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42,431</w:t>
            </w:r>
          </w:p>
        </w:tc>
      </w:tr>
      <w:tr>
        <w:trPr>
          <w:trHeight w:val="232"/>
        </w:trPr>
        <w:tc>
          <w:tcPr>
            <w:tcW w:w="4740" w:type="dxa"/>
            <w:vAlign w:val="bottom"/>
          </w:tcPr>
          <w:p>
            <w:pPr>
              <w:ind w:left="32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566,841</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601,432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1,715,475</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1,793,203</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00" w:hanging="197"/>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revenue from clearspan structures.</w:t>
      </w:r>
    </w:p>
    <w:p>
      <w:pPr>
        <w:spacing w:after="0" w:line="58" w:lineRule="exact"/>
        <w:rPr>
          <w:rFonts w:ascii="Arial" w:cs="Arial" w:eastAsia="Arial" w:hAnsi="Arial"/>
          <w:sz w:val="14"/>
          <w:szCs w:val="14"/>
          <w:color w:val="auto"/>
        </w:rPr>
      </w:pPr>
    </w:p>
    <w:p>
      <w:pPr>
        <w:ind w:firstLine="3"/>
        <w:spacing w:after="0" w:line="278" w:lineRule="auto"/>
        <w:tabs>
          <w:tab w:leader="none" w:pos="219"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$9.6 million and $10.3 million of service revenue for the three months ended September 30, 2025 and 2024, respectively, and $28.3 million and $30.4 million of service revenue for the nine months ended September 30, 2025 and 2024, respectively.</w:t>
      </w:r>
    </w:p>
    <w:p>
      <w:pPr>
        <w:jc w:val="both"/>
        <w:ind w:firstLine="3"/>
        <w:spacing w:after="0" w:line="283"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service revenue, and other processing fees associated with leasing arrangements, and is partially offset by write-offs of specific uncollectible lease receivables recorded as a reduction to revenue of $24.5 million and $9.0 million, for the three months ended September 30, 2025 and 2024, respectively, and $50.2 million and $21.0 million for the nine months ended September 30, 2025 and 2024,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Leasing and Services Revenue</w:t>
      </w:r>
    </w:p>
    <w:p>
      <w:pPr>
        <w:spacing w:after="0" w:line="7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The majority of revenue (75% and 74% for the three months ended September 30, 2025 and 2024, and 75% for both the nine months ended September 30, 2025 and 2024) was generated by lease income subject to the guidance of Accounting Standards Update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("ASC 842"). The remaining revenue was generated by performance obligations in contracts with customers for services or the sale of units subject to the guidance in Accounting Standards Update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("ASC 606").</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manages credit risk associated with its accounts receivable at the customer level. Because the same customers generate the revenues that are accounted for under both ASC 842 and ASC 606, the discussions below on credit risk and the Company's allowance for credit losses address the Company's total revenues.</w:t>
      </w:r>
    </w:p>
    <w:p>
      <w:pPr>
        <w:spacing w:after="0" w:line="11"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Concentration of credit risk with respect to the Company's receivables is limited because of a large number of geographically diverse customers who operate in a variety of end markets. The Company manages credit risk through credit approvals, credit limits, and other monitoring procedures.</w:t>
      </w:r>
    </w:p>
    <w:p>
      <w:pPr>
        <w:jc w:val="both"/>
        <w:ind w:firstLine="619"/>
        <w:spacing w:after="0" w:line="267" w:lineRule="auto"/>
        <w:rPr>
          <w:sz w:val="20"/>
          <w:szCs w:val="20"/>
          <w:color w:val="auto"/>
        </w:rPr>
      </w:pPr>
      <w:r>
        <w:rPr>
          <w:rFonts w:ascii="Arial" w:cs="Arial" w:eastAsia="Arial" w:hAnsi="Arial"/>
          <w:sz w:val="15"/>
          <w:szCs w:val="15"/>
          <w:color w:val="auto"/>
        </w:rPr>
        <w:t>The Company's allowance for credit losses reflects its estimate of the amount of receivables that the Company will be unable to collect. The estimated losses are calculated using the loss rate method based upon a review of outstanding receivables, related aging, and historical collection experience. The Company's estimate is sensitive to changing circumstances, and the Company may be required to increase or decrease its allowance in future periods in response to changing circumstances, including changes in the economy or in the particular circumstances of individual customers. The Company has elected the practical expedient to assume that current conditions as of the balance sheet date do not change for the remaining life of the asset. Specifically identifiable lease revenue receivables and sales receivables not deemed probable of collection are recorded as a reduction of revenue. The remaining provision for credit losses is recorded as selling,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 w:name="page12"/>
    <w:bookmarkEnd w:id="11"/>
    <w:p>
      <w:pPr>
        <w:ind w:left="620"/>
        <w:spacing w:after="0"/>
        <w:rPr>
          <w:sz w:val="20"/>
          <w:szCs w:val="20"/>
          <w:color w:val="auto"/>
        </w:rPr>
      </w:pPr>
      <w:r>
        <w:rPr>
          <w:rFonts w:ascii="Arial" w:cs="Arial" w:eastAsia="Arial" w:hAnsi="Arial"/>
          <w:sz w:val="15"/>
          <w:szCs w:val="15"/>
          <w:color w:val="auto"/>
        </w:rPr>
        <w:t>Activity in the allowance for credit losses for the three and nine months ended September 30, 2025 and 2024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shd w:val="clear" w:color="auto" w:fill="1D2758"/>
          </w:tcPr>
          <w:p>
            <w:pPr>
              <w:spacing w:after="0"/>
              <w:rPr>
                <w:sz w:val="17"/>
                <w:szCs w:val="17"/>
                <w:color w:val="auto"/>
              </w:rPr>
            </w:pPr>
          </w:p>
        </w:tc>
        <w:tc>
          <w:tcPr>
            <w:tcW w:w="2600" w:type="dxa"/>
            <w:vAlign w:val="bottom"/>
            <w:gridSpan w:val="4"/>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Three Months Ended</w:t>
            </w:r>
          </w:p>
        </w:tc>
        <w:tc>
          <w:tcPr>
            <w:tcW w:w="6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14"/>
        </w:trPr>
        <w:tc>
          <w:tcPr>
            <w:tcW w:w="4740" w:type="dxa"/>
            <w:vAlign w:val="bottom"/>
            <w:shd w:val="clear" w:color="auto" w:fill="1D2758"/>
          </w:tcPr>
          <w:p>
            <w:pPr>
              <w:spacing w:after="0"/>
              <w:rPr>
                <w:sz w:val="18"/>
                <w:szCs w:val="18"/>
                <w:color w:val="auto"/>
              </w:rPr>
            </w:pPr>
          </w:p>
        </w:tc>
        <w:tc>
          <w:tcPr>
            <w:tcW w:w="940" w:type="dxa"/>
            <w:vAlign w:val="bottom"/>
            <w:shd w:val="clear" w:color="auto" w:fill="1D2758"/>
          </w:tcPr>
          <w:p>
            <w:pPr>
              <w:spacing w:after="0"/>
              <w:rPr>
                <w:sz w:val="18"/>
                <w:szCs w:val="18"/>
                <w:color w:val="auto"/>
              </w:rPr>
            </w:pPr>
          </w:p>
        </w:tc>
        <w:tc>
          <w:tcPr>
            <w:tcW w:w="1660" w:type="dxa"/>
            <w:vAlign w:val="bottom"/>
            <w:gridSpan w:val="3"/>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September 30,</w:t>
            </w:r>
          </w:p>
        </w:tc>
        <w:tc>
          <w:tcPr>
            <w:tcW w:w="6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8"/>
                <w:szCs w:val="18"/>
                <w:color w:val="auto"/>
              </w:rPr>
            </w:pPr>
          </w:p>
        </w:tc>
      </w:tr>
      <w:tr>
        <w:trPr>
          <w:trHeight w:val="239"/>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62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9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60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560" w:type="dxa"/>
            <w:vAlign w:val="bottom"/>
            <w:shd w:val="clear" w:color="auto" w:fill="1D2758"/>
          </w:tcPr>
          <w:p>
            <w:pPr>
              <w:spacing w:after="0"/>
              <w:rPr>
                <w:sz w:val="20"/>
                <w:szCs w:val="20"/>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940" w:type="dxa"/>
            <w:vAlign w:val="bottom"/>
            <w:shd w:val="clear" w:color="auto" w:fill="DDDDDD"/>
          </w:tcPr>
          <w:p>
            <w:pPr>
              <w:jc w:val="right"/>
              <w:ind w:right="76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88,360</w:t>
            </w:r>
          </w:p>
        </w:tc>
        <w:tc>
          <w:tcPr>
            <w:tcW w:w="80" w:type="dxa"/>
            <w:vAlign w:val="bottom"/>
            <w:shd w:val="clear" w:color="auto" w:fill="DDDDDD"/>
          </w:tcPr>
          <w:p>
            <w:pPr>
              <w:spacing w:after="0"/>
              <w:rPr>
                <w:sz w:val="20"/>
                <w:szCs w:val="20"/>
                <w:color w:val="auto"/>
              </w:rPr>
            </w:pPr>
          </w:p>
        </w:tc>
        <w:tc>
          <w:tcPr>
            <w:tcW w:w="960" w:type="dxa"/>
            <w:vAlign w:val="bottom"/>
            <w:shd w:val="clear" w:color="auto" w:fill="DDDDDD"/>
          </w:tcPr>
          <w:p>
            <w:pPr>
              <w:jc w:val="right"/>
              <w:ind w:right="78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89,070</w:t>
            </w:r>
          </w:p>
        </w:tc>
        <w:tc>
          <w:tcPr>
            <w:tcW w:w="100" w:type="dxa"/>
            <w:vAlign w:val="bottom"/>
            <w:shd w:val="clear" w:color="auto" w:fill="DDDDDD"/>
          </w:tcPr>
          <w:p>
            <w:pPr>
              <w:spacing w:after="0"/>
              <w:rPr>
                <w:sz w:val="20"/>
                <w:szCs w:val="20"/>
                <w:color w:val="auto"/>
              </w:rPr>
            </w:pPr>
          </w:p>
        </w:tc>
        <w:tc>
          <w:tcPr>
            <w:tcW w:w="360" w:type="dxa"/>
            <w:vAlign w:val="bottom"/>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101,693</w:t>
            </w:r>
          </w:p>
        </w:tc>
        <w:tc>
          <w:tcPr>
            <w:tcW w:w="80" w:type="dxa"/>
            <w:vAlign w:val="bottom"/>
            <w:shd w:val="clear" w:color="auto" w:fill="DDDDDD"/>
          </w:tcPr>
          <w:p>
            <w:pPr>
              <w:spacing w:after="0"/>
              <w:rPr>
                <w:sz w:val="20"/>
                <w:szCs w:val="20"/>
                <w:color w:val="auto"/>
              </w:rPr>
            </w:pPr>
          </w:p>
        </w:tc>
        <w:tc>
          <w:tcPr>
            <w:tcW w:w="560" w:type="dxa"/>
            <w:vAlign w:val="bottom"/>
            <w:shd w:val="clear" w:color="auto" w:fill="DDDDDD"/>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81,656</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Provision for credit losses, net of recoveries</w:t>
            </w:r>
          </w:p>
        </w:tc>
        <w:tc>
          <w:tcPr>
            <w:tcW w:w="94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17,823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22,121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37,579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45,317</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Write-offs to leasing revenue</w:t>
            </w:r>
          </w:p>
        </w:tc>
        <w:tc>
          <w:tcPr>
            <w:tcW w:w="940" w:type="dxa"/>
            <w:vAlign w:val="bottom"/>
            <w:shd w:val="clear" w:color="auto" w:fill="DDDDDD"/>
          </w:tcPr>
          <w:p>
            <w:pPr>
              <w:spacing w:after="0"/>
              <w:rPr>
                <w:sz w:val="20"/>
                <w:szCs w:val="20"/>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(24,510)</w:t>
            </w:r>
          </w:p>
        </w:tc>
        <w:tc>
          <w:tcPr>
            <w:tcW w:w="8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(9,048)</w:t>
            </w:r>
          </w:p>
        </w:tc>
        <w:tc>
          <w:tcPr>
            <w:tcW w:w="10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(50,172)</w:t>
            </w:r>
          </w:p>
        </w:tc>
        <w:tc>
          <w:tcPr>
            <w:tcW w:w="8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(20,991)</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Write-offs to delivery and installation revenue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(5,730)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(11,737)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(5,401)</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Write-offs to new units sales revenue</w:t>
            </w:r>
          </w:p>
        </w:tc>
        <w:tc>
          <w:tcPr>
            <w:tcW w:w="940" w:type="dxa"/>
            <w:vAlign w:val="bottom"/>
            <w:shd w:val="clear" w:color="auto" w:fill="DDDDDD"/>
          </w:tcPr>
          <w:p>
            <w:pPr>
              <w:spacing w:after="0"/>
              <w:rPr>
                <w:sz w:val="20"/>
                <w:szCs w:val="20"/>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(955)</w:t>
            </w:r>
          </w:p>
        </w:tc>
        <w:tc>
          <w:tcPr>
            <w:tcW w:w="8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(245)</w:t>
            </w:r>
          </w:p>
        </w:tc>
        <w:tc>
          <w:tcPr>
            <w:tcW w:w="10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(1,956)</w:t>
            </w:r>
          </w:p>
        </w:tc>
        <w:tc>
          <w:tcPr>
            <w:tcW w:w="8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(568)</w:t>
            </w:r>
          </w:p>
        </w:tc>
      </w:tr>
      <w:tr>
        <w:trPr>
          <w:trHeight w:val="225"/>
        </w:trPr>
        <w:tc>
          <w:tcPr>
            <w:tcW w:w="47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Write-offs to rental units sales revenue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(637)</w:t>
            </w:r>
          </w:p>
        </w:tc>
        <w:tc>
          <w:tcPr>
            <w:tcW w:w="80" w:type="dxa"/>
            <w:vAlign w:val="bottom"/>
            <w:tcBorders>
              <w:bottom w:val="single" w:sz="8" w:color="DDDDDD"/>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w:t>
            </w:r>
          </w:p>
        </w:tc>
        <w:tc>
          <w:tcPr>
            <w:tcW w:w="10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(1,303)</w:t>
            </w:r>
          </w:p>
        </w:tc>
        <w:tc>
          <w:tcPr>
            <w:tcW w:w="80" w:type="dxa"/>
            <w:vAlign w:val="bottom"/>
            <w:tcBorders>
              <w:bottom w:val="single" w:sz="8" w:color="DDDDDD"/>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(568)</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write-offs recorded as a reduction to revenue</w:t>
            </w:r>
          </w:p>
        </w:tc>
        <w:tc>
          <w:tcPr>
            <w:tcW w:w="940" w:type="dxa"/>
            <w:vAlign w:val="bottom"/>
            <w:shd w:val="clear" w:color="auto" w:fill="DDDDDD"/>
          </w:tcPr>
          <w:p>
            <w:pPr>
              <w:spacing w:after="0"/>
              <w:rPr>
                <w:sz w:val="20"/>
                <w:szCs w:val="20"/>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(31,832)</w:t>
            </w:r>
          </w:p>
        </w:tc>
        <w:tc>
          <w:tcPr>
            <w:tcW w:w="8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(11,869)</w:t>
            </w:r>
          </w:p>
        </w:tc>
        <w:tc>
          <w:tcPr>
            <w:tcW w:w="10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(65,168)</w:t>
            </w:r>
          </w:p>
        </w:tc>
        <w:tc>
          <w:tcPr>
            <w:tcW w:w="8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(27,528)</w:t>
            </w:r>
          </w:p>
        </w:tc>
      </w:tr>
      <w:tr>
        <w:trPr>
          <w:trHeight w:val="225"/>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currency translation and other</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80" w:type="dxa"/>
            <w:vAlign w:val="bottom"/>
            <w:tcBorders>
              <w:bottom w:val="single" w:sz="8" w:color="DDDDDD"/>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c>
          <w:tcPr>
            <w:tcW w:w="10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221</w:t>
            </w:r>
          </w:p>
        </w:tc>
        <w:tc>
          <w:tcPr>
            <w:tcW w:w="80" w:type="dxa"/>
            <w:vAlign w:val="bottom"/>
            <w:tcBorders>
              <w:bottom w:val="single" w:sz="8" w:color="DDDDDD"/>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w:t>
            </w:r>
          </w:p>
        </w:tc>
      </w:tr>
      <w:tr>
        <w:trPr>
          <w:trHeight w:val="250"/>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940" w:type="dxa"/>
            <w:vAlign w:val="bottom"/>
            <w:tcBorders>
              <w:bottom w:val="single" w:sz="8" w:color="auto"/>
            </w:tcBorders>
            <w:shd w:val="clear" w:color="auto" w:fill="DDDDDD"/>
          </w:tcPr>
          <w:p>
            <w:pPr>
              <w:jc w:val="right"/>
              <w:ind w:right="76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74,325</w:t>
            </w:r>
          </w:p>
        </w:tc>
        <w:tc>
          <w:tcPr>
            <w:tcW w:w="80" w:type="dxa"/>
            <w:vAlign w:val="bottom"/>
            <w:tcBorders>
              <w:bottom w:val="single" w:sz="8" w:color="DDDDDD"/>
            </w:tcBorders>
            <w:shd w:val="clear" w:color="auto" w:fill="DDDDDD"/>
          </w:tcPr>
          <w:p>
            <w:pPr>
              <w:spacing w:after="0"/>
              <w:rPr>
                <w:sz w:val="21"/>
                <w:szCs w:val="21"/>
                <w:color w:val="auto"/>
              </w:rPr>
            </w:pPr>
          </w:p>
        </w:tc>
        <w:tc>
          <w:tcPr>
            <w:tcW w:w="960" w:type="dxa"/>
            <w:vAlign w:val="bottom"/>
            <w:tcBorders>
              <w:bottom w:val="single" w:sz="8" w:color="auto"/>
            </w:tcBorders>
            <w:shd w:val="clear" w:color="auto" w:fill="DDDDDD"/>
          </w:tcPr>
          <w:p>
            <w:pPr>
              <w:jc w:val="right"/>
              <w:ind w:right="78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99,241</w:t>
            </w:r>
          </w:p>
        </w:tc>
        <w:tc>
          <w:tcPr>
            <w:tcW w:w="100" w:type="dxa"/>
            <w:vAlign w:val="bottom"/>
            <w:tcBorders>
              <w:bottom w:val="single" w:sz="8" w:color="DDDDDD"/>
            </w:tcBorders>
            <w:shd w:val="clear" w:color="auto" w:fill="DDDDDD"/>
          </w:tcPr>
          <w:p>
            <w:pPr>
              <w:spacing w:after="0"/>
              <w:rPr>
                <w:sz w:val="21"/>
                <w:szCs w:val="21"/>
                <w:color w:val="auto"/>
              </w:rPr>
            </w:pPr>
          </w:p>
        </w:tc>
        <w:tc>
          <w:tcPr>
            <w:tcW w:w="360" w:type="dxa"/>
            <w:vAlign w:val="bottom"/>
            <w:tcBorders>
              <w:bottom w:val="single" w:sz="8" w:color="auto"/>
            </w:tcBorders>
            <w:shd w:val="clear" w:color="auto" w:fill="DDDDDD"/>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74,325</w:t>
            </w:r>
          </w:p>
        </w:tc>
        <w:tc>
          <w:tcPr>
            <w:tcW w:w="80" w:type="dxa"/>
            <w:vAlign w:val="bottom"/>
            <w:tcBorders>
              <w:bottom w:val="single" w:sz="8" w:color="DDDDDD"/>
            </w:tcBorders>
            <w:shd w:val="clear" w:color="auto" w:fill="DDDDDD"/>
          </w:tcPr>
          <w:p>
            <w:pPr>
              <w:spacing w:after="0"/>
              <w:rPr>
                <w:sz w:val="21"/>
                <w:szCs w:val="21"/>
                <w:color w:val="auto"/>
              </w:rPr>
            </w:pPr>
          </w:p>
        </w:tc>
        <w:tc>
          <w:tcPr>
            <w:tcW w:w="560" w:type="dxa"/>
            <w:vAlign w:val="bottom"/>
            <w:tcBorders>
              <w:bottom w:val="single" w:sz="8" w:color="auto"/>
            </w:tcBorders>
            <w:shd w:val="clear" w:color="auto" w:fill="DDDDDD"/>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99,241</w:t>
            </w: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DDDDD"/>
              <w:bottom w:val="single" w:sz="8" w:color="auto"/>
            </w:tcBorders>
          </w:tcPr>
          <w:p>
            <w:pPr>
              <w:spacing w:after="0" w:line="20" w:lineRule="exact"/>
              <w:rPr>
                <w:sz w:val="1"/>
                <w:szCs w:val="1"/>
                <w:color w:val="auto"/>
              </w:rPr>
            </w:pPr>
          </w:p>
        </w:tc>
        <w:tc>
          <w:tcPr>
            <w:tcW w:w="6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c>
          <w:tcPr>
            <w:tcW w:w="6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560" w:type="dxa"/>
            <w:vAlign w:val="bottom"/>
            <w:tcBorders>
              <w:top w:val="single" w:sz="8" w:color="DDDDDD"/>
              <w:bottom w:val="single" w:sz="8" w:color="auto"/>
            </w:tcBorders>
          </w:tcPr>
          <w:p>
            <w:pPr>
              <w:spacing w:after="0" w:line="20" w:lineRule="exact"/>
              <w:rPr>
                <w:sz w:val="1"/>
                <w:szCs w:val="1"/>
                <w:color w:val="auto"/>
              </w:rPr>
            </w:pPr>
          </w:p>
        </w:tc>
        <w:tc>
          <w:tcPr>
            <w:tcW w:w="1000" w:type="dxa"/>
            <w:vAlign w:val="bottom"/>
            <w:tcBorders>
              <w:top w:val="single" w:sz="8" w:color="DDDDDD"/>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had an increase to write-offs of accounts receivable due to the age of the receivables and a conclusion that collectibility was no longer probable. The majority of balances written off were previously fully reserved.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As of September 30, 2025 and December 31, 2024, the Company recorded deferred revenue related to service revenue billed in advance of $136.2 million and $139.4 million, respectively. During the three and nine months ended September 30, 2025, respectively, the Company recognized revenue of $21.0 million and $78.8 million for service revenue billed in advance that was recorded as deferred revenue as of December 31, 2024.</w:t>
      </w:r>
    </w:p>
    <w:p>
      <w:pPr>
        <w:spacing w:after="0" w:line="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does not have material contract assets, and it did not recognize any material impairments of any contract assets. 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market rate in place at the time those services are provided, and therefore, the Company is applying the optional exemption to omit disclosure of such amounts.</w:t>
      </w:r>
    </w:p>
    <w:p>
      <w:pPr>
        <w:spacing w:after="0" w:line="21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1D2758"/>
        </w:rPr>
        <w:t>NOTE 4 - Inventories</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Inventories at the respective balance sheet dates consisted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0" w:type="dxa"/>
            <w:vAlign w:val="bottom"/>
            <w:shd w:val="clear" w:color="auto" w:fill="1D2758"/>
          </w:tcPr>
          <w:p>
            <w:pPr>
              <w:spacing w:after="0"/>
              <w:rPr>
                <w:sz w:val="20"/>
                <w:szCs w:val="20"/>
                <w:color w:val="auto"/>
              </w:rPr>
            </w:pPr>
          </w:p>
        </w:tc>
        <w:tc>
          <w:tcPr>
            <w:tcW w:w="1920" w:type="dxa"/>
            <w:vAlign w:val="bottom"/>
            <w:gridSpan w:val="2"/>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September 30, 2025</w:t>
            </w:r>
          </w:p>
        </w:tc>
        <w:tc>
          <w:tcPr>
            <w:tcW w:w="220" w:type="dxa"/>
            <w:vAlign w:val="bottom"/>
            <w:shd w:val="clear" w:color="auto" w:fill="1D2758"/>
          </w:tcPr>
          <w:p>
            <w:pPr>
              <w:spacing w:after="0"/>
              <w:rPr>
                <w:sz w:val="20"/>
                <w:szCs w:val="20"/>
                <w:color w:val="auto"/>
              </w:rPr>
            </w:pPr>
          </w:p>
        </w:tc>
        <w:tc>
          <w:tcPr>
            <w:tcW w:w="180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December 31, 2024</w:t>
            </w:r>
          </w:p>
        </w:tc>
        <w:tc>
          <w:tcPr>
            <w:tcW w:w="0" w:type="dxa"/>
            <w:vAlign w:val="bottom"/>
          </w:tcPr>
          <w:p>
            <w:pPr>
              <w:spacing w:after="0"/>
              <w:rPr>
                <w:sz w:val="1"/>
                <w:szCs w:val="1"/>
                <w:color w:val="auto"/>
              </w:rPr>
            </w:pPr>
          </w:p>
        </w:tc>
      </w:tr>
      <w:tr>
        <w:trPr>
          <w:trHeight w:val="90"/>
        </w:trPr>
        <w:tc>
          <w:tcPr>
            <w:tcW w:w="7100" w:type="dxa"/>
            <w:vAlign w:val="bottom"/>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920" w:type="dxa"/>
            <w:vAlign w:val="bottom"/>
            <w:gridSpan w:val="2"/>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8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8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40,275</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39,823</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Finished units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3,177</w:t>
            </w:r>
          </w:p>
        </w:tc>
        <w:tc>
          <w:tcPr>
            <w:tcW w:w="8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7,650</w:t>
            </w:r>
          </w:p>
        </w:tc>
        <w:tc>
          <w:tcPr>
            <w:tcW w:w="0" w:type="dxa"/>
            <w:vAlign w:val="bottom"/>
          </w:tcPr>
          <w:p>
            <w:pPr>
              <w:spacing w:after="0"/>
              <w:rPr>
                <w:sz w:val="1"/>
                <w:szCs w:val="1"/>
                <w:color w:val="auto"/>
              </w:rPr>
            </w:pPr>
          </w:p>
        </w:tc>
      </w:tr>
      <w:tr>
        <w:trPr>
          <w:trHeight w:val="257"/>
        </w:trPr>
        <w:tc>
          <w:tcPr>
            <w:tcW w:w="71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8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43,452</w:t>
            </w:r>
          </w:p>
        </w:tc>
        <w:tc>
          <w:tcPr>
            <w:tcW w:w="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47,473</w:t>
            </w:r>
          </w:p>
        </w:tc>
        <w:tc>
          <w:tcPr>
            <w:tcW w:w="0" w:type="dxa"/>
            <w:vAlign w:val="bottom"/>
          </w:tcPr>
          <w:p>
            <w:pPr>
              <w:spacing w:after="0"/>
              <w:rPr>
                <w:sz w:val="1"/>
                <w:szCs w:val="1"/>
                <w:color w:val="auto"/>
              </w:rPr>
            </w:pPr>
          </w:p>
        </w:tc>
      </w:tr>
      <w:tr>
        <w:trPr>
          <w:trHeight w:val="20"/>
        </w:trPr>
        <w:tc>
          <w:tcPr>
            <w:tcW w:w="7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8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5 - Leases</w:t>
      </w:r>
    </w:p>
    <w:p>
      <w:pPr>
        <w:spacing w:after="0" w:line="6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On September 30, 2025, a lease for office space commenced with an initial lease term of 12 years. The Company recognized an operating lease right-of-use asset of $32.0 million and a lease liability of $30.4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1D2758"/>
        </w:rPr>
        <w:t>NOTE 6 - Rental Equipment</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Rental equipment, net at the respective balance sheet dates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0" w:type="dxa"/>
            <w:vAlign w:val="bottom"/>
            <w:shd w:val="clear" w:color="auto" w:fill="1D2758"/>
          </w:tcPr>
          <w:p>
            <w:pPr>
              <w:spacing w:after="0"/>
              <w:rPr>
                <w:sz w:val="20"/>
                <w:szCs w:val="20"/>
                <w:color w:val="auto"/>
              </w:rPr>
            </w:pPr>
          </w:p>
        </w:tc>
        <w:tc>
          <w:tcPr>
            <w:tcW w:w="1920" w:type="dxa"/>
            <w:vAlign w:val="bottom"/>
            <w:gridSpan w:val="2"/>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September 30, 2025</w:t>
            </w:r>
          </w:p>
        </w:tc>
        <w:tc>
          <w:tcPr>
            <w:tcW w:w="220" w:type="dxa"/>
            <w:vAlign w:val="bottom"/>
            <w:shd w:val="clear" w:color="auto" w:fill="1D2758"/>
          </w:tcPr>
          <w:p>
            <w:pPr>
              <w:spacing w:after="0"/>
              <w:rPr>
                <w:sz w:val="20"/>
                <w:szCs w:val="20"/>
                <w:color w:val="auto"/>
              </w:rPr>
            </w:pPr>
          </w:p>
        </w:tc>
        <w:tc>
          <w:tcPr>
            <w:tcW w:w="180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December 31, 2024</w:t>
            </w:r>
          </w:p>
        </w:tc>
        <w:tc>
          <w:tcPr>
            <w:tcW w:w="0" w:type="dxa"/>
            <w:vAlign w:val="bottom"/>
          </w:tcPr>
          <w:p>
            <w:pPr>
              <w:spacing w:after="0"/>
              <w:rPr>
                <w:sz w:val="1"/>
                <w:szCs w:val="1"/>
                <w:color w:val="auto"/>
              </w:rPr>
            </w:pPr>
          </w:p>
        </w:tc>
      </w:tr>
      <w:tr>
        <w:trPr>
          <w:trHeight w:val="90"/>
        </w:trPr>
        <w:tc>
          <w:tcPr>
            <w:tcW w:w="7100" w:type="dxa"/>
            <w:vAlign w:val="bottom"/>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920" w:type="dxa"/>
            <w:vAlign w:val="bottom"/>
            <w:gridSpan w:val="2"/>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8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8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3,803,179</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3,658,086</w:t>
            </w:r>
          </w:p>
        </w:tc>
        <w:tc>
          <w:tcPr>
            <w:tcW w:w="0" w:type="dxa"/>
            <w:vAlign w:val="bottom"/>
          </w:tcPr>
          <w:p>
            <w:pPr>
              <w:spacing w:after="0"/>
              <w:rPr>
                <w:sz w:val="1"/>
                <w:szCs w:val="1"/>
                <w:color w:val="auto"/>
              </w:rPr>
            </w:pPr>
          </w:p>
        </w:tc>
      </w:tr>
      <w:tr>
        <w:trPr>
          <w:trHeight w:val="225"/>
        </w:trPr>
        <w:tc>
          <w:tcPr>
            <w:tcW w:w="710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200" w:type="dxa"/>
            <w:vAlign w:val="bottom"/>
          </w:tcPr>
          <w:p>
            <w:pPr>
              <w:spacing w:after="0"/>
              <w:rPr>
                <w:sz w:val="19"/>
                <w:szCs w:val="19"/>
                <w:color w:val="auto"/>
              </w:rPr>
            </w:pPr>
          </w:p>
        </w:tc>
        <w:tc>
          <w:tcPr>
            <w:tcW w:w="1840" w:type="dxa"/>
            <w:vAlign w:val="bottom"/>
          </w:tcPr>
          <w:p>
            <w:pPr>
              <w:jc w:val="right"/>
              <w:ind w:right="3"/>
              <w:spacing w:after="0"/>
              <w:rPr>
                <w:sz w:val="20"/>
                <w:szCs w:val="20"/>
                <w:color w:val="auto"/>
              </w:rPr>
            </w:pPr>
            <w:r>
              <w:rPr>
                <w:rFonts w:ascii="Arial" w:cs="Arial" w:eastAsia="Arial" w:hAnsi="Arial"/>
                <w:sz w:val="15"/>
                <w:szCs w:val="15"/>
                <w:color w:val="auto"/>
              </w:rPr>
              <w:t>1,102,386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1,070,025</w:t>
            </w:r>
          </w:p>
        </w:tc>
        <w:tc>
          <w:tcPr>
            <w:tcW w:w="0" w:type="dxa"/>
            <w:vAlign w:val="bottom"/>
          </w:tcPr>
          <w:p>
            <w:pPr>
              <w:spacing w:after="0"/>
              <w:rPr>
                <w:sz w:val="1"/>
                <w:szCs w:val="1"/>
                <w:color w:val="auto"/>
              </w:rPr>
            </w:pPr>
          </w:p>
        </w:tc>
      </w:tr>
      <w:tr>
        <w:trPr>
          <w:trHeight w:val="239"/>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Value added products</w:t>
            </w:r>
          </w:p>
        </w:tc>
        <w:tc>
          <w:tcPr>
            <w:tcW w:w="200" w:type="dxa"/>
            <w:vAlign w:val="bottom"/>
            <w:tcBorders>
              <w:bottom w:val="single" w:sz="8" w:color="auto"/>
            </w:tcBorders>
            <w:shd w:val="clear" w:color="auto" w:fill="DBDBDB"/>
          </w:tcPr>
          <w:p>
            <w:pPr>
              <w:spacing w:after="0"/>
              <w:rPr>
                <w:sz w:val="20"/>
                <w:szCs w:val="20"/>
                <w:color w:val="auto"/>
              </w:rPr>
            </w:pPr>
          </w:p>
        </w:tc>
        <w:tc>
          <w:tcPr>
            <w:tcW w:w="18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230,058</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220,205</w:t>
            </w:r>
          </w:p>
        </w:tc>
        <w:tc>
          <w:tcPr>
            <w:tcW w:w="0" w:type="dxa"/>
            <w:vAlign w:val="bottom"/>
          </w:tcPr>
          <w:p>
            <w:pPr>
              <w:spacing w:after="0"/>
              <w:rPr>
                <w:sz w:val="1"/>
                <w:szCs w:val="1"/>
                <w:color w:val="auto"/>
              </w:rPr>
            </w:pPr>
          </w:p>
        </w:tc>
      </w:tr>
      <w:tr>
        <w:trPr>
          <w:trHeight w:val="218"/>
        </w:trPr>
        <w:tc>
          <w:tcPr>
            <w:tcW w:w="7100" w:type="dxa"/>
            <w:vAlign w:val="bottom"/>
          </w:tcPr>
          <w:p>
            <w:pPr>
              <w:ind w:left="220"/>
              <w:spacing w:after="0"/>
              <w:rPr>
                <w:sz w:val="20"/>
                <w:szCs w:val="20"/>
                <w:color w:val="auto"/>
              </w:rPr>
            </w:pPr>
            <w:r>
              <w:rPr>
                <w:rFonts w:ascii="Arial" w:cs="Arial" w:eastAsia="Arial" w:hAnsi="Arial"/>
                <w:sz w:val="15"/>
                <w:szCs w:val="15"/>
                <w:color w:val="auto"/>
              </w:rPr>
              <w:t>Total rental equipment</w:t>
            </w:r>
          </w:p>
        </w:tc>
        <w:tc>
          <w:tcPr>
            <w:tcW w:w="200" w:type="dxa"/>
            <w:vAlign w:val="bottom"/>
          </w:tcPr>
          <w:p>
            <w:pPr>
              <w:spacing w:after="0"/>
              <w:rPr>
                <w:sz w:val="18"/>
                <w:szCs w:val="18"/>
                <w:color w:val="auto"/>
              </w:rPr>
            </w:pPr>
          </w:p>
        </w:tc>
        <w:tc>
          <w:tcPr>
            <w:tcW w:w="1840" w:type="dxa"/>
            <w:vAlign w:val="bottom"/>
          </w:tcPr>
          <w:p>
            <w:pPr>
              <w:jc w:val="right"/>
              <w:ind w:right="3"/>
              <w:spacing w:after="0"/>
              <w:rPr>
                <w:sz w:val="20"/>
                <w:szCs w:val="20"/>
                <w:color w:val="auto"/>
              </w:rPr>
            </w:pPr>
            <w:r>
              <w:rPr>
                <w:rFonts w:ascii="Arial" w:cs="Arial" w:eastAsia="Arial" w:hAnsi="Arial"/>
                <w:sz w:val="15"/>
                <w:szCs w:val="15"/>
                <w:color w:val="auto"/>
              </w:rPr>
              <w:t>5,135,623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4,948,316</w:t>
            </w:r>
          </w:p>
        </w:tc>
        <w:tc>
          <w:tcPr>
            <w:tcW w:w="0" w:type="dxa"/>
            <w:vAlign w:val="bottom"/>
          </w:tcPr>
          <w:p>
            <w:pPr>
              <w:spacing w:after="0"/>
              <w:rPr>
                <w:sz w:val="1"/>
                <w:szCs w:val="1"/>
                <w:color w:val="auto"/>
              </w:rPr>
            </w:pPr>
          </w:p>
        </w:tc>
      </w:tr>
      <w:tr>
        <w:trPr>
          <w:trHeight w:val="239"/>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200" w:type="dxa"/>
            <w:vAlign w:val="bottom"/>
            <w:tcBorders>
              <w:bottom w:val="single" w:sz="8" w:color="auto"/>
            </w:tcBorders>
            <w:shd w:val="clear" w:color="auto" w:fill="DBDBDB"/>
          </w:tcPr>
          <w:p>
            <w:pPr>
              <w:spacing w:after="0"/>
              <w:rPr>
                <w:sz w:val="20"/>
                <w:szCs w:val="20"/>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(1,723,183)</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(1,570,377)</w:t>
            </w:r>
          </w:p>
        </w:tc>
        <w:tc>
          <w:tcPr>
            <w:tcW w:w="0" w:type="dxa"/>
            <w:vAlign w:val="bottom"/>
          </w:tcPr>
          <w:p>
            <w:pPr>
              <w:spacing w:after="0"/>
              <w:rPr>
                <w:sz w:val="1"/>
                <w:szCs w:val="1"/>
                <w:color w:val="auto"/>
              </w:rPr>
            </w:pPr>
          </w:p>
        </w:tc>
      </w:tr>
      <w:tr>
        <w:trPr>
          <w:trHeight w:val="218"/>
        </w:trPr>
        <w:tc>
          <w:tcPr>
            <w:tcW w:w="710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3,412,440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3,377,939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7 - Goodwill and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20" w:type="dxa"/>
            <w:vAlign w:val="bottom"/>
          </w:tcPr>
          <w:p>
            <w:pPr>
              <w:ind w:left="620"/>
              <w:spacing w:after="0"/>
              <w:rPr>
                <w:sz w:val="20"/>
                <w:szCs w:val="20"/>
                <w:color w:val="auto"/>
              </w:rPr>
            </w:pPr>
            <w:r>
              <w:rPr>
                <w:rFonts w:ascii="Arial" w:cs="Arial" w:eastAsia="Arial" w:hAnsi="Arial"/>
                <w:sz w:val="15"/>
                <w:szCs w:val="15"/>
                <w:color w:val="auto"/>
              </w:rPr>
              <w:t>Changes in the carrying amount of goodwill were as follows:</w:t>
            </w: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66"/>
        </w:trPr>
        <w:tc>
          <w:tcPr>
            <w:tcW w:w="9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32"/>
        </w:trPr>
        <w:tc>
          <w:tcPr>
            <w:tcW w:w="9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680" w:type="dxa"/>
            <w:vAlign w:val="bottom"/>
            <w:shd w:val="clear" w:color="auto" w:fill="1D2758"/>
          </w:tcPr>
          <w:p>
            <w:pPr>
              <w:spacing w:after="0"/>
              <w:rPr>
                <w:sz w:val="20"/>
                <w:szCs w:val="20"/>
                <w:color w:val="auto"/>
              </w:rPr>
            </w:pPr>
          </w:p>
        </w:tc>
        <w:tc>
          <w:tcPr>
            <w:tcW w:w="1340" w:type="dxa"/>
            <w:vAlign w:val="bottom"/>
            <w:shd w:val="clear" w:color="auto" w:fill="1D2758"/>
          </w:tcPr>
          <w:p>
            <w:pPr>
              <w:spacing w:after="0"/>
              <w:rPr>
                <w:sz w:val="20"/>
                <w:szCs w:val="20"/>
                <w:color w:val="auto"/>
              </w:rPr>
            </w:pPr>
          </w:p>
        </w:tc>
      </w:tr>
      <w:tr>
        <w:trPr>
          <w:trHeight w:val="232"/>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2023</w:t>
            </w:r>
          </w:p>
        </w:tc>
        <w:tc>
          <w:tcPr>
            <w:tcW w:w="680" w:type="dxa"/>
            <w:vAlign w:val="bottom"/>
            <w:shd w:val="clear" w:color="auto" w:fill="DBDBDB"/>
          </w:tcPr>
          <w:p>
            <w:pPr>
              <w:jc w:val="right"/>
              <w:ind w:right="50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1,176,635</w:t>
            </w:r>
          </w:p>
        </w:tc>
      </w:tr>
      <w:tr>
        <w:trPr>
          <w:trHeight w:val="225"/>
        </w:trPr>
        <w:tc>
          <w:tcPr>
            <w:tcW w:w="9220" w:type="dxa"/>
            <w:vAlign w:val="bottom"/>
          </w:tcPr>
          <w:p>
            <w:pPr>
              <w:ind w:left="220"/>
              <w:spacing w:after="0"/>
              <w:rPr>
                <w:sz w:val="20"/>
                <w:szCs w:val="20"/>
                <w:color w:val="auto"/>
              </w:rPr>
            </w:pPr>
            <w:r>
              <w:rPr>
                <w:rFonts w:ascii="Arial" w:cs="Arial" w:eastAsia="Arial" w:hAnsi="Arial"/>
                <w:sz w:val="15"/>
                <w:szCs w:val="15"/>
                <w:color w:val="auto"/>
              </w:rPr>
              <w:t>Additions from acquisitions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26,948</w:t>
            </w:r>
          </w:p>
        </w:tc>
      </w:tr>
      <w:tr>
        <w:trPr>
          <w:trHeight w:val="239"/>
        </w:trPr>
        <w:tc>
          <w:tcPr>
            <w:tcW w:w="9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680" w:type="dxa"/>
            <w:vAlign w:val="bottom"/>
            <w:tcBorders>
              <w:bottom w:val="single" w:sz="8" w:color="auto"/>
            </w:tcBorders>
            <w:shd w:val="clear" w:color="auto" w:fill="DBDBDB"/>
          </w:tcPr>
          <w:p>
            <w:pPr>
              <w:spacing w:after="0"/>
              <w:rPr>
                <w:sz w:val="20"/>
                <w:szCs w:val="20"/>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(2,230)</w:t>
            </w:r>
          </w:p>
        </w:tc>
      </w:tr>
      <w:tr>
        <w:trPr>
          <w:trHeight w:val="218"/>
        </w:trPr>
        <w:tc>
          <w:tcPr>
            <w:tcW w:w="9220" w:type="dxa"/>
            <w:vAlign w:val="bottom"/>
          </w:tcPr>
          <w:p>
            <w:pPr>
              <w:ind w:left="20"/>
              <w:spacing w:after="0"/>
              <w:rPr>
                <w:sz w:val="20"/>
                <w:szCs w:val="20"/>
                <w:color w:val="auto"/>
              </w:rPr>
            </w:pPr>
            <w:r>
              <w:rPr>
                <w:rFonts w:ascii="Arial" w:cs="Arial" w:eastAsia="Arial" w:hAnsi="Arial"/>
                <w:sz w:val="15"/>
                <w:szCs w:val="15"/>
                <w:color w:val="auto"/>
              </w:rPr>
              <w:t>Balance at December 31, 2024</w:t>
            </w:r>
          </w:p>
        </w:tc>
        <w:tc>
          <w:tcPr>
            <w:tcW w:w="6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1,201,353</w:t>
            </w:r>
          </w:p>
        </w:tc>
      </w:tr>
      <w:tr>
        <w:trPr>
          <w:trHeight w:val="239"/>
        </w:trPr>
        <w:tc>
          <w:tcPr>
            <w:tcW w:w="9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Additions from acquisitions</w:t>
            </w:r>
          </w:p>
        </w:tc>
        <w:tc>
          <w:tcPr>
            <w:tcW w:w="680" w:type="dxa"/>
            <w:vAlign w:val="bottom"/>
            <w:shd w:val="clear" w:color="auto" w:fill="DBDBDB"/>
          </w:tcPr>
          <w:p>
            <w:pPr>
              <w:spacing w:after="0"/>
              <w:rPr>
                <w:sz w:val="20"/>
                <w:szCs w:val="20"/>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54,844</w:t>
            </w:r>
          </w:p>
        </w:tc>
      </w:tr>
      <w:tr>
        <w:trPr>
          <w:trHeight w:val="225"/>
        </w:trPr>
        <w:tc>
          <w:tcPr>
            <w:tcW w:w="92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809</w:t>
            </w:r>
          </w:p>
        </w:tc>
      </w:tr>
      <w:tr>
        <w:trPr>
          <w:trHeight w:val="250"/>
        </w:trPr>
        <w:tc>
          <w:tcPr>
            <w:tcW w:w="9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September 30, 2025</w:t>
            </w:r>
          </w:p>
        </w:tc>
        <w:tc>
          <w:tcPr>
            <w:tcW w:w="680" w:type="dxa"/>
            <w:vAlign w:val="bottom"/>
            <w:tcBorders>
              <w:bottom w:val="single" w:sz="8" w:color="auto"/>
            </w:tcBorders>
            <w:shd w:val="clear" w:color="auto" w:fill="DBDBDB"/>
          </w:tcPr>
          <w:p>
            <w:pPr>
              <w:jc w:val="right"/>
              <w:ind w:right="50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1,257,006</w:t>
            </w:r>
          </w:p>
        </w:tc>
      </w:tr>
      <w:tr>
        <w:trPr>
          <w:trHeight w:val="20"/>
        </w:trPr>
        <w:tc>
          <w:tcPr>
            <w:tcW w:w="922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00" w:type="dxa"/>
            <w:vAlign w:val="bottom"/>
            <w:gridSpan w:val="8"/>
          </w:tcPr>
          <w:p>
            <w:pPr>
              <w:ind w:left="620"/>
              <w:spacing w:after="0"/>
              <w:rPr>
                <w:sz w:val="20"/>
                <w:szCs w:val="20"/>
                <w:color w:val="auto"/>
              </w:rPr>
            </w:pPr>
            <w:r>
              <w:rPr>
                <w:rFonts w:ascii="Arial" w:cs="Arial" w:eastAsia="Arial" w:hAnsi="Arial"/>
                <w:sz w:val="15"/>
                <w:szCs w:val="15"/>
                <w:color w:val="auto"/>
              </w:rPr>
              <w:t>Intangible assets other than goodwill at the respective balance sheet dates consisted of the following:</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
        </w:trPr>
        <w:tc>
          <w:tcPr>
            <w:tcW w:w="39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26"/>
        </w:trPr>
        <w:tc>
          <w:tcPr>
            <w:tcW w:w="3940" w:type="dxa"/>
            <w:vAlign w:val="bottom"/>
            <w:shd w:val="clear" w:color="auto" w:fill="1D2758"/>
          </w:tcPr>
          <w:p>
            <w:pPr>
              <w:spacing w:after="0"/>
              <w:rPr>
                <w:sz w:val="19"/>
                <w:szCs w:val="19"/>
                <w:color w:val="auto"/>
              </w:rPr>
            </w:pPr>
          </w:p>
        </w:tc>
        <w:tc>
          <w:tcPr>
            <w:tcW w:w="156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102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560" w:type="dxa"/>
            <w:vAlign w:val="bottom"/>
            <w:gridSpan w:val="3"/>
            <w:shd w:val="clear" w:color="auto" w:fill="1D2758"/>
          </w:tcPr>
          <w:p>
            <w:pPr>
              <w:ind w:left="40"/>
              <w:spacing w:after="0"/>
              <w:rPr>
                <w:sz w:val="20"/>
                <w:szCs w:val="20"/>
                <w:color w:val="auto"/>
              </w:rPr>
            </w:pPr>
            <w:r>
              <w:rPr>
                <w:rFonts w:ascii="Arial" w:cs="Arial" w:eastAsia="Arial" w:hAnsi="Arial"/>
                <w:sz w:val="15"/>
                <w:szCs w:val="15"/>
                <w:b w:val="1"/>
                <w:bCs w:val="1"/>
                <w:color w:val="FFFFFF"/>
              </w:rPr>
              <w:t>September 30, 2025</w:t>
            </w:r>
          </w:p>
        </w:tc>
        <w:tc>
          <w:tcPr>
            <w:tcW w:w="180" w:type="dxa"/>
            <w:vAlign w:val="bottom"/>
            <w:shd w:val="clear" w:color="auto" w:fill="1D2758"/>
          </w:tcPr>
          <w:p>
            <w:pPr>
              <w:spacing w:after="0"/>
              <w:rPr>
                <w:sz w:val="19"/>
                <w:szCs w:val="19"/>
                <w:color w:val="auto"/>
              </w:rPr>
            </w:pPr>
          </w:p>
        </w:tc>
        <w:tc>
          <w:tcPr>
            <w:tcW w:w="132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360" w:type="dxa"/>
            <w:vAlign w:val="bottom"/>
            <w:shd w:val="clear" w:color="auto" w:fill="1D2758"/>
          </w:tcPr>
          <w:p>
            <w:pPr>
              <w:spacing w:after="0"/>
              <w:rPr>
                <w:sz w:val="19"/>
                <w:szCs w:val="19"/>
                <w:color w:val="auto"/>
              </w:rPr>
            </w:pPr>
          </w:p>
        </w:tc>
        <w:tc>
          <w:tcPr>
            <w:tcW w:w="880" w:type="dxa"/>
            <w:vAlign w:val="bottom"/>
            <w:shd w:val="clear" w:color="auto" w:fill="1D2758"/>
          </w:tcPr>
          <w:p>
            <w:pPr>
              <w:spacing w:after="0"/>
              <w:rPr>
                <w:sz w:val="19"/>
                <w:szCs w:val="19"/>
                <w:color w:val="auto"/>
              </w:rPr>
            </w:pPr>
          </w:p>
        </w:tc>
        <w:tc>
          <w:tcPr>
            <w:tcW w:w="20" w:type="dxa"/>
            <w:vAlign w:val="bottom"/>
            <w:shd w:val="clear" w:color="auto" w:fill="1D2758"/>
          </w:tcPr>
          <w:p>
            <w:pPr>
              <w:spacing w:after="0"/>
              <w:rPr>
                <w:sz w:val="19"/>
                <w:szCs w:val="19"/>
                <w:color w:val="auto"/>
              </w:rPr>
            </w:pPr>
          </w:p>
        </w:tc>
      </w:tr>
      <w:tr>
        <w:trPr>
          <w:trHeight w:val="199"/>
        </w:trPr>
        <w:tc>
          <w:tcPr>
            <w:tcW w:w="39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220" w:type="dxa"/>
            <w:vAlign w:val="bottom"/>
            <w:shd w:val="clear" w:color="auto" w:fill="1D2758"/>
          </w:tcPr>
          <w:p>
            <w:pPr>
              <w:spacing w:after="0"/>
              <w:rPr>
                <w:sz w:val="17"/>
                <w:szCs w:val="17"/>
                <w:color w:val="auto"/>
              </w:rPr>
            </w:pPr>
          </w:p>
        </w:tc>
        <w:tc>
          <w:tcPr>
            <w:tcW w:w="10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3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20" w:type="dxa"/>
            <w:vAlign w:val="bottom"/>
            <w:shd w:val="clear" w:color="auto" w:fill="1D2758"/>
          </w:tcPr>
          <w:p>
            <w:pPr>
              <w:spacing w:after="0"/>
              <w:rPr>
                <w:sz w:val="17"/>
                <w:szCs w:val="17"/>
                <w:color w:val="auto"/>
              </w:rPr>
            </w:pPr>
          </w:p>
        </w:tc>
      </w:tr>
      <w:tr>
        <w:trPr>
          <w:trHeight w:val="180"/>
        </w:trPr>
        <w:tc>
          <w:tcPr>
            <w:tcW w:w="39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remaining life (in</w:t>
            </w:r>
          </w:p>
        </w:tc>
        <w:tc>
          <w:tcPr>
            <w:tcW w:w="1340" w:type="dxa"/>
            <w:vAlign w:val="bottom"/>
            <w:gridSpan w:val="3"/>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Gross carrying</w:t>
            </w:r>
          </w:p>
        </w:tc>
        <w:tc>
          <w:tcPr>
            <w:tcW w:w="120" w:type="dxa"/>
            <w:vAlign w:val="bottom"/>
            <w:shd w:val="clear" w:color="auto" w:fill="1D2758"/>
          </w:tcPr>
          <w:p>
            <w:pPr>
              <w:spacing w:after="0"/>
              <w:rPr>
                <w:sz w:val="15"/>
                <w:szCs w:val="15"/>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Accumulated</w:t>
            </w:r>
          </w:p>
        </w:tc>
        <w:tc>
          <w:tcPr>
            <w:tcW w:w="180" w:type="dxa"/>
            <w:vAlign w:val="bottom"/>
            <w:shd w:val="clear" w:color="auto" w:fill="1D2758"/>
          </w:tcPr>
          <w:p>
            <w:pPr>
              <w:spacing w:after="0"/>
              <w:rPr>
                <w:sz w:val="15"/>
                <w:szCs w:val="15"/>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36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r>
      <w:tr>
        <w:trPr>
          <w:trHeight w:val="233"/>
        </w:trPr>
        <w:tc>
          <w:tcPr>
            <w:tcW w:w="39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years)</w:t>
            </w:r>
          </w:p>
        </w:tc>
        <w:tc>
          <w:tcPr>
            <w:tcW w:w="220" w:type="dxa"/>
            <w:vAlign w:val="bottom"/>
            <w:shd w:val="clear" w:color="auto" w:fill="1D2758"/>
          </w:tcPr>
          <w:p>
            <w:pPr>
              <w:spacing w:after="0"/>
              <w:rPr>
                <w:sz w:val="20"/>
                <w:szCs w:val="20"/>
                <w:color w:val="auto"/>
              </w:rPr>
            </w:pPr>
          </w:p>
        </w:tc>
        <w:tc>
          <w:tcPr>
            <w:tcW w:w="1120" w:type="dxa"/>
            <w:vAlign w:val="bottom"/>
            <w:gridSpan w:val="2"/>
            <w:shd w:val="clear" w:color="auto" w:fill="1D2758"/>
          </w:tcPr>
          <w:p>
            <w:pPr>
              <w:jc w:val="center"/>
              <w:ind w:right="320"/>
              <w:spacing w:after="0"/>
              <w:rPr>
                <w:sz w:val="20"/>
                <w:szCs w:val="20"/>
                <w:color w:val="auto"/>
              </w:rPr>
            </w:pPr>
            <w:r>
              <w:rPr>
                <w:rFonts w:ascii="Arial" w:cs="Arial" w:eastAsia="Arial" w:hAnsi="Arial"/>
                <w:sz w:val="15"/>
                <w:szCs w:val="15"/>
                <w:b w:val="1"/>
                <w:bCs w:val="1"/>
                <w:color w:val="FFFFFF"/>
              </w:rPr>
              <w:t>amount</w:t>
            </w:r>
          </w:p>
        </w:tc>
        <w:tc>
          <w:tcPr>
            <w:tcW w:w="120" w:type="dxa"/>
            <w:vAlign w:val="bottom"/>
            <w:shd w:val="clear" w:color="auto" w:fill="1D2758"/>
          </w:tcPr>
          <w:p>
            <w:pPr>
              <w:spacing w:after="0"/>
              <w:rPr>
                <w:sz w:val="20"/>
                <w:szCs w:val="20"/>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impairment loss</w:t>
            </w:r>
          </w:p>
        </w:tc>
        <w:tc>
          <w:tcPr>
            <w:tcW w:w="180" w:type="dxa"/>
            <w:vAlign w:val="bottom"/>
            <w:shd w:val="clear" w:color="auto" w:fill="1D2758"/>
          </w:tcPr>
          <w:p>
            <w:pPr>
              <w:spacing w:after="0"/>
              <w:rPr>
                <w:sz w:val="20"/>
                <w:szCs w:val="20"/>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amortization</w:t>
            </w:r>
          </w:p>
        </w:tc>
        <w:tc>
          <w:tcPr>
            <w:tcW w:w="1260" w:type="dxa"/>
            <w:vAlign w:val="bottom"/>
            <w:gridSpan w:val="3"/>
            <w:shd w:val="clear" w:color="auto" w:fill="1D2758"/>
          </w:tcPr>
          <w:p>
            <w:pPr>
              <w:ind w:left="80"/>
              <w:spacing w:after="0"/>
              <w:rPr>
                <w:sz w:val="20"/>
                <w:szCs w:val="20"/>
                <w:color w:val="auto"/>
              </w:rPr>
            </w:pPr>
            <w:r>
              <w:rPr>
                <w:rFonts w:ascii="Arial" w:cs="Arial" w:eastAsia="Arial" w:hAnsi="Arial"/>
                <w:sz w:val="15"/>
                <w:szCs w:val="15"/>
                <w:b w:val="1"/>
                <w:bCs w:val="1"/>
                <w:color w:val="FFFFFF"/>
              </w:rPr>
              <w:t>Net book value</w:t>
            </w:r>
          </w:p>
        </w:tc>
      </w:tr>
      <w:tr>
        <w:trPr>
          <w:trHeight w:val="232"/>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Customer relationships</w:t>
            </w:r>
          </w:p>
        </w:tc>
        <w:tc>
          <w:tcPr>
            <w:tcW w:w="1560" w:type="dxa"/>
            <w:vAlign w:val="bottom"/>
          </w:tcPr>
          <w:p>
            <w:pPr>
              <w:jc w:val="center"/>
              <w:ind w:right="23"/>
              <w:spacing w:after="0"/>
              <w:rPr>
                <w:sz w:val="20"/>
                <w:szCs w:val="20"/>
                <w:color w:val="auto"/>
              </w:rPr>
            </w:pPr>
            <w:r>
              <w:rPr>
                <w:rFonts w:ascii="Arial" w:cs="Arial" w:eastAsia="Arial" w:hAnsi="Arial"/>
                <w:sz w:val="15"/>
                <w:szCs w:val="15"/>
                <w:color w:val="auto"/>
              </w:rPr>
              <w:t>3.2</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234,108</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(136,878)</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97,230</w:t>
            </w:r>
          </w:p>
        </w:tc>
        <w:tc>
          <w:tcPr>
            <w:tcW w:w="20" w:type="dxa"/>
            <w:vAlign w:val="bottom"/>
          </w:tcPr>
          <w:p>
            <w:pPr>
              <w:spacing w:after="0"/>
              <w:rPr>
                <w:sz w:val="19"/>
                <w:szCs w:val="19"/>
                <w:color w:val="auto"/>
              </w:rPr>
            </w:pPr>
          </w:p>
        </w:tc>
      </w:tr>
      <w:tr>
        <w:trPr>
          <w:trHeight w:val="239"/>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ind w:right="23"/>
              <w:spacing w:after="0"/>
              <w:rPr>
                <w:sz w:val="20"/>
                <w:szCs w:val="20"/>
                <w:color w:val="auto"/>
              </w:rPr>
            </w:pPr>
            <w:r>
              <w:rPr>
                <w:rFonts w:ascii="Arial" w:cs="Arial" w:eastAsia="Arial" w:hAnsi="Arial"/>
                <w:sz w:val="15"/>
                <w:szCs w:val="15"/>
                <w:color w:val="auto"/>
              </w:rPr>
              <w:t>0.8</w:t>
            </w: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ind w:left="1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(1,313)</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187</w:t>
            </w:r>
          </w:p>
        </w:tc>
        <w:tc>
          <w:tcPr>
            <w:tcW w:w="20" w:type="dxa"/>
            <w:vAlign w:val="bottom"/>
            <w:shd w:val="clear" w:color="auto" w:fill="DBDBDB"/>
          </w:tcPr>
          <w:p>
            <w:pPr>
              <w:spacing w:after="0"/>
              <w:rPr>
                <w:sz w:val="20"/>
                <w:szCs w:val="20"/>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Trade names</w:t>
            </w:r>
          </w:p>
        </w:tc>
        <w:tc>
          <w:tcPr>
            <w:tcW w:w="1560" w:type="dxa"/>
            <w:vAlign w:val="bottom"/>
          </w:tcPr>
          <w:p>
            <w:pPr>
              <w:jc w:val="center"/>
              <w:ind w:right="23"/>
              <w:spacing w:after="0"/>
              <w:rPr>
                <w:sz w:val="20"/>
                <w:szCs w:val="20"/>
                <w:color w:val="auto"/>
              </w:rPr>
            </w:pPr>
            <w:r>
              <w:rPr>
                <w:rFonts w:ascii="Arial" w:cs="Arial" w:eastAsia="Arial" w:hAnsi="Arial"/>
                <w:sz w:val="15"/>
                <w:szCs w:val="15"/>
                <w:color w:val="auto"/>
              </w:rPr>
              <w:t>2.0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(20,116)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12,844</w:t>
            </w:r>
          </w:p>
        </w:tc>
        <w:tc>
          <w:tcPr>
            <w:tcW w:w="20" w:type="dxa"/>
            <w:vAlign w:val="bottom"/>
          </w:tcPr>
          <w:p>
            <w:pPr>
              <w:spacing w:after="0"/>
              <w:rPr>
                <w:sz w:val="19"/>
                <w:szCs w:val="19"/>
                <w:color w:val="auto"/>
              </w:rPr>
            </w:pPr>
          </w:p>
        </w:tc>
      </w:tr>
      <w:tr>
        <w:trPr>
          <w:trHeight w:val="219"/>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13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r>
      <w:tr>
        <w:trPr>
          <w:trHeight w:val="251"/>
        </w:trPr>
        <w:tc>
          <w:tcPr>
            <w:tcW w:w="394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125,000</w:t>
            </w:r>
          </w:p>
        </w:tc>
        <w:tc>
          <w:tcPr>
            <w:tcW w:w="20" w:type="dxa"/>
            <w:vAlign w:val="bottom"/>
          </w:tcPr>
          <w:p>
            <w:pPr>
              <w:spacing w:after="0"/>
              <w:rPr>
                <w:sz w:val="21"/>
                <w:szCs w:val="21"/>
                <w:color w:val="auto"/>
              </w:rPr>
            </w:pPr>
          </w:p>
        </w:tc>
      </w:tr>
      <w:tr>
        <w:trPr>
          <w:trHeight w:val="257"/>
        </w:trPr>
        <w:tc>
          <w:tcPr>
            <w:tcW w:w="3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526,108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DBDBDB"/>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(158,307)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235,261</w:t>
            </w:r>
          </w:p>
        </w:tc>
        <w:tc>
          <w:tcPr>
            <w:tcW w:w="20" w:type="dxa"/>
            <w:vAlign w:val="bottom"/>
            <w:tcBorders>
              <w:top w:val="single" w:sz="8" w:color="auto"/>
              <w:bottom w:val="single" w:sz="8" w:color="auto"/>
            </w:tcBorders>
            <w:shd w:val="clear" w:color="auto" w:fill="DBDBDB"/>
          </w:tcPr>
          <w:p>
            <w:pPr>
              <w:spacing w:after="0"/>
              <w:rPr>
                <w:sz w:val="21"/>
                <w:szCs w:val="21"/>
                <w:color w:val="auto"/>
              </w:rPr>
            </w:pP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gridSpan w:val="2"/>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r>
      <w:tr>
        <w:trPr>
          <w:trHeight w:val="139"/>
        </w:trPr>
        <w:tc>
          <w:tcPr>
            <w:tcW w:w="3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6"/>
        </w:trPr>
        <w:tc>
          <w:tcPr>
            <w:tcW w:w="3940" w:type="dxa"/>
            <w:vAlign w:val="bottom"/>
            <w:shd w:val="clear" w:color="auto" w:fill="1D2758"/>
          </w:tcPr>
          <w:p>
            <w:pPr>
              <w:spacing w:after="0"/>
              <w:rPr>
                <w:sz w:val="19"/>
                <w:szCs w:val="19"/>
                <w:color w:val="auto"/>
              </w:rPr>
            </w:pPr>
          </w:p>
        </w:tc>
        <w:tc>
          <w:tcPr>
            <w:tcW w:w="156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102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560" w:type="dxa"/>
            <w:vAlign w:val="bottom"/>
            <w:gridSpan w:val="3"/>
            <w:shd w:val="clear" w:color="auto" w:fill="1D2758"/>
          </w:tcPr>
          <w:p>
            <w:pPr>
              <w:ind w:left="60"/>
              <w:spacing w:after="0"/>
              <w:rPr>
                <w:sz w:val="20"/>
                <w:szCs w:val="20"/>
                <w:color w:val="auto"/>
              </w:rPr>
            </w:pPr>
            <w:r>
              <w:rPr>
                <w:rFonts w:ascii="Arial" w:cs="Arial" w:eastAsia="Arial" w:hAnsi="Arial"/>
                <w:sz w:val="15"/>
                <w:szCs w:val="15"/>
                <w:b w:val="1"/>
                <w:bCs w:val="1"/>
                <w:color w:val="FFFFFF"/>
              </w:rPr>
              <w:t>December 31, 2024</w:t>
            </w:r>
          </w:p>
        </w:tc>
        <w:tc>
          <w:tcPr>
            <w:tcW w:w="180" w:type="dxa"/>
            <w:vAlign w:val="bottom"/>
            <w:shd w:val="clear" w:color="auto" w:fill="1D2758"/>
          </w:tcPr>
          <w:p>
            <w:pPr>
              <w:spacing w:after="0"/>
              <w:rPr>
                <w:sz w:val="19"/>
                <w:szCs w:val="19"/>
                <w:color w:val="auto"/>
              </w:rPr>
            </w:pPr>
          </w:p>
        </w:tc>
        <w:tc>
          <w:tcPr>
            <w:tcW w:w="132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360" w:type="dxa"/>
            <w:vAlign w:val="bottom"/>
            <w:shd w:val="clear" w:color="auto" w:fill="1D2758"/>
          </w:tcPr>
          <w:p>
            <w:pPr>
              <w:spacing w:after="0"/>
              <w:rPr>
                <w:sz w:val="19"/>
                <w:szCs w:val="19"/>
                <w:color w:val="auto"/>
              </w:rPr>
            </w:pPr>
          </w:p>
        </w:tc>
        <w:tc>
          <w:tcPr>
            <w:tcW w:w="880" w:type="dxa"/>
            <w:vAlign w:val="bottom"/>
            <w:shd w:val="clear" w:color="auto" w:fill="1D2758"/>
          </w:tcPr>
          <w:p>
            <w:pPr>
              <w:spacing w:after="0"/>
              <w:rPr>
                <w:sz w:val="19"/>
                <w:szCs w:val="19"/>
                <w:color w:val="auto"/>
              </w:rPr>
            </w:pPr>
          </w:p>
        </w:tc>
        <w:tc>
          <w:tcPr>
            <w:tcW w:w="20" w:type="dxa"/>
            <w:vAlign w:val="bottom"/>
          </w:tcPr>
          <w:p>
            <w:pPr>
              <w:spacing w:after="0"/>
              <w:rPr>
                <w:sz w:val="19"/>
                <w:szCs w:val="19"/>
                <w:color w:val="auto"/>
              </w:rPr>
            </w:pPr>
          </w:p>
        </w:tc>
      </w:tr>
      <w:tr>
        <w:trPr>
          <w:trHeight w:val="199"/>
        </w:trPr>
        <w:tc>
          <w:tcPr>
            <w:tcW w:w="39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Weighted average</w:t>
            </w:r>
          </w:p>
        </w:tc>
        <w:tc>
          <w:tcPr>
            <w:tcW w:w="220" w:type="dxa"/>
            <w:vAlign w:val="bottom"/>
            <w:shd w:val="clear" w:color="auto" w:fill="1D2758"/>
          </w:tcPr>
          <w:p>
            <w:pPr>
              <w:spacing w:after="0"/>
              <w:rPr>
                <w:sz w:val="17"/>
                <w:szCs w:val="17"/>
                <w:color w:val="auto"/>
              </w:rPr>
            </w:pPr>
          </w:p>
        </w:tc>
        <w:tc>
          <w:tcPr>
            <w:tcW w:w="10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3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39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remaining life (in</w:t>
            </w:r>
          </w:p>
        </w:tc>
        <w:tc>
          <w:tcPr>
            <w:tcW w:w="1340" w:type="dxa"/>
            <w:vAlign w:val="bottom"/>
            <w:gridSpan w:val="3"/>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Gross carrying</w:t>
            </w:r>
          </w:p>
        </w:tc>
        <w:tc>
          <w:tcPr>
            <w:tcW w:w="120" w:type="dxa"/>
            <w:vAlign w:val="bottom"/>
            <w:shd w:val="clear" w:color="auto" w:fill="1D2758"/>
          </w:tcPr>
          <w:p>
            <w:pPr>
              <w:spacing w:after="0"/>
              <w:rPr>
                <w:sz w:val="15"/>
                <w:szCs w:val="15"/>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Accumulated</w:t>
            </w:r>
          </w:p>
        </w:tc>
        <w:tc>
          <w:tcPr>
            <w:tcW w:w="180" w:type="dxa"/>
            <w:vAlign w:val="bottom"/>
            <w:shd w:val="clear" w:color="auto" w:fill="1D2758"/>
          </w:tcPr>
          <w:p>
            <w:pPr>
              <w:spacing w:after="0"/>
              <w:rPr>
                <w:sz w:val="15"/>
                <w:szCs w:val="15"/>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36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20" w:type="dxa"/>
            <w:vAlign w:val="bottom"/>
          </w:tcPr>
          <w:p>
            <w:pPr>
              <w:spacing w:after="0"/>
              <w:rPr>
                <w:sz w:val="15"/>
                <w:szCs w:val="15"/>
                <w:color w:val="auto"/>
              </w:rPr>
            </w:pPr>
          </w:p>
        </w:tc>
      </w:tr>
      <w:tr>
        <w:trPr>
          <w:trHeight w:val="233"/>
        </w:trPr>
        <w:tc>
          <w:tcPr>
            <w:tcW w:w="39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220" w:type="dxa"/>
            <w:vAlign w:val="bottom"/>
            <w:shd w:val="clear" w:color="auto" w:fill="1D2758"/>
          </w:tcPr>
          <w:p>
            <w:pPr>
              <w:spacing w:after="0"/>
              <w:rPr>
                <w:sz w:val="20"/>
                <w:szCs w:val="20"/>
                <w:color w:val="auto"/>
              </w:rPr>
            </w:pPr>
          </w:p>
        </w:tc>
        <w:tc>
          <w:tcPr>
            <w:tcW w:w="1120" w:type="dxa"/>
            <w:vAlign w:val="bottom"/>
            <w:gridSpan w:val="2"/>
            <w:shd w:val="clear" w:color="auto" w:fill="1D2758"/>
          </w:tcPr>
          <w:p>
            <w:pPr>
              <w:jc w:val="center"/>
              <w:ind w:right="320"/>
              <w:spacing w:after="0"/>
              <w:rPr>
                <w:sz w:val="20"/>
                <w:szCs w:val="20"/>
                <w:color w:val="auto"/>
              </w:rPr>
            </w:pPr>
            <w:r>
              <w:rPr>
                <w:rFonts w:ascii="Arial" w:cs="Arial" w:eastAsia="Arial" w:hAnsi="Arial"/>
                <w:sz w:val="15"/>
                <w:szCs w:val="15"/>
                <w:b w:val="1"/>
                <w:bCs w:val="1"/>
                <w:color w:val="FFFFFF"/>
              </w:rPr>
              <w:t>amount</w:t>
            </w:r>
          </w:p>
        </w:tc>
        <w:tc>
          <w:tcPr>
            <w:tcW w:w="120" w:type="dxa"/>
            <w:vAlign w:val="bottom"/>
            <w:shd w:val="clear" w:color="auto" w:fill="1D2758"/>
          </w:tcPr>
          <w:p>
            <w:pPr>
              <w:spacing w:after="0"/>
              <w:rPr>
                <w:sz w:val="20"/>
                <w:szCs w:val="20"/>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impairment loss</w:t>
            </w:r>
          </w:p>
        </w:tc>
        <w:tc>
          <w:tcPr>
            <w:tcW w:w="180" w:type="dxa"/>
            <w:vAlign w:val="bottom"/>
            <w:shd w:val="clear" w:color="auto" w:fill="1D2758"/>
          </w:tcPr>
          <w:p>
            <w:pPr>
              <w:spacing w:after="0"/>
              <w:rPr>
                <w:sz w:val="20"/>
                <w:szCs w:val="20"/>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amortization</w:t>
            </w:r>
          </w:p>
        </w:tc>
        <w:tc>
          <w:tcPr>
            <w:tcW w:w="124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Net book value</w:t>
            </w:r>
          </w:p>
        </w:tc>
        <w:tc>
          <w:tcPr>
            <w:tcW w:w="20" w:type="dxa"/>
            <w:vAlign w:val="bottom"/>
          </w:tcPr>
          <w:p>
            <w:pPr>
              <w:spacing w:after="0"/>
              <w:rPr>
                <w:sz w:val="20"/>
                <w:szCs w:val="20"/>
                <w:color w:val="auto"/>
              </w:rPr>
            </w:pPr>
          </w:p>
        </w:tc>
      </w:tr>
      <w:tr>
        <w:trPr>
          <w:trHeight w:val="232"/>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3.5</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215,408</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(113,415)</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101,993</w:t>
            </w:r>
          </w:p>
        </w:tc>
        <w:tc>
          <w:tcPr>
            <w:tcW w:w="20" w:type="dxa"/>
            <w:vAlign w:val="bottom"/>
          </w:tcPr>
          <w:p>
            <w:pPr>
              <w:spacing w:after="0"/>
              <w:rPr>
                <w:sz w:val="19"/>
                <w:szCs w:val="19"/>
                <w:color w:val="auto"/>
              </w:rPr>
            </w:pPr>
          </w:p>
        </w:tc>
      </w:tr>
      <w:tr>
        <w:trPr>
          <w:trHeight w:val="239"/>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1.5</w:t>
            </w: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ind w:left="1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(1,125)</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w:t>
            </w:r>
          </w:p>
        </w:tc>
        <w:tc>
          <w:tcPr>
            <w:tcW w:w="20" w:type="dxa"/>
            <w:vAlign w:val="bottom"/>
          </w:tcPr>
          <w:p>
            <w:pPr>
              <w:spacing w:after="0"/>
              <w:rPr>
                <w:sz w:val="20"/>
                <w:szCs w:val="20"/>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Trade names</w:t>
            </w:r>
          </w:p>
        </w:tc>
        <w:tc>
          <w:tcPr>
            <w:tcW w:w="1560" w:type="dxa"/>
            <w:vAlign w:val="bottom"/>
          </w:tcPr>
          <w:p>
            <w:pPr>
              <w:jc w:val="center"/>
              <w:spacing w:after="0"/>
              <w:rPr>
                <w:sz w:val="20"/>
                <w:szCs w:val="20"/>
                <w:color w:val="auto"/>
              </w:rPr>
            </w:pPr>
            <w:r>
              <w:rPr>
                <w:rFonts w:ascii="Arial" w:cs="Arial" w:eastAsia="Arial" w:hAnsi="Arial"/>
                <w:sz w:val="15"/>
                <w:szCs w:val="15"/>
                <w:color w:val="auto"/>
              </w:rPr>
              <w:t>2.7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(9,164)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23,796</w:t>
            </w:r>
          </w:p>
        </w:tc>
        <w:tc>
          <w:tcPr>
            <w:tcW w:w="20" w:type="dxa"/>
            <w:vAlign w:val="bottom"/>
          </w:tcPr>
          <w:p>
            <w:pPr>
              <w:spacing w:after="0"/>
              <w:rPr>
                <w:sz w:val="19"/>
                <w:szCs w:val="19"/>
                <w:color w:val="auto"/>
              </w:rPr>
            </w:pPr>
          </w:p>
        </w:tc>
      </w:tr>
      <w:tr>
        <w:trPr>
          <w:trHeight w:val="219"/>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13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125,000</w:t>
            </w:r>
          </w:p>
        </w:tc>
        <w:tc>
          <w:tcPr>
            <w:tcW w:w="20" w:type="dxa"/>
            <w:vAlign w:val="bottom"/>
          </w:tcPr>
          <w:p>
            <w:pPr>
              <w:spacing w:after="0"/>
              <w:rPr>
                <w:sz w:val="19"/>
                <w:szCs w:val="19"/>
                <w:color w:val="auto"/>
              </w:rPr>
            </w:pPr>
          </w:p>
        </w:tc>
      </w:tr>
      <w:tr>
        <w:trPr>
          <w:trHeight w:val="257"/>
        </w:trPr>
        <w:tc>
          <w:tcPr>
            <w:tcW w:w="3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507,408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DBDBDB"/>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(123,704)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251,164</w:t>
            </w:r>
          </w:p>
        </w:tc>
        <w:tc>
          <w:tcPr>
            <w:tcW w:w="20" w:type="dxa"/>
            <w:vAlign w:val="bottom"/>
          </w:tcPr>
          <w:p>
            <w:pPr>
              <w:spacing w:after="0"/>
              <w:rPr>
                <w:sz w:val="21"/>
                <w:szCs w:val="21"/>
                <w:color w:val="auto"/>
              </w:rPr>
            </w:pP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bookmarkStart w:id="13" w:name="page14"/>
    <w:bookmarkEnd w:id="13"/>
    <w:p>
      <w:pPr>
        <w:jc w:val="both"/>
        <w:ind w:firstLine="619"/>
        <w:spacing w:after="0" w:line="294" w:lineRule="auto"/>
        <w:rPr>
          <w:sz w:val="20"/>
          <w:szCs w:val="20"/>
          <w:color w:val="auto"/>
        </w:rPr>
      </w:pPr>
      <w:r>
        <w:rPr>
          <w:rFonts w:ascii="Arial" w:cs="Arial" w:eastAsia="Arial" w:hAnsi="Arial"/>
          <w:sz w:val="15"/>
          <w:szCs w:val="15"/>
          <w:color w:val="auto"/>
        </w:rPr>
        <w:t>Amortization expense related to intangible assets was $11.5 million and $11.9 million for the three months ended September 30, 2025 and 2024, respectively, and $34.6 million and $26.6 million for the nine months ended September 30, 2025 and 2024, respectively.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420" w:type="dxa"/>
            <w:vAlign w:val="bottom"/>
            <w:gridSpan w:val="2"/>
          </w:tcPr>
          <w:p>
            <w:pPr>
              <w:ind w:left="620"/>
              <w:spacing w:after="0"/>
              <w:rPr>
                <w:sz w:val="20"/>
                <w:szCs w:val="20"/>
                <w:color w:val="auto"/>
              </w:rPr>
            </w:pPr>
            <w:r>
              <w:rPr>
                <w:rFonts w:ascii="Arial" w:cs="Arial" w:eastAsia="Arial" w:hAnsi="Arial"/>
                <w:sz w:val="15"/>
                <w:szCs w:val="15"/>
                <w:color w:val="auto"/>
              </w:rPr>
              <w:t>As of September 30, 2025, the expected future amortization expense for intangible assets was as follows for the years ended December 31:</w:t>
            </w:r>
          </w:p>
        </w:tc>
        <w:tc>
          <w:tcPr>
            <w:tcW w:w="820" w:type="dxa"/>
            <w:vAlign w:val="bottom"/>
          </w:tcPr>
          <w:p>
            <w:pPr>
              <w:spacing w:after="0"/>
              <w:rPr>
                <w:sz w:val="17"/>
                <w:szCs w:val="17"/>
                <w:color w:val="auto"/>
              </w:rPr>
            </w:pPr>
          </w:p>
        </w:tc>
      </w:tr>
      <w:tr>
        <w:trPr>
          <w:trHeight w:val="66"/>
        </w:trPr>
        <w:tc>
          <w:tcPr>
            <w:tcW w:w="9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32"/>
        </w:trPr>
        <w:tc>
          <w:tcPr>
            <w:tcW w:w="9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0" w:type="dxa"/>
            <w:vAlign w:val="bottom"/>
            <w:shd w:val="clear" w:color="auto" w:fill="1D2758"/>
          </w:tcPr>
          <w:p>
            <w:pPr>
              <w:spacing w:after="0"/>
              <w:rPr>
                <w:sz w:val="20"/>
                <w:szCs w:val="20"/>
                <w:color w:val="auto"/>
              </w:rPr>
            </w:pPr>
          </w:p>
        </w:tc>
        <w:tc>
          <w:tcPr>
            <w:tcW w:w="820" w:type="dxa"/>
            <w:vAlign w:val="bottom"/>
            <w:shd w:val="clear" w:color="auto" w:fill="1D2758"/>
          </w:tcPr>
          <w:p>
            <w:pPr>
              <w:spacing w:after="0"/>
              <w:rPr>
                <w:sz w:val="20"/>
                <w:szCs w:val="20"/>
                <w:color w:val="auto"/>
              </w:rPr>
            </w:pPr>
          </w:p>
        </w:tc>
      </w:tr>
      <w:tr>
        <w:trPr>
          <w:trHeight w:val="232"/>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(remaining)</w:t>
            </w:r>
          </w:p>
        </w:tc>
        <w:tc>
          <w:tcPr>
            <w:tcW w:w="1200" w:type="dxa"/>
            <w:vAlign w:val="bottom"/>
            <w:shd w:val="clear" w:color="auto" w:fill="DBDBDB"/>
          </w:tcPr>
          <w:p>
            <w:pPr>
              <w:jc w:val="right"/>
              <w:ind w:right="102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11,171</w:t>
            </w:r>
          </w:p>
        </w:tc>
      </w:tr>
      <w:tr>
        <w:trPr>
          <w:trHeight w:val="225"/>
        </w:trPr>
        <w:tc>
          <w:tcPr>
            <w:tcW w:w="9220" w:type="dxa"/>
            <w:vAlign w:val="bottom"/>
          </w:tcPr>
          <w:p>
            <w:pPr>
              <w:ind w:left="20"/>
              <w:spacing w:after="0"/>
              <w:rPr>
                <w:sz w:val="20"/>
                <w:szCs w:val="20"/>
                <w:color w:val="auto"/>
              </w:rPr>
            </w:pPr>
            <w:r>
              <w:rPr>
                <w:rFonts w:ascii="Arial" w:cs="Arial" w:eastAsia="Arial" w:hAnsi="Arial"/>
                <w:sz w:val="15"/>
                <w:szCs w:val="15"/>
                <w:color w:val="auto"/>
              </w:rPr>
              <w:t>2026</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40,210</w:t>
            </w:r>
          </w:p>
        </w:tc>
      </w:tr>
      <w:tr>
        <w:trPr>
          <w:trHeight w:val="239"/>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1200" w:type="dxa"/>
            <w:vAlign w:val="bottom"/>
            <w:shd w:val="clear" w:color="auto" w:fill="DBDBDB"/>
          </w:tcPr>
          <w:p>
            <w:pPr>
              <w:spacing w:after="0"/>
              <w:rPr>
                <w:sz w:val="20"/>
                <w:szCs w:val="20"/>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33,581</w:t>
            </w:r>
          </w:p>
        </w:tc>
      </w:tr>
      <w:tr>
        <w:trPr>
          <w:trHeight w:val="225"/>
        </w:trPr>
        <w:tc>
          <w:tcPr>
            <w:tcW w:w="9220" w:type="dxa"/>
            <w:vAlign w:val="bottom"/>
          </w:tcPr>
          <w:p>
            <w:pPr>
              <w:ind w:left="20"/>
              <w:spacing w:after="0"/>
              <w:rPr>
                <w:sz w:val="20"/>
                <w:szCs w:val="20"/>
                <w:color w:val="auto"/>
              </w:rPr>
            </w:pPr>
            <w:r>
              <w:rPr>
                <w:rFonts w:ascii="Arial" w:cs="Arial" w:eastAsia="Arial" w:hAnsi="Arial"/>
                <w:sz w:val="15"/>
                <w:szCs w:val="15"/>
                <w:color w:val="auto"/>
              </w:rPr>
              <w:t>2028</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18,037</w:t>
            </w:r>
          </w:p>
        </w:tc>
      </w:tr>
      <w:tr>
        <w:trPr>
          <w:trHeight w:val="239"/>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w:t>
            </w:r>
          </w:p>
        </w:tc>
        <w:tc>
          <w:tcPr>
            <w:tcW w:w="1200" w:type="dxa"/>
            <w:vAlign w:val="bottom"/>
            <w:shd w:val="clear" w:color="auto" w:fill="DBDBDB"/>
          </w:tcPr>
          <w:p>
            <w:pPr>
              <w:spacing w:after="0"/>
              <w:rPr>
                <w:sz w:val="20"/>
                <w:szCs w:val="20"/>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3,367</w:t>
            </w:r>
          </w:p>
        </w:tc>
      </w:tr>
      <w:tr>
        <w:trPr>
          <w:trHeight w:val="225"/>
        </w:trPr>
        <w:tc>
          <w:tcPr>
            <w:tcW w:w="92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3,895</w:t>
            </w:r>
          </w:p>
        </w:tc>
      </w:tr>
      <w:tr>
        <w:trPr>
          <w:trHeight w:val="257"/>
        </w:trPr>
        <w:tc>
          <w:tcPr>
            <w:tcW w:w="9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5"/>
                <w:szCs w:val="15"/>
                <w:color w:val="auto"/>
              </w:rPr>
              <w:t>Total</w:t>
            </w:r>
          </w:p>
        </w:tc>
        <w:tc>
          <w:tcPr>
            <w:tcW w:w="1200" w:type="dxa"/>
            <w:vAlign w:val="bottom"/>
            <w:tcBorders>
              <w:bottom w:val="single" w:sz="8" w:color="auto"/>
            </w:tcBorders>
            <w:shd w:val="clear" w:color="auto" w:fill="DBDBDB"/>
          </w:tcPr>
          <w:p>
            <w:pPr>
              <w:jc w:val="right"/>
              <w:ind w:right="102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110,261</w:t>
            </w:r>
          </w:p>
        </w:tc>
      </w:tr>
      <w:tr>
        <w:trPr>
          <w:trHeight w:val="20"/>
        </w:trPr>
        <w:tc>
          <w:tcPr>
            <w:tcW w:w="922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8 - Debt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8860" w:type="dxa"/>
            <w:vAlign w:val="bottom"/>
            <w:gridSpan w:val="7"/>
          </w:tcPr>
          <w:p>
            <w:pPr>
              <w:ind w:left="240"/>
              <w:spacing w:after="0"/>
              <w:rPr>
                <w:sz w:val="20"/>
                <w:szCs w:val="20"/>
                <w:color w:val="auto"/>
              </w:rPr>
            </w:pPr>
            <w:r>
              <w:rPr>
                <w:rFonts w:ascii="Arial" w:cs="Arial" w:eastAsia="Arial" w:hAnsi="Arial"/>
                <w:sz w:val="15"/>
                <w:szCs w:val="15"/>
                <w:color w:val="auto"/>
              </w:rPr>
              <w:t>The carrying value of debt outstanding at the respective balance sheet dates consisted of the following:</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6"/>
        </w:trPr>
        <w:tc>
          <w:tcPr>
            <w:tcW w:w="3320" w:type="dxa"/>
            <w:vAlign w:val="bottom"/>
            <w:gridSpan w:val="2"/>
          </w:tcPr>
          <w:p>
            <w:pPr>
              <w:spacing w:after="0"/>
              <w:rPr>
                <w:sz w:val="5"/>
                <w:szCs w:val="5"/>
                <w:color w:val="auto"/>
              </w:rPr>
            </w:pPr>
          </w:p>
        </w:tc>
        <w:tc>
          <w:tcPr>
            <w:tcW w:w="19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32"/>
        </w:trPr>
        <w:tc>
          <w:tcPr>
            <w:tcW w:w="33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1940" w:type="dxa"/>
            <w:vAlign w:val="bottom"/>
            <w:shd w:val="clear" w:color="auto" w:fill="1D2758"/>
          </w:tcPr>
          <w:p>
            <w:pPr>
              <w:jc w:val="center"/>
              <w:ind w:left="223"/>
              <w:spacing w:after="0"/>
              <w:rPr>
                <w:sz w:val="20"/>
                <w:szCs w:val="20"/>
                <w:color w:val="auto"/>
              </w:rPr>
            </w:pPr>
            <w:r>
              <w:rPr>
                <w:rFonts w:ascii="Arial" w:cs="Arial" w:eastAsia="Arial" w:hAnsi="Arial"/>
                <w:sz w:val="15"/>
                <w:szCs w:val="15"/>
                <w:b w:val="1"/>
                <w:bCs w:val="1"/>
                <w:color w:val="FFFFFF"/>
              </w:rPr>
              <w:t>Interest rate</w:t>
            </w:r>
          </w:p>
        </w:tc>
        <w:tc>
          <w:tcPr>
            <w:tcW w:w="18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 of maturity</w:t>
            </w:r>
          </w:p>
        </w:tc>
        <w:tc>
          <w:tcPr>
            <w:tcW w:w="18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ind w:left="100"/>
              <w:spacing w:after="0"/>
              <w:rPr>
                <w:sz w:val="20"/>
                <w:szCs w:val="20"/>
                <w:color w:val="auto"/>
              </w:rPr>
            </w:pPr>
            <w:r>
              <w:rPr>
                <w:rFonts w:ascii="Arial" w:cs="Arial" w:eastAsia="Arial" w:hAnsi="Arial"/>
                <w:sz w:val="15"/>
                <w:szCs w:val="15"/>
                <w:b w:val="1"/>
                <w:bCs w:val="1"/>
                <w:color w:val="FFFFFF"/>
              </w:rPr>
              <w:t>September 30, 2025</w:t>
            </w:r>
          </w:p>
        </w:tc>
        <w:tc>
          <w:tcPr>
            <w:tcW w:w="200" w:type="dxa"/>
            <w:vAlign w:val="bottom"/>
            <w:shd w:val="clear" w:color="auto" w:fill="1D2758"/>
          </w:tcPr>
          <w:p>
            <w:pPr>
              <w:spacing w:after="0"/>
              <w:rPr>
                <w:sz w:val="20"/>
                <w:szCs w:val="20"/>
                <w:color w:val="auto"/>
              </w:rPr>
            </w:pPr>
          </w:p>
        </w:tc>
        <w:tc>
          <w:tcPr>
            <w:tcW w:w="180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December 31, 2024</w:t>
            </w:r>
          </w:p>
        </w:tc>
      </w:tr>
      <w:tr>
        <w:trPr>
          <w:trHeight w:val="232"/>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6.125%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2025</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920" w:type="dxa"/>
            <w:vAlign w:val="bottom"/>
            <w:gridSpan w:val="3"/>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525,283</w:t>
            </w:r>
          </w:p>
        </w:tc>
      </w:tr>
      <w:tr>
        <w:trPr>
          <w:trHeight w:val="225"/>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ABL Facility</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Varies</w:t>
            </w:r>
          </w:p>
        </w:tc>
        <w:tc>
          <w:tcPr>
            <w:tcW w:w="1880" w:type="dxa"/>
            <w:vAlign w:val="bottom"/>
          </w:tcPr>
          <w:p>
            <w:pPr>
              <w:jc w:val="center"/>
              <w:spacing w:after="0"/>
              <w:rPr>
                <w:sz w:val="20"/>
                <w:szCs w:val="20"/>
                <w:color w:val="auto"/>
              </w:rPr>
            </w:pPr>
            <w:r>
              <w:rPr>
                <w:rFonts w:ascii="Arial" w:cs="Arial" w:eastAsia="Arial" w:hAnsi="Arial"/>
                <w:sz w:val="15"/>
                <w:szCs w:val="15"/>
                <w:color w:val="auto"/>
              </w:rPr>
              <w:t>2027</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1,484,139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1,556,651</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4.625%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2028</w:t>
            </w:r>
          </w:p>
        </w:tc>
        <w:tc>
          <w:tcPr>
            <w:tcW w:w="180" w:type="dxa"/>
            <w:vAlign w:val="bottom"/>
            <w:shd w:val="clear" w:color="auto" w:fill="DBDBDB"/>
          </w:tcPr>
          <w:p>
            <w:pPr>
              <w:spacing w:after="0"/>
              <w:rPr>
                <w:sz w:val="20"/>
                <w:szCs w:val="20"/>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496,429</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495,582</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2029</w:t>
            </w:r>
          </w:p>
        </w:tc>
        <w:tc>
          <w:tcPr>
            <w:tcW w:w="2940" w:type="dxa"/>
            <w:vAlign w:val="bottom"/>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6.625%</w:t>
            </w:r>
          </w:p>
        </w:tc>
        <w:tc>
          <w:tcPr>
            <w:tcW w:w="1880" w:type="dxa"/>
            <w:vAlign w:val="bottom"/>
          </w:tcPr>
          <w:p>
            <w:pPr>
              <w:jc w:val="center"/>
              <w:spacing w:after="0"/>
              <w:rPr>
                <w:sz w:val="20"/>
                <w:szCs w:val="20"/>
                <w:color w:val="auto"/>
              </w:rPr>
            </w:pPr>
            <w:r>
              <w:rPr>
                <w:rFonts w:ascii="Arial" w:cs="Arial" w:eastAsia="Arial" w:hAnsi="Arial"/>
                <w:sz w:val="15"/>
                <w:szCs w:val="15"/>
                <w:color w:val="auto"/>
              </w:rPr>
              <w:t>2029</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493,411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492,467</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2030</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6.625%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2030</w:t>
            </w:r>
          </w:p>
        </w:tc>
        <w:tc>
          <w:tcPr>
            <w:tcW w:w="180" w:type="dxa"/>
            <w:vAlign w:val="bottom"/>
            <w:shd w:val="clear" w:color="auto" w:fill="DBDBDB"/>
          </w:tcPr>
          <w:p>
            <w:pPr>
              <w:spacing w:after="0"/>
              <w:rPr>
                <w:sz w:val="20"/>
                <w:szCs w:val="20"/>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493,891</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2031</w:t>
            </w:r>
          </w:p>
        </w:tc>
        <w:tc>
          <w:tcPr>
            <w:tcW w:w="2940" w:type="dxa"/>
            <w:vAlign w:val="bottom"/>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7.375%</w:t>
            </w:r>
          </w:p>
        </w:tc>
        <w:tc>
          <w:tcPr>
            <w:tcW w:w="1880" w:type="dxa"/>
            <w:vAlign w:val="bottom"/>
          </w:tcPr>
          <w:p>
            <w:pPr>
              <w:jc w:val="center"/>
              <w:spacing w:after="0"/>
              <w:rPr>
                <w:sz w:val="20"/>
                <w:szCs w:val="20"/>
                <w:color w:val="auto"/>
              </w:rPr>
            </w:pPr>
            <w:r>
              <w:rPr>
                <w:rFonts w:ascii="Arial" w:cs="Arial" w:eastAsia="Arial" w:hAnsi="Arial"/>
                <w:sz w:val="15"/>
                <w:szCs w:val="15"/>
                <w:color w:val="auto"/>
              </w:rPr>
              <w:t>2031</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494,635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494,329</w:t>
            </w:r>
          </w:p>
        </w:tc>
      </w:tr>
      <w:tr>
        <w:trPr>
          <w:trHeight w:val="239"/>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Finance Leases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Varies</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8"/>
              </w:rPr>
              <w:t>Varies</w:t>
            </w:r>
          </w:p>
        </w:tc>
        <w:tc>
          <w:tcPr>
            <w:tcW w:w="180" w:type="dxa"/>
            <w:vAlign w:val="bottom"/>
            <w:tcBorders>
              <w:bottom w:val="single" w:sz="8" w:color="auto"/>
            </w:tcBorders>
            <w:shd w:val="clear" w:color="auto" w:fill="DBDBDB"/>
          </w:tcPr>
          <w:p>
            <w:pPr>
              <w:spacing w:after="0"/>
              <w:rPr>
                <w:sz w:val="20"/>
                <w:szCs w:val="20"/>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154,947</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143,788</w:t>
            </w:r>
          </w:p>
        </w:tc>
      </w:tr>
      <w:tr>
        <w:trPr>
          <w:trHeight w:val="218"/>
        </w:trPr>
        <w:tc>
          <w:tcPr>
            <w:tcW w:w="3320" w:type="dxa"/>
            <w:vAlign w:val="bottom"/>
            <w:gridSpan w:val="2"/>
          </w:tcPr>
          <w:p>
            <w:pPr>
              <w:ind w:left="220"/>
              <w:spacing w:after="0"/>
              <w:rPr>
                <w:sz w:val="20"/>
                <w:szCs w:val="20"/>
                <w:color w:val="auto"/>
              </w:rPr>
            </w:pPr>
            <w:r>
              <w:rPr>
                <w:rFonts w:ascii="Arial" w:cs="Arial" w:eastAsia="Arial" w:hAnsi="Arial"/>
                <w:sz w:val="15"/>
                <w:szCs w:val="15"/>
                <w:color w:val="auto"/>
              </w:rPr>
              <w:t>Total debt</w:t>
            </w:r>
          </w:p>
        </w:tc>
        <w:tc>
          <w:tcPr>
            <w:tcW w:w="1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3,617,452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3,708,100</w:t>
            </w:r>
          </w:p>
        </w:tc>
      </w:tr>
      <w:tr>
        <w:trPr>
          <w:trHeight w:val="239"/>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Less: current portion of long-term debt</w:t>
            </w: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27,437</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24,598</w:t>
            </w:r>
          </w:p>
        </w:tc>
      </w:tr>
      <w:tr>
        <w:trPr>
          <w:trHeight w:val="218"/>
        </w:trPr>
        <w:tc>
          <w:tcPr>
            <w:tcW w:w="3320" w:type="dxa"/>
            <w:vAlign w:val="bottom"/>
            <w:gridSpan w:val="2"/>
          </w:tcPr>
          <w:p>
            <w:pPr>
              <w:ind w:left="220"/>
              <w:spacing w:after="0"/>
              <w:rPr>
                <w:sz w:val="20"/>
                <w:szCs w:val="20"/>
                <w:color w:val="auto"/>
              </w:rPr>
            </w:pPr>
            <w:r>
              <w:rPr>
                <w:rFonts w:ascii="Arial" w:cs="Arial" w:eastAsia="Arial" w:hAnsi="Arial"/>
                <w:sz w:val="15"/>
                <w:szCs w:val="15"/>
                <w:color w:val="auto"/>
              </w:rPr>
              <w:t>Total long-term debt</w:t>
            </w:r>
          </w:p>
        </w:tc>
        <w:tc>
          <w:tcPr>
            <w:tcW w:w="1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3,590,015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3,683,502</w:t>
            </w:r>
          </w:p>
        </w:tc>
      </w:tr>
      <w:tr>
        <w:trPr>
          <w:trHeight w:val="26"/>
        </w:trPr>
        <w:tc>
          <w:tcPr>
            <w:tcW w:w="380" w:type="dxa"/>
            <w:vAlign w:val="bottom"/>
          </w:tcPr>
          <w:p>
            <w:pPr>
              <w:spacing w:after="0"/>
              <w:rPr>
                <w:sz w:val="2"/>
                <w:szCs w:val="2"/>
                <w:color w:val="auto"/>
              </w:rPr>
            </w:pPr>
          </w:p>
        </w:tc>
        <w:tc>
          <w:tcPr>
            <w:tcW w:w="6760" w:type="dxa"/>
            <w:vAlign w:val="bottom"/>
            <w:gridSpan w:val="3"/>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27"/>
        </w:trPr>
        <w:tc>
          <w:tcPr>
            <w:tcW w:w="380" w:type="dxa"/>
            <w:vAlign w:val="bottom"/>
          </w:tcPr>
          <w:p>
            <w:pPr>
              <w:spacing w:after="0"/>
              <w:rPr>
                <w:sz w:val="24"/>
                <w:szCs w:val="24"/>
                <w:color w:val="auto"/>
              </w:rPr>
            </w:pPr>
          </w:p>
        </w:tc>
        <w:tc>
          <w:tcPr>
            <w:tcW w:w="8860" w:type="dxa"/>
            <w:vAlign w:val="bottom"/>
            <w:gridSpan w:val="7"/>
          </w:tcPr>
          <w:p>
            <w:pPr>
              <w:ind w:left="240"/>
              <w:spacing w:after="0"/>
              <w:rPr>
                <w:sz w:val="20"/>
                <w:szCs w:val="20"/>
                <w:color w:val="auto"/>
              </w:rPr>
            </w:pPr>
            <w:r>
              <w:rPr>
                <w:rFonts w:ascii="Arial" w:cs="Arial" w:eastAsia="Arial" w:hAnsi="Arial"/>
                <w:sz w:val="15"/>
                <w:szCs w:val="15"/>
                <w:color w:val="auto"/>
              </w:rPr>
              <w:t>Maturities of debt, including finance leases, during the periods subsequent to September 30, 2025 are as follows:</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6"/>
        </w:trPr>
        <w:tc>
          <w:tcPr>
            <w:tcW w:w="3320" w:type="dxa"/>
            <w:vAlign w:val="bottom"/>
            <w:gridSpan w:val="2"/>
          </w:tcPr>
          <w:p>
            <w:pPr>
              <w:spacing w:after="0"/>
              <w:rPr>
                <w:sz w:val="5"/>
                <w:szCs w:val="5"/>
                <w:color w:val="auto"/>
              </w:rPr>
            </w:pPr>
          </w:p>
        </w:tc>
        <w:tc>
          <w:tcPr>
            <w:tcW w:w="19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32"/>
        </w:trPr>
        <w:tc>
          <w:tcPr>
            <w:tcW w:w="33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940" w:type="dxa"/>
            <w:vAlign w:val="bottom"/>
            <w:shd w:val="clear" w:color="auto" w:fill="1D2758"/>
          </w:tcPr>
          <w:p>
            <w:pPr>
              <w:spacing w:after="0"/>
              <w:rPr>
                <w:sz w:val="20"/>
                <w:szCs w:val="20"/>
                <w:color w:val="auto"/>
              </w:rPr>
            </w:pPr>
          </w:p>
        </w:tc>
        <w:tc>
          <w:tcPr>
            <w:tcW w:w="1880" w:type="dxa"/>
            <w:vAlign w:val="bottom"/>
            <w:shd w:val="clear" w:color="auto" w:fill="1D2758"/>
          </w:tcPr>
          <w:p>
            <w:pPr>
              <w:spacing w:after="0"/>
              <w:rPr>
                <w:sz w:val="20"/>
                <w:szCs w:val="20"/>
                <w:color w:val="auto"/>
              </w:rPr>
            </w:pPr>
          </w:p>
        </w:tc>
        <w:tc>
          <w:tcPr>
            <w:tcW w:w="180" w:type="dxa"/>
            <w:vAlign w:val="bottom"/>
            <w:shd w:val="clear" w:color="auto" w:fill="1D2758"/>
          </w:tcPr>
          <w:p>
            <w:pPr>
              <w:spacing w:after="0"/>
              <w:rPr>
                <w:sz w:val="20"/>
                <w:szCs w:val="20"/>
                <w:color w:val="auto"/>
              </w:rPr>
            </w:pPr>
          </w:p>
        </w:tc>
        <w:tc>
          <w:tcPr>
            <w:tcW w:w="182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20" w:type="dxa"/>
            <w:vAlign w:val="bottom"/>
            <w:shd w:val="clear" w:color="auto" w:fill="1D2758"/>
          </w:tcPr>
          <w:p>
            <w:pPr>
              <w:spacing w:after="0"/>
              <w:rPr>
                <w:sz w:val="20"/>
                <w:szCs w:val="20"/>
                <w:color w:val="auto"/>
              </w:rPr>
            </w:pPr>
          </w:p>
        </w:tc>
        <w:tc>
          <w:tcPr>
            <w:tcW w:w="200" w:type="dxa"/>
            <w:vAlign w:val="bottom"/>
            <w:shd w:val="clear" w:color="auto" w:fill="1D2758"/>
          </w:tcPr>
          <w:p>
            <w:pPr>
              <w:spacing w:after="0"/>
              <w:rPr>
                <w:sz w:val="20"/>
                <w:szCs w:val="20"/>
                <w:color w:val="auto"/>
              </w:rPr>
            </w:pPr>
          </w:p>
        </w:tc>
        <w:tc>
          <w:tcPr>
            <w:tcW w:w="1800" w:type="dxa"/>
            <w:vAlign w:val="bottom"/>
            <w:shd w:val="clear" w:color="auto" w:fill="1D2758"/>
          </w:tcPr>
          <w:p>
            <w:pPr>
              <w:spacing w:after="0"/>
              <w:rPr>
                <w:sz w:val="20"/>
                <w:szCs w:val="20"/>
                <w:color w:val="auto"/>
              </w:rPr>
            </w:pPr>
          </w:p>
        </w:tc>
      </w:tr>
      <w:tr>
        <w:trPr>
          <w:trHeight w:val="232"/>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(remaining)</w:t>
            </w: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8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18,004</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2026</w:t>
            </w:r>
          </w:p>
        </w:tc>
        <w:tc>
          <w:tcPr>
            <w:tcW w:w="2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34,130</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2940" w:type="dxa"/>
            <w:vAlign w:val="bottom"/>
            <w:shd w:val="clear" w:color="auto" w:fill="DBDBDB"/>
          </w:tcPr>
          <w:p>
            <w:pPr>
              <w:spacing w:after="0"/>
              <w:rPr>
                <w:sz w:val="20"/>
                <w:szCs w:val="20"/>
                <w:color w:val="auto"/>
              </w:rPr>
            </w:pP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8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1,528,354</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2028</w:t>
            </w:r>
          </w:p>
        </w:tc>
        <w:tc>
          <w:tcPr>
            <w:tcW w:w="2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533,370</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w:t>
            </w:r>
          </w:p>
        </w:tc>
        <w:tc>
          <w:tcPr>
            <w:tcW w:w="2940" w:type="dxa"/>
            <w:vAlign w:val="bottom"/>
            <w:shd w:val="clear" w:color="auto" w:fill="DBDBDB"/>
          </w:tcPr>
          <w:p>
            <w:pPr>
              <w:spacing w:after="0"/>
              <w:rPr>
                <w:sz w:val="20"/>
                <w:szCs w:val="20"/>
                <w:color w:val="auto"/>
              </w:rPr>
            </w:pP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8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525,491</w:t>
            </w:r>
          </w:p>
        </w:tc>
      </w:tr>
      <w:tr>
        <w:trPr>
          <w:trHeight w:val="225"/>
        </w:trPr>
        <w:tc>
          <w:tcPr>
            <w:tcW w:w="3320" w:type="dxa"/>
            <w:vAlign w:val="bottom"/>
            <w:tcBorders>
              <w:bottom w:val="single" w:sz="8" w:color="DBDBDB"/>
            </w:tcBorders>
            <w:gridSpan w:val="2"/>
          </w:tcPr>
          <w:p>
            <w:pPr>
              <w:ind w:left="20"/>
              <w:spacing w:after="0"/>
              <w:rPr>
                <w:sz w:val="20"/>
                <w:szCs w:val="20"/>
                <w:color w:val="auto"/>
              </w:rPr>
            </w:pPr>
            <w:r>
              <w:rPr>
                <w:rFonts w:ascii="Arial" w:cs="Arial" w:eastAsia="Arial" w:hAnsi="Arial"/>
                <w:sz w:val="15"/>
                <w:szCs w:val="15"/>
                <w:color w:val="auto"/>
              </w:rPr>
              <w:t>Thereafter</w:t>
            </w:r>
          </w:p>
        </w:tc>
        <w:tc>
          <w:tcPr>
            <w:tcW w:w="1940" w:type="dxa"/>
            <w:vAlign w:val="bottom"/>
            <w:tcBorders>
              <w:bottom w:val="single" w:sz="8" w:color="DBDBDB"/>
            </w:tcBorders>
          </w:tcPr>
          <w:p>
            <w:pPr>
              <w:spacing w:after="0"/>
              <w:rPr>
                <w:sz w:val="19"/>
                <w:szCs w:val="19"/>
                <w:color w:val="auto"/>
              </w:rPr>
            </w:pPr>
          </w:p>
        </w:tc>
        <w:tc>
          <w:tcPr>
            <w:tcW w:w="188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82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1,034,619</w:t>
            </w:r>
          </w:p>
        </w:tc>
      </w:tr>
      <w:tr>
        <w:trPr>
          <w:trHeight w:val="250"/>
        </w:trPr>
        <w:tc>
          <w:tcPr>
            <w:tcW w:w="33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5"/>
                <w:szCs w:val="15"/>
                <w:color w:val="auto"/>
              </w:rPr>
              <w:t>Total</w:t>
            </w:r>
          </w:p>
        </w:tc>
        <w:tc>
          <w:tcPr>
            <w:tcW w:w="1940" w:type="dxa"/>
            <w:vAlign w:val="bottom"/>
            <w:tcBorders>
              <w:bottom w:val="single" w:sz="8" w:color="DBDBDB"/>
            </w:tcBorders>
            <w:shd w:val="clear" w:color="auto" w:fill="DBDBDB"/>
          </w:tcPr>
          <w:p>
            <w:pPr>
              <w:spacing w:after="0"/>
              <w:rPr>
                <w:sz w:val="21"/>
                <w:szCs w:val="21"/>
                <w:color w:val="auto"/>
              </w:rPr>
            </w:pPr>
          </w:p>
        </w:tc>
        <w:tc>
          <w:tcPr>
            <w:tcW w:w="188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auto"/>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3,673,968</w:t>
            </w:r>
          </w:p>
        </w:tc>
      </w:tr>
      <w:tr>
        <w:trPr>
          <w:trHeight w:val="20"/>
        </w:trPr>
        <w:tc>
          <w:tcPr>
            <w:tcW w:w="380" w:type="dxa"/>
            <w:vAlign w:val="bottom"/>
            <w:tcBorders>
              <w:top w:val="single" w:sz="8" w:color="DBDBDB"/>
            </w:tcBorders>
          </w:tcPr>
          <w:p>
            <w:pPr>
              <w:spacing w:after="0" w:line="20" w:lineRule="exact"/>
              <w:rPr>
                <w:sz w:val="1"/>
                <w:szCs w:val="1"/>
                <w:color w:val="auto"/>
              </w:rPr>
            </w:pPr>
          </w:p>
        </w:tc>
        <w:tc>
          <w:tcPr>
            <w:tcW w:w="2940" w:type="dxa"/>
            <w:vAlign w:val="bottom"/>
            <w:tcBorders>
              <w:top w:val="single" w:sz="8" w:color="DBDBDB"/>
            </w:tcBorders>
          </w:tcPr>
          <w:p>
            <w:pPr>
              <w:spacing w:after="0" w:line="20" w:lineRule="exact"/>
              <w:rPr>
                <w:sz w:val="1"/>
                <w:szCs w:val="1"/>
                <w:color w:val="auto"/>
              </w:rPr>
            </w:pPr>
          </w:p>
        </w:tc>
        <w:tc>
          <w:tcPr>
            <w:tcW w:w="1940" w:type="dxa"/>
            <w:vAlign w:val="bottom"/>
            <w:tcBorders>
              <w:top w:val="single" w:sz="8" w:color="DBDBDB"/>
            </w:tcBorders>
          </w:tcPr>
          <w:p>
            <w:pPr>
              <w:spacing w:after="0" w:line="20" w:lineRule="exact"/>
              <w:rPr>
                <w:sz w:val="1"/>
                <w:szCs w:val="1"/>
                <w:color w:val="auto"/>
              </w:rPr>
            </w:pPr>
          </w:p>
        </w:tc>
        <w:tc>
          <w:tcPr>
            <w:tcW w:w="18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8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6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On July 1, 2020, certain subsidiaries of the Company, including Williams Scotsman, Inc. ("WSI"), entered into an asset-based credit agreement. As amended on June 30, 2022, the agreement provided for revolving credit facilities in the aggregate principal amount of up to $3.7 billion, consisting of: (i) a senior secured asset-based US dollar revolving credit facility in the aggregate principal amount of $3.3 billion (the “US Facility”), (ii) a $400.0 million senior secured asset-based multicurrency revolving credit facility (the "Multicurrency Facility," and together with the US Facility, the "ABL Facility"), available to be drawn in US Dollars, Canadian Dollars, British Pounds Sterling or Euros, and (iii) an accordion feature that permitted the Company to increase the lenders' commitments in an aggregate amount not to exceed the greater of $750.0 million and the amount of suppressed availability (as defined in the ABL Facility), plus any voluntary prepayments that are accompanied by permanent commitment reductions under the ABL Facility, subject to the satisfaction of customary conditions including lender approval. The ABL Facility was scheduled to mature on June 30, 2027.</w:t>
      </w:r>
    </w:p>
    <w:p>
      <w:pPr>
        <w:spacing w:after="0" w:line="2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At September 30, 2025, the applicable margin for Term Canadian Overnight Repo Rate Average ("CORRA"), Term Secured Overnight Financing Rate ("SOFR"), British Pounds Sterling and Euro loans was 1.50%. In addition to the applicable margin, the facility included a credit spread adjustment of 0.10%. The applicable margin for base rate and Canadian Prime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5"/>
          <w:szCs w:val="15"/>
          <w:color w:val="auto"/>
        </w:rPr>
        <w:t>Rate loans was 0.50%. The applicable margins were subject to one step down of 0.25% or one step up of 0.25% based on the Company's leverage ratio and excess availability from the prior quarter. The ABL Facility required the payment of a commitment fee on the unused available borrowings of 0.20% annually. As of September 30, 2025, the weighted average interest rate for borrowings under the ABL Facility, as adjusted for the effects of the interest rate swap agreements, was 5.25%. Refer to Note 11 for a more detailed discussion on interest rate management.</w:t>
      </w:r>
    </w:p>
    <w:p>
      <w:pPr>
        <w:spacing w:after="0" w:line="2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borrowing base ("Line Cap"). At September 30, 2025, the Line Cap was $3.2 billion and the Company had $1.7 billion of available borrowing capacity under the ABL Facility, including $1.5 billion under the US Facility and $190.0 million under the Multicurrency Facility. Borrowing capacity under the ABL Facility was made available for up to $220.0 million of letters of credit and $220.0 million of swingline loans. At September 30, 2025, the available capacity was $193.5 million of letters of credit and $219.3 million of swingline loans. The Company had issued $26.5 million of standby letters of credit under the ABL Facility at September 30, 2025. At September 30, 2025, letters of credit and bank guarantees carried fees of 1.625%.</w:t>
      </w:r>
    </w:p>
    <w:p>
      <w:pPr>
        <w:spacing w:after="0" w:line="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had approximately $1.5 billion of outstanding borrowings under the ABL Facility at September 30, 2025. Debt issuance costs of $13.3 million and $19.0 million were included in the carrying value of the ABL Facility at September 30, 2025 and December 31, 2024, respectively.</w:t>
      </w:r>
    </w:p>
    <w:p>
      <w:pPr>
        <w:spacing w:after="0" w:line="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ABL Facility and related guarantees are secured by a first priority security interest in substantially all of the assets of WSI and the Company’s other subsidiaries that are borrowers or guarantors under the ABL Facility, subject to customary exclusions. Refer to Note 17 for details on financing activities completed subsequent to September 30, 2025 whereby the Company amended its ABL Facility to reduce borrowing costs and extend the maturity date to October 16, 2030. After giving effect to the extension, the Company has no maturities of debt until 2028 other than for finance leases.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Secured Notes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March 26, 2025, WSI completed a private offering of $500.0 million in aggregate principal amount of its 6.625% senior secured notes due 2030 (the "2030 Secured Notes") to qualified institutional buyers pursuant to Rule 144A under the Securities Act of 1933, as amended, and to non-U.S. persons outside the U.S. in accordance with Regulation S under the Securities Act. The 2030 Secured Notes mature on April 15, 2030 and bear interest at a rate of 6.625% per annum. Interest is payable semi-annually on April 15 and October 15 of each year, beginning October 15, 2025. Unamortized deferred financing costs pertaining to the 2030 Secured Notes were $6.1 million as of September 30, 2025.</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March 27, 2025, net proceeds from the offering of the 2030 Secured Notes, together with $33.0 million of additional borrowings under the ABL Facility, were used to (i) redeem all of WSI's outstanding 6.125% senior secured notes due 2025 (the "2025 Secured Notes") at a redemption price equal to 100.00% of the principal amount of the 2025 Notes outstanding, totaling $526.5 million, plus accrued and unpaid interest to, but excluding, the redemption date and (ii) pay related fees and expenses.</w:t>
      </w:r>
    </w:p>
    <w:p>
      <w:pPr>
        <w:spacing w:after="0" w:line="2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2028 Secured Notes, 2029 Secured Notes, 2030 Secured Notes, and 2031 Secured Notes (collectively, “the Secured Notes”) are unconditionally guaranteed by certain subsidiaries of the Company (collectively, “the Note Guarantors”). WillScot is not a guarantor of the Secured Notes. The Note Guarantors are guarantors or borrowers under the ABL Facility. To the extent lenders under the ABL Facility release the guarantee of any Note Guarantor, such Note Guarantor will also be released from obligations under the Secured Notes. The Secured Notes and related guarantees are secured by a second priority security interest in substantially the same assets of WSI and the Note Guarantors securing the ABL Facility. Upon the repayment of the 2028 Secured Notes, if the lien associated with the ABL Facility represents the only lien outstanding on the collateral under the 2029 Secured Notes, 2030 Secured Notes, and the 2031 Secured Notes (other than certain permitted liens), the collateral securing the 2029 Secured Notes, 2030 Secured Notes, and the 2031 Secured Notes will be released and the 2029 Secured Notes, 2030 Secured Notes, and the 2031 Secured Notes will become unsecured subject to satisfaction of customary conditions.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maintains finance leases primarily for transportation and branch operations-related equipment. At September 30, 2025 and December 31, 2024, obligations under the finance leases were $154.9 million and $143.8 million,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 Compliance</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was in compliance with all debt covenants and restrictions associated with its debt instruments as of September 30, 2025.</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1D2758"/>
        </w:rPr>
        <w:t>NOTE 9 – Equity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connection with the stock compensation vesting and stock option exercises described in Note 13, the Company issued 1,301,622 shares of Common Stock during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Dividends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February 18, 2025, the Company's Board of Directors approved a quarterly dividend program. Dividends are subject to declaration by the Board of Directors and requirements of the ABL Facility, Secured Notes, and Delaware law. Under the program, dividends will be payable on the third Wednesday of the third month of each calendar quarter to stockholders of record as of the first Wednesday of that same month. In February, May, and July 2025, the Board of Directors declared quarterly dividends of $0.07 per share, totaling $13.0 million, $12.9 million, and $12.9 million, respectively. Dividends paid were $38.4 million for the nine months ended September 30, 2025.</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In September 2024, the Board of Directors approved a reset of the share repurchase program authorizing the Company to repurchase up to $1.0 billion of its outstanding shares of Common Stock. The stock repurchase program does not obligate the Company to purchase any particular number of shares, and the timing and exact amount of any repurchases will depend on various factors, including market pricing, business, legal, accounting, and other considerations.</w:t>
      </w:r>
    </w:p>
    <w:p>
      <w:pPr>
        <w:ind w:left="620"/>
        <w:spacing w:after="0"/>
        <w:rPr>
          <w:sz w:val="20"/>
          <w:szCs w:val="20"/>
          <w:color w:val="auto"/>
        </w:rPr>
      </w:pPr>
      <w:r>
        <w:rPr>
          <w:rFonts w:ascii="Arial" w:cs="Arial" w:eastAsia="Arial" w:hAnsi="Arial"/>
          <w:sz w:val="15"/>
          <w:szCs w:val="15"/>
          <w:color w:val="auto"/>
        </w:rPr>
        <w:t>During the nine months ended September 30, 2025, the Company repurchased 2,924,846 shares of Common Stock for $80.2 million, excluding excise tax.</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As of September 30, 2025, $741.7 million of the authorization for future repurchases of Common Stock remained available.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Income (Loss)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changes in accumulated other comprehensive income (loss) ("AOCI"), net of tax, for the nine months ended September 30, 2025 and 2024 were 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20" w:type="dxa"/>
            <w:vAlign w:val="bottom"/>
            <w:shd w:val="clear" w:color="auto" w:fill="1D2758"/>
          </w:tcPr>
          <w:p>
            <w:pPr>
              <w:spacing w:after="0"/>
              <w:rPr>
                <w:sz w:val="20"/>
                <w:szCs w:val="20"/>
                <w:color w:val="auto"/>
              </w:rPr>
            </w:pPr>
          </w:p>
        </w:tc>
        <w:tc>
          <w:tcPr>
            <w:tcW w:w="180" w:type="dxa"/>
            <w:vAlign w:val="bottom"/>
            <w:shd w:val="clear" w:color="auto" w:fill="1D2758"/>
          </w:tcPr>
          <w:p>
            <w:pPr>
              <w:spacing w:after="0"/>
              <w:rPr>
                <w:sz w:val="20"/>
                <w:szCs w:val="20"/>
                <w:color w:val="auto"/>
              </w:rPr>
            </w:pPr>
          </w:p>
        </w:tc>
        <w:tc>
          <w:tcPr>
            <w:tcW w:w="4240" w:type="dxa"/>
            <w:vAlign w:val="bottom"/>
            <w:gridSpan w:val="6"/>
            <w:shd w:val="clear" w:color="auto" w:fill="1D2758"/>
          </w:tcPr>
          <w:p>
            <w:pPr>
              <w:jc w:val="center"/>
              <w:ind w:left="943"/>
              <w:spacing w:after="0"/>
              <w:rPr>
                <w:sz w:val="20"/>
                <w:szCs w:val="20"/>
                <w:color w:val="auto"/>
              </w:rPr>
            </w:pPr>
            <w:r>
              <w:rPr>
                <w:rFonts w:ascii="Arial" w:cs="Arial" w:eastAsia="Arial" w:hAnsi="Arial"/>
                <w:sz w:val="15"/>
                <w:szCs w:val="15"/>
                <w:b w:val="1"/>
                <w:bCs w:val="1"/>
                <w:color w:val="FFFFFF"/>
              </w:rPr>
              <w:t>Nine Months Ended September 30, 2025</w:t>
            </w:r>
          </w:p>
        </w:tc>
        <w:tc>
          <w:tcPr>
            <w:tcW w:w="1200" w:type="dxa"/>
            <w:vAlign w:val="bottom"/>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620" w:type="dxa"/>
            <w:vAlign w:val="bottom"/>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160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8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Unrealized gains</w:t>
            </w:r>
          </w:p>
        </w:tc>
        <w:tc>
          <w:tcPr>
            <w:tcW w:w="580" w:type="dxa"/>
            <w:vAlign w:val="bottom"/>
            <w:shd w:val="clear" w:color="auto" w:fill="1D2758"/>
          </w:tcPr>
          <w:p>
            <w:pPr>
              <w:spacing w:after="0"/>
              <w:rPr>
                <w:sz w:val="16"/>
                <w:szCs w:val="16"/>
                <w:color w:val="auto"/>
              </w:rPr>
            </w:pPr>
          </w:p>
        </w:tc>
        <w:tc>
          <w:tcPr>
            <w:tcW w:w="12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20" w:type="dxa"/>
            <w:vAlign w:val="bottom"/>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Foreign currency</w:t>
            </w:r>
          </w:p>
        </w:tc>
        <w:tc>
          <w:tcPr>
            <w:tcW w:w="140" w:type="dxa"/>
            <w:vAlign w:val="bottom"/>
            <w:shd w:val="clear" w:color="auto" w:fill="1D2758"/>
          </w:tcPr>
          <w:p>
            <w:pPr>
              <w:spacing w:after="0"/>
              <w:rPr>
                <w:sz w:val="15"/>
                <w:szCs w:val="15"/>
                <w:color w:val="auto"/>
              </w:rPr>
            </w:pPr>
          </w:p>
        </w:tc>
        <w:tc>
          <w:tcPr>
            <w:tcW w:w="18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(losses) on hedging</w:t>
            </w:r>
          </w:p>
        </w:tc>
        <w:tc>
          <w:tcPr>
            <w:tcW w:w="580" w:type="dxa"/>
            <w:vAlign w:val="bottom"/>
            <w:shd w:val="clear" w:color="auto" w:fill="1D2758"/>
          </w:tcPr>
          <w:p>
            <w:pPr>
              <w:spacing w:after="0"/>
              <w:rPr>
                <w:sz w:val="15"/>
                <w:szCs w:val="15"/>
                <w:color w:val="auto"/>
              </w:rPr>
            </w:pPr>
          </w:p>
        </w:tc>
        <w:tc>
          <w:tcPr>
            <w:tcW w:w="12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20"/>
                <w:szCs w:val="20"/>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40" w:type="dxa"/>
            <w:vAlign w:val="bottom"/>
            <w:shd w:val="clear" w:color="auto" w:fill="1D2758"/>
          </w:tcPr>
          <w:p>
            <w:pPr>
              <w:spacing w:after="0"/>
              <w:rPr>
                <w:sz w:val="20"/>
                <w:szCs w:val="20"/>
                <w:color w:val="auto"/>
              </w:rPr>
            </w:pPr>
          </w:p>
        </w:tc>
        <w:tc>
          <w:tcPr>
            <w:tcW w:w="18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activities</w:t>
            </w:r>
          </w:p>
        </w:tc>
        <w:tc>
          <w:tcPr>
            <w:tcW w:w="58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32"/>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2024</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(80,720)</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10,093</w:t>
            </w: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(70,627)</w:t>
            </w:r>
          </w:p>
        </w:tc>
        <w:tc>
          <w:tcPr>
            <w:tcW w:w="0" w:type="dxa"/>
            <w:vAlign w:val="bottom"/>
          </w:tcPr>
          <w:p>
            <w:pPr>
              <w:spacing w:after="0"/>
              <w:rPr>
                <w:sz w:val="1"/>
                <w:szCs w:val="1"/>
                <w:color w:val="auto"/>
              </w:rPr>
            </w:pPr>
          </w:p>
        </w:tc>
      </w:tr>
      <w:tr>
        <w:trPr>
          <w:trHeight w:val="225"/>
        </w:trPr>
        <w:tc>
          <w:tcPr>
            <w:tcW w:w="5620" w:type="dxa"/>
            <w:vAlign w:val="bottom"/>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(5,710)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(5,549)</w:t>
            </w:r>
          </w:p>
        </w:tc>
        <w:tc>
          <w:tcPr>
            <w:tcW w:w="0" w:type="dxa"/>
            <w:vAlign w:val="bottom"/>
          </w:tcPr>
          <w:p>
            <w:pPr>
              <w:spacing w:after="0"/>
              <w:rPr>
                <w:sz w:val="1"/>
                <w:szCs w:val="1"/>
                <w:color w:val="auto"/>
              </w:rPr>
            </w:pPr>
          </w:p>
        </w:tc>
      </w:tr>
      <w:tr>
        <w:trPr>
          <w:trHeight w:val="23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20"/>
                <w:szCs w:val="20"/>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(2,431)</w:t>
            </w: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(2,431)</w:t>
            </w:r>
          </w:p>
        </w:tc>
        <w:tc>
          <w:tcPr>
            <w:tcW w:w="0" w:type="dxa"/>
            <w:vAlign w:val="bottom"/>
          </w:tcPr>
          <w:p>
            <w:pPr>
              <w:spacing w:after="0"/>
              <w:rPr>
                <w:sz w:val="1"/>
                <w:szCs w:val="1"/>
                <w:color w:val="auto"/>
              </w:rPr>
            </w:pPr>
          </w:p>
        </w:tc>
      </w:tr>
      <w:tr>
        <w:trPr>
          <w:trHeight w:val="218"/>
        </w:trPr>
        <w:tc>
          <w:tcPr>
            <w:tcW w:w="5620" w:type="dxa"/>
            <w:vAlign w:val="bottom"/>
          </w:tcPr>
          <w:p>
            <w:pPr>
              <w:ind w:left="20"/>
              <w:spacing w:after="0"/>
              <w:rPr>
                <w:sz w:val="20"/>
                <w:szCs w:val="20"/>
                <w:color w:val="auto"/>
              </w:rPr>
            </w:pPr>
            <w:r>
              <w:rPr>
                <w:rFonts w:ascii="Arial" w:cs="Arial" w:eastAsia="Arial" w:hAnsi="Arial"/>
                <w:sz w:val="15"/>
                <w:szCs w:val="15"/>
                <w:color w:val="auto"/>
              </w:rPr>
              <w:t>Balance at March 31, 2025</w:t>
            </w: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(80,559)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1,952</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(78,607)</w:t>
            </w:r>
          </w:p>
        </w:tc>
        <w:tc>
          <w:tcPr>
            <w:tcW w:w="0" w:type="dxa"/>
            <w:vAlign w:val="bottom"/>
          </w:tcPr>
          <w:p>
            <w:pPr>
              <w:spacing w:after="0"/>
              <w:rPr>
                <w:sz w:val="1"/>
                <w:szCs w:val="1"/>
                <w:color w:val="auto"/>
              </w:rPr>
            </w:pPr>
          </w:p>
        </w:tc>
      </w:tr>
      <w:tr>
        <w:trPr>
          <w:trHeight w:val="23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8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16,278</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(1,469)</w:t>
            </w: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14,809</w:t>
            </w:r>
          </w:p>
        </w:tc>
        <w:tc>
          <w:tcPr>
            <w:tcW w:w="0" w:type="dxa"/>
            <w:vAlign w:val="bottom"/>
          </w:tcPr>
          <w:p>
            <w:pPr>
              <w:spacing w:after="0"/>
              <w:rPr>
                <w:sz w:val="1"/>
                <w:szCs w:val="1"/>
                <w:color w:val="auto"/>
              </w:rPr>
            </w:pPr>
          </w:p>
        </w:tc>
      </w:tr>
      <w:tr>
        <w:trPr>
          <w:trHeight w:val="225"/>
        </w:trPr>
        <w:tc>
          <w:tcPr>
            <w:tcW w:w="5620" w:type="dxa"/>
            <w:vAlign w:val="bottom"/>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(2,453)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(2,453)</w:t>
            </w:r>
          </w:p>
        </w:tc>
        <w:tc>
          <w:tcPr>
            <w:tcW w:w="0" w:type="dxa"/>
            <w:vAlign w:val="bottom"/>
          </w:tcPr>
          <w:p>
            <w:pPr>
              <w:spacing w:after="0"/>
              <w:rPr>
                <w:sz w:val="1"/>
                <w:szCs w:val="1"/>
                <w:color w:val="auto"/>
              </w:rPr>
            </w:pPr>
          </w:p>
        </w:tc>
      </w:tr>
      <w:tr>
        <w:trPr>
          <w:trHeight w:val="232"/>
        </w:trPr>
        <w:tc>
          <w:tcPr>
            <w:tcW w:w="56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June 30, 2025</w:t>
            </w:r>
          </w:p>
        </w:tc>
        <w:tc>
          <w:tcPr>
            <w:tcW w:w="180" w:type="dxa"/>
            <w:vAlign w:val="bottom"/>
            <w:tcBorders>
              <w:top w:val="single" w:sz="8" w:color="auto"/>
            </w:tcBorders>
            <w:shd w:val="clear" w:color="auto" w:fill="DBDBDB"/>
          </w:tcPr>
          <w:p>
            <w:pPr>
              <w:spacing w:after="0"/>
              <w:rPr>
                <w:sz w:val="20"/>
                <w:szCs w:val="20"/>
                <w:color w:val="auto"/>
              </w:rPr>
            </w:pP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(64,281)</w:t>
            </w:r>
          </w:p>
        </w:tc>
        <w:tc>
          <w:tcPr>
            <w:tcW w:w="1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(1,970)</w:t>
            </w:r>
          </w:p>
        </w:tc>
        <w:tc>
          <w:tcPr>
            <w:tcW w:w="100" w:type="dxa"/>
            <w:vAlign w:val="bottom"/>
            <w:tcBorders>
              <w:top w:val="single" w:sz="8" w:color="DBDBDB"/>
            </w:tcBorders>
            <w:shd w:val="clear" w:color="auto" w:fill="DBDBDB"/>
          </w:tcPr>
          <w:p>
            <w:pPr>
              <w:spacing w:after="0"/>
              <w:rPr>
                <w:sz w:val="20"/>
                <w:szCs w:val="20"/>
                <w:color w:val="auto"/>
              </w:rPr>
            </w:pPr>
          </w:p>
        </w:tc>
        <w:tc>
          <w:tcPr>
            <w:tcW w:w="580" w:type="dxa"/>
            <w:vAlign w:val="bottom"/>
            <w:tcBorders>
              <w:top w:val="single" w:sz="8" w:color="auto"/>
            </w:tcBorders>
            <w:shd w:val="clear" w:color="auto" w:fill="DBDBDB"/>
          </w:tcPr>
          <w:p>
            <w:pPr>
              <w:spacing w:after="0"/>
              <w:rPr>
                <w:sz w:val="20"/>
                <w:szCs w:val="20"/>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(66,251)</w:t>
            </w:r>
          </w:p>
        </w:tc>
        <w:tc>
          <w:tcPr>
            <w:tcW w:w="0" w:type="dxa"/>
            <w:vAlign w:val="bottom"/>
          </w:tcPr>
          <w:p>
            <w:pPr>
              <w:spacing w:after="0"/>
              <w:rPr>
                <w:sz w:val="1"/>
                <w:szCs w:val="1"/>
                <w:color w:val="auto"/>
              </w:rPr>
            </w:pPr>
          </w:p>
        </w:tc>
      </w:tr>
      <w:tr>
        <w:trPr>
          <w:trHeight w:val="225"/>
        </w:trPr>
        <w:tc>
          <w:tcPr>
            <w:tcW w:w="5620" w:type="dxa"/>
            <w:vAlign w:val="bottom"/>
          </w:tcPr>
          <w:p>
            <w:pPr>
              <w:ind w:left="220"/>
              <w:spacing w:after="0"/>
              <w:rPr>
                <w:sz w:val="20"/>
                <w:szCs w:val="20"/>
                <w:color w:val="auto"/>
              </w:rPr>
            </w:pPr>
            <w:r>
              <w:rPr>
                <w:rFonts w:ascii="Arial" w:cs="Arial" w:eastAsia="Arial" w:hAnsi="Arial"/>
                <w:sz w:val="15"/>
                <w:szCs w:val="15"/>
                <w:color w:val="auto"/>
              </w:rPr>
              <w:t>Other comprehensive (loss) income before reclassifications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1,770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(4,050)</w:t>
            </w:r>
          </w:p>
        </w:tc>
        <w:tc>
          <w:tcPr>
            <w:tcW w:w="0" w:type="dxa"/>
            <w:vAlign w:val="bottom"/>
          </w:tcPr>
          <w:p>
            <w:pPr>
              <w:spacing w:after="0"/>
              <w:rPr>
                <w:sz w:val="1"/>
                <w:szCs w:val="1"/>
                <w:color w:val="auto"/>
              </w:rPr>
            </w:pPr>
          </w:p>
        </w:tc>
      </w:tr>
      <w:tr>
        <w:trPr>
          <w:trHeight w:val="23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20"/>
                <w:szCs w:val="20"/>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(2,482)</w:t>
            </w: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(2,482)</w:t>
            </w:r>
          </w:p>
        </w:tc>
        <w:tc>
          <w:tcPr>
            <w:tcW w:w="0" w:type="dxa"/>
            <w:vAlign w:val="bottom"/>
          </w:tcPr>
          <w:p>
            <w:pPr>
              <w:spacing w:after="0"/>
              <w:rPr>
                <w:sz w:val="1"/>
                <w:szCs w:val="1"/>
                <w:color w:val="auto"/>
              </w:rPr>
            </w:pPr>
          </w:p>
        </w:tc>
      </w:tr>
      <w:tr>
        <w:trPr>
          <w:trHeight w:val="218"/>
        </w:trPr>
        <w:tc>
          <w:tcPr>
            <w:tcW w:w="5620" w:type="dxa"/>
            <w:vAlign w:val="bottom"/>
          </w:tcPr>
          <w:p>
            <w:pPr>
              <w:ind w:left="20"/>
              <w:spacing w:after="0"/>
              <w:rPr>
                <w:sz w:val="20"/>
                <w:szCs w:val="20"/>
                <w:color w:val="auto"/>
              </w:rPr>
            </w:pPr>
            <w:r>
              <w:rPr>
                <w:rFonts w:ascii="Arial" w:cs="Arial" w:eastAsia="Arial" w:hAnsi="Arial"/>
                <w:sz w:val="15"/>
                <w:szCs w:val="15"/>
                <w:color w:val="auto"/>
              </w:rPr>
              <w:t>Balance at September 30, 2025</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(70,101)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(2,682)</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(72,783)</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40" w:type="dxa"/>
            <w:vAlign w:val="bottom"/>
            <w:gridSpan w:val="6"/>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5620" w:type="dxa"/>
            <w:vAlign w:val="bottom"/>
            <w:shd w:val="clear" w:color="auto" w:fill="1D2758"/>
          </w:tcPr>
          <w:p>
            <w:pPr>
              <w:spacing w:after="0"/>
              <w:rPr>
                <w:sz w:val="19"/>
                <w:szCs w:val="19"/>
                <w:color w:val="auto"/>
              </w:rPr>
            </w:pPr>
          </w:p>
        </w:tc>
        <w:tc>
          <w:tcPr>
            <w:tcW w:w="180" w:type="dxa"/>
            <w:vAlign w:val="bottom"/>
            <w:shd w:val="clear" w:color="auto" w:fill="1D2758"/>
          </w:tcPr>
          <w:p>
            <w:pPr>
              <w:spacing w:after="0"/>
              <w:rPr>
                <w:sz w:val="19"/>
                <w:szCs w:val="19"/>
                <w:color w:val="auto"/>
              </w:rPr>
            </w:pPr>
          </w:p>
        </w:tc>
        <w:tc>
          <w:tcPr>
            <w:tcW w:w="4240" w:type="dxa"/>
            <w:vAlign w:val="bottom"/>
            <w:gridSpan w:val="6"/>
            <w:shd w:val="clear" w:color="auto" w:fill="1D2758"/>
          </w:tcPr>
          <w:p>
            <w:pPr>
              <w:jc w:val="center"/>
              <w:ind w:left="943"/>
              <w:spacing w:after="0"/>
              <w:rPr>
                <w:sz w:val="20"/>
                <w:szCs w:val="20"/>
                <w:color w:val="auto"/>
              </w:rPr>
            </w:pPr>
            <w:r>
              <w:rPr>
                <w:rFonts w:ascii="Arial" w:cs="Arial" w:eastAsia="Arial" w:hAnsi="Arial"/>
                <w:sz w:val="15"/>
                <w:szCs w:val="15"/>
                <w:b w:val="1"/>
                <w:bCs w:val="1"/>
                <w:color w:val="FFFFFF"/>
              </w:rPr>
              <w:t>Nine Months Ended September 30, 2024</w:t>
            </w:r>
          </w:p>
        </w:tc>
        <w:tc>
          <w:tcPr>
            <w:tcW w:w="120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70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Foreign currency</w:t>
            </w:r>
          </w:p>
        </w:tc>
        <w:tc>
          <w:tcPr>
            <w:tcW w:w="140" w:type="dxa"/>
            <w:vAlign w:val="bottom"/>
            <w:shd w:val="clear" w:color="auto" w:fill="1D2758"/>
          </w:tcPr>
          <w:p>
            <w:pPr>
              <w:spacing w:after="0"/>
              <w:rPr>
                <w:sz w:val="18"/>
                <w:szCs w:val="18"/>
                <w:color w:val="auto"/>
              </w:rPr>
            </w:pPr>
          </w:p>
        </w:tc>
        <w:tc>
          <w:tcPr>
            <w:tcW w:w="18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Unrealized gains</w:t>
            </w:r>
          </w:p>
        </w:tc>
        <w:tc>
          <w:tcPr>
            <w:tcW w:w="580" w:type="dxa"/>
            <w:vAlign w:val="bottom"/>
            <w:shd w:val="clear" w:color="auto" w:fill="1D2758"/>
          </w:tcPr>
          <w:p>
            <w:pPr>
              <w:spacing w:after="0"/>
              <w:rPr>
                <w:sz w:val="18"/>
                <w:szCs w:val="18"/>
                <w:color w:val="auto"/>
              </w:rPr>
            </w:pPr>
          </w:p>
        </w:tc>
        <w:tc>
          <w:tcPr>
            <w:tcW w:w="12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620" w:type="dxa"/>
            <w:vAlign w:val="bottom"/>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1700" w:type="dxa"/>
            <w:vAlign w:val="bottom"/>
            <w:gridSpan w:val="2"/>
            <w:vMerge w:val="continue"/>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8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(losses) on hedging</w:t>
            </w:r>
          </w:p>
        </w:tc>
        <w:tc>
          <w:tcPr>
            <w:tcW w:w="580" w:type="dxa"/>
            <w:vAlign w:val="bottom"/>
            <w:shd w:val="clear" w:color="auto" w:fill="1D2758"/>
          </w:tcPr>
          <w:p>
            <w:pPr>
              <w:spacing w:after="0"/>
              <w:rPr>
                <w:sz w:val="15"/>
                <w:szCs w:val="15"/>
                <w:color w:val="auto"/>
              </w:rPr>
            </w:pPr>
          </w:p>
        </w:tc>
        <w:tc>
          <w:tcPr>
            <w:tcW w:w="12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9"/>
                <w:szCs w:val="19"/>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40" w:type="dxa"/>
            <w:vAlign w:val="bottom"/>
            <w:shd w:val="clear" w:color="auto" w:fill="1D2758"/>
          </w:tcPr>
          <w:p>
            <w:pPr>
              <w:spacing w:after="0"/>
              <w:rPr>
                <w:sz w:val="19"/>
                <w:szCs w:val="19"/>
                <w:color w:val="auto"/>
              </w:rPr>
            </w:pPr>
          </w:p>
        </w:tc>
        <w:tc>
          <w:tcPr>
            <w:tcW w:w="18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activities</w:t>
            </w:r>
          </w:p>
        </w:tc>
        <w:tc>
          <w:tcPr>
            <w:tcW w:w="580" w:type="dxa"/>
            <w:vAlign w:val="bottom"/>
            <w:shd w:val="clear" w:color="auto" w:fill="1D2758"/>
          </w:tcPr>
          <w:p>
            <w:pPr>
              <w:spacing w:after="0"/>
              <w:rPr>
                <w:sz w:val="19"/>
                <w:szCs w:val="19"/>
                <w:color w:val="auto"/>
              </w:rPr>
            </w:pPr>
          </w:p>
        </w:tc>
        <w:tc>
          <w:tcPr>
            <w:tcW w:w="120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32"/>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2023</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(56,031)</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3,263</w:t>
            </w: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(52,768)</w:t>
            </w:r>
          </w:p>
        </w:tc>
        <w:tc>
          <w:tcPr>
            <w:tcW w:w="0" w:type="dxa"/>
            <w:vAlign w:val="bottom"/>
          </w:tcPr>
          <w:p>
            <w:pPr>
              <w:spacing w:after="0"/>
              <w:rPr>
                <w:sz w:val="1"/>
                <w:szCs w:val="1"/>
                <w:color w:val="auto"/>
              </w:rPr>
            </w:pPr>
          </w:p>
        </w:tc>
      </w:tr>
      <w:tr>
        <w:trPr>
          <w:trHeight w:val="225"/>
        </w:trPr>
        <w:tc>
          <w:tcPr>
            <w:tcW w:w="5620" w:type="dxa"/>
            <w:vAlign w:val="bottom"/>
          </w:tcPr>
          <w:p>
            <w:pPr>
              <w:ind w:left="220"/>
              <w:spacing w:after="0"/>
              <w:rPr>
                <w:sz w:val="20"/>
                <w:szCs w:val="20"/>
                <w:color w:val="auto"/>
              </w:rPr>
            </w:pPr>
            <w:r>
              <w:rPr>
                <w:rFonts w:ascii="Arial" w:cs="Arial" w:eastAsia="Arial" w:hAnsi="Arial"/>
                <w:sz w:val="15"/>
                <w:szCs w:val="15"/>
                <w:color w:val="auto"/>
              </w:rPr>
              <w:t>Other comprehensive (loss) income before reclassifications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18,807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13,259</w:t>
            </w:r>
          </w:p>
        </w:tc>
        <w:tc>
          <w:tcPr>
            <w:tcW w:w="0" w:type="dxa"/>
            <w:vAlign w:val="bottom"/>
          </w:tcPr>
          <w:p>
            <w:pPr>
              <w:spacing w:after="0"/>
              <w:rPr>
                <w:sz w:val="1"/>
                <w:szCs w:val="1"/>
                <w:color w:val="auto"/>
              </w:rPr>
            </w:pPr>
          </w:p>
        </w:tc>
      </w:tr>
      <w:tr>
        <w:trPr>
          <w:trHeight w:val="23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20"/>
                <w:szCs w:val="20"/>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(5,267)</w:t>
            </w: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(5,267)</w:t>
            </w:r>
          </w:p>
        </w:tc>
        <w:tc>
          <w:tcPr>
            <w:tcW w:w="0" w:type="dxa"/>
            <w:vAlign w:val="bottom"/>
          </w:tcPr>
          <w:p>
            <w:pPr>
              <w:spacing w:after="0"/>
              <w:rPr>
                <w:sz w:val="1"/>
                <w:szCs w:val="1"/>
                <w:color w:val="auto"/>
              </w:rPr>
            </w:pPr>
          </w:p>
        </w:tc>
      </w:tr>
      <w:tr>
        <w:trPr>
          <w:trHeight w:val="218"/>
        </w:trPr>
        <w:tc>
          <w:tcPr>
            <w:tcW w:w="5620" w:type="dxa"/>
            <w:vAlign w:val="bottom"/>
          </w:tcPr>
          <w:p>
            <w:pPr>
              <w:ind w:left="20"/>
              <w:spacing w:after="0"/>
              <w:rPr>
                <w:sz w:val="20"/>
                <w:szCs w:val="20"/>
                <w:color w:val="auto"/>
              </w:rPr>
            </w:pPr>
            <w:r>
              <w:rPr>
                <w:rFonts w:ascii="Arial" w:cs="Arial" w:eastAsia="Arial" w:hAnsi="Arial"/>
                <w:sz w:val="15"/>
                <w:szCs w:val="15"/>
                <w:color w:val="auto"/>
              </w:rPr>
              <w:t>Balance at March 31, 2024</w:t>
            </w: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(61,579)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16,803</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(44,776)</w:t>
            </w:r>
          </w:p>
        </w:tc>
        <w:tc>
          <w:tcPr>
            <w:tcW w:w="0" w:type="dxa"/>
            <w:vAlign w:val="bottom"/>
          </w:tcPr>
          <w:p>
            <w:pPr>
              <w:spacing w:after="0"/>
              <w:rPr>
                <w:sz w:val="1"/>
                <w:szCs w:val="1"/>
                <w:color w:val="auto"/>
              </w:rPr>
            </w:pPr>
          </w:p>
        </w:tc>
      </w:tr>
      <w:tr>
        <w:trPr>
          <w:trHeight w:val="23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 income before reclassifications</w:t>
            </w:r>
          </w:p>
        </w:tc>
        <w:tc>
          <w:tcPr>
            <w:tcW w:w="180" w:type="dxa"/>
            <w:vAlign w:val="bottom"/>
            <w:shd w:val="clear" w:color="auto" w:fill="DBDBDB"/>
          </w:tcPr>
          <w:p>
            <w:pPr>
              <w:spacing w:after="0"/>
              <w:rPr>
                <w:sz w:val="20"/>
                <w:szCs w:val="20"/>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(4,154)</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7,247</w:t>
            </w: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3,093</w:t>
            </w:r>
          </w:p>
        </w:tc>
        <w:tc>
          <w:tcPr>
            <w:tcW w:w="0" w:type="dxa"/>
            <w:vAlign w:val="bottom"/>
          </w:tcPr>
          <w:p>
            <w:pPr>
              <w:spacing w:after="0"/>
              <w:rPr>
                <w:sz w:val="1"/>
                <w:szCs w:val="1"/>
                <w:color w:val="auto"/>
              </w:rPr>
            </w:pPr>
          </w:p>
        </w:tc>
      </w:tr>
      <w:tr>
        <w:trPr>
          <w:trHeight w:val="225"/>
        </w:trPr>
        <w:tc>
          <w:tcPr>
            <w:tcW w:w="5620" w:type="dxa"/>
            <w:vAlign w:val="bottom"/>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(5,623)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(5,623)</w:t>
            </w:r>
          </w:p>
        </w:tc>
        <w:tc>
          <w:tcPr>
            <w:tcW w:w="0" w:type="dxa"/>
            <w:vAlign w:val="bottom"/>
          </w:tcPr>
          <w:p>
            <w:pPr>
              <w:spacing w:after="0"/>
              <w:rPr>
                <w:sz w:val="1"/>
                <w:szCs w:val="1"/>
                <w:color w:val="auto"/>
              </w:rPr>
            </w:pPr>
          </w:p>
        </w:tc>
      </w:tr>
      <w:tr>
        <w:trPr>
          <w:trHeight w:val="232"/>
        </w:trPr>
        <w:tc>
          <w:tcPr>
            <w:tcW w:w="56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June 30, 2024</w:t>
            </w:r>
          </w:p>
        </w:tc>
        <w:tc>
          <w:tcPr>
            <w:tcW w:w="180" w:type="dxa"/>
            <w:vAlign w:val="bottom"/>
            <w:tcBorders>
              <w:top w:val="single" w:sz="8" w:color="auto"/>
            </w:tcBorders>
            <w:shd w:val="clear" w:color="auto" w:fill="DBDBDB"/>
          </w:tcPr>
          <w:p>
            <w:pPr>
              <w:spacing w:after="0"/>
              <w:rPr>
                <w:sz w:val="20"/>
                <w:szCs w:val="20"/>
                <w:color w:val="auto"/>
              </w:rPr>
            </w:pP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(65,733)</w:t>
            </w:r>
          </w:p>
        </w:tc>
        <w:tc>
          <w:tcPr>
            <w:tcW w:w="1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18,427</w:t>
            </w:r>
          </w:p>
        </w:tc>
        <w:tc>
          <w:tcPr>
            <w:tcW w:w="100" w:type="dxa"/>
            <w:vAlign w:val="bottom"/>
            <w:tcBorders>
              <w:top w:val="single" w:sz="8" w:color="DBDBDB"/>
            </w:tcBorders>
            <w:shd w:val="clear" w:color="auto" w:fill="DBDBDB"/>
          </w:tcPr>
          <w:p>
            <w:pPr>
              <w:spacing w:after="0"/>
              <w:rPr>
                <w:sz w:val="20"/>
                <w:szCs w:val="20"/>
                <w:color w:val="auto"/>
              </w:rPr>
            </w:pPr>
          </w:p>
        </w:tc>
        <w:tc>
          <w:tcPr>
            <w:tcW w:w="580" w:type="dxa"/>
            <w:vAlign w:val="bottom"/>
            <w:tcBorders>
              <w:top w:val="single" w:sz="8" w:color="auto"/>
            </w:tcBorders>
            <w:shd w:val="clear" w:color="auto" w:fill="DBDBDB"/>
          </w:tcPr>
          <w:p>
            <w:pPr>
              <w:spacing w:after="0"/>
              <w:rPr>
                <w:sz w:val="20"/>
                <w:szCs w:val="20"/>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(47,306)</w:t>
            </w:r>
          </w:p>
        </w:tc>
        <w:tc>
          <w:tcPr>
            <w:tcW w:w="0" w:type="dxa"/>
            <w:vAlign w:val="bottom"/>
          </w:tcPr>
          <w:p>
            <w:pPr>
              <w:spacing w:after="0"/>
              <w:rPr>
                <w:sz w:val="1"/>
                <w:szCs w:val="1"/>
                <w:color w:val="auto"/>
              </w:rPr>
            </w:pPr>
          </w:p>
        </w:tc>
      </w:tr>
      <w:tr>
        <w:trPr>
          <w:trHeight w:val="225"/>
        </w:trPr>
        <w:tc>
          <w:tcPr>
            <w:tcW w:w="5620" w:type="dxa"/>
            <w:vAlign w:val="bottom"/>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1,952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(18,973)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(17,021)</w:t>
            </w:r>
          </w:p>
        </w:tc>
        <w:tc>
          <w:tcPr>
            <w:tcW w:w="0" w:type="dxa"/>
            <w:vAlign w:val="bottom"/>
          </w:tcPr>
          <w:p>
            <w:pPr>
              <w:spacing w:after="0"/>
              <w:rPr>
                <w:sz w:val="1"/>
                <w:szCs w:val="1"/>
                <w:color w:val="auto"/>
              </w:rPr>
            </w:pPr>
          </w:p>
        </w:tc>
      </w:tr>
      <w:tr>
        <w:trPr>
          <w:trHeight w:val="23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20"/>
                <w:szCs w:val="20"/>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(5,597)</w:t>
            </w: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(5,597)</w:t>
            </w:r>
          </w:p>
        </w:tc>
        <w:tc>
          <w:tcPr>
            <w:tcW w:w="0" w:type="dxa"/>
            <w:vAlign w:val="bottom"/>
          </w:tcPr>
          <w:p>
            <w:pPr>
              <w:spacing w:after="0"/>
              <w:rPr>
                <w:sz w:val="1"/>
                <w:szCs w:val="1"/>
                <w:color w:val="auto"/>
              </w:rPr>
            </w:pPr>
          </w:p>
        </w:tc>
      </w:tr>
      <w:tr>
        <w:trPr>
          <w:trHeight w:val="218"/>
        </w:trPr>
        <w:tc>
          <w:tcPr>
            <w:tcW w:w="5620" w:type="dxa"/>
            <w:vAlign w:val="bottom"/>
          </w:tcPr>
          <w:p>
            <w:pPr>
              <w:ind w:left="20"/>
              <w:spacing w:after="0"/>
              <w:rPr>
                <w:sz w:val="20"/>
                <w:szCs w:val="20"/>
                <w:color w:val="auto"/>
              </w:rPr>
            </w:pPr>
            <w:r>
              <w:rPr>
                <w:rFonts w:ascii="Arial" w:cs="Arial" w:eastAsia="Arial" w:hAnsi="Arial"/>
                <w:sz w:val="15"/>
                <w:szCs w:val="15"/>
                <w:color w:val="auto"/>
              </w:rPr>
              <w:t>Balance at September 30, 2024</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(63,781)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(6,143)</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(69,924)</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reclassified amounts from AOCI into the condensed consolidated statements of operations within interest expense related to the interest rate swaps. Associated with these reclassifications, the Company recorded tax expense of $0.7 million and $1.5 million for the three months ended September 30, 2025 and 2024, respectively, and tax expense of $2.1 million and $4.5 million for the nine months ended September 30, 2025 and 2024, respectively. The interest rate swaps are discussed in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1D2758"/>
        </w:rPr>
        <w:t>NOTE 10 – Income Taxes</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recorded $17.0 million and $54.9 million of income tax expense for the three and nine months ended September 30, 2025, respectively, and $20.6 million and $17.4 million of income tax benefit for the three and nine months ended September 30, 2024, respectively. The Company’s effective tax rate was 28.2% and 29.0% for the three and nine months ended September 30, 2025, respectively. The Company's effective tax rate for the three and nine months ended September 30, 2024 was 22.6% and 22.2%, respectively.</w:t>
      </w:r>
    </w:p>
    <w:p>
      <w:pPr>
        <w:spacing w:after="0" w:line="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effective tax rate for the three and nine months ended September 30, 2025 differed from the US federal statutory rate of 21% primarily due to state and provincial taxes, non-deductible executive compensation, and discrete tax expense related to equity compensation. The effective tax rate for the three and nine months ended September 30, 2024 differed from the US federal statutory rate of 21% primarily due to state and provincial taxes and non-deductible executive compensation, partially offset by a discrete tax benefit related to equity compensation.</w:t>
      </w:r>
    </w:p>
    <w:p>
      <w:pPr>
        <w:spacing w:after="0" w:line="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July 4, 2025, the United States Congress passed the budget reconciliation bill H.R. 1 referred to as the One Big Beautiful Bill (“OBBB”). The OBBB contains several changes to corporate taxation including modifications to capitalization of research and development expenses, limitations on deductions for interest expense and accelerated fixed asset depreciation. The Company has evaluated the legislation and does not expect a material impact to its annual effective rate or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NOTE 11 - Derivatives</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January 2023, the Company entered into two interest rate swap agreements with financial counterparties relating to $750.0 million in aggregate notional amount of variable-rate debt under the ABL Facility. Under the terms of the agreements, the Company receives a floating rate equal to one-month term SOFR and makes payments based on a fixed interest rate of 3.44% on the notional amount. In January 2024, the Company entered into two interest rate swap agreements with financial counterparties relating to $500.0 million in aggregate notional amount of variable-rate debt under the ABL Facility. Under the terms of the agreements, the Company receives a floating rate equal to one-month term SOFR and makes payments based on a fixed interest rate of 3.70% on the notional amount.</w:t>
      </w:r>
    </w:p>
    <w:p>
      <w:pPr>
        <w:spacing w:after="0" w:line="6"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swap agreements were designated and qualified as hedges of the Company's exposure to changes in interest payment cash flows created by fluctuations in variable interest rates on the ABL Facility. The swap agreements terminate on June 30, 2027. At September 30, 2025, the floating rate that the Company received under the terms of these swap agreements was 4.17% for the swap agreements entered in January 2023 and 4.14% for the swap agreements entered in January 2024.</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340" w:type="dxa"/>
            <w:vAlign w:val="bottom"/>
            <w:shd w:val="clear" w:color="auto" w:fill="1D2758"/>
          </w:tcPr>
          <w:p>
            <w:pPr>
              <w:ind w:left="1900"/>
              <w:spacing w:after="0"/>
              <w:rPr>
                <w:sz w:val="20"/>
                <w:szCs w:val="20"/>
                <w:color w:val="auto"/>
              </w:rPr>
            </w:pPr>
            <w:r>
              <w:rPr>
                <w:rFonts w:ascii="Arial" w:cs="Arial" w:eastAsia="Arial" w:hAnsi="Arial"/>
                <w:sz w:val="15"/>
                <w:szCs w:val="15"/>
                <w:b w:val="1"/>
                <w:bCs w:val="1"/>
                <w:color w:val="FFFFFF"/>
              </w:rPr>
              <w:t>Balance Sheet Location</w:t>
            </w:r>
          </w:p>
        </w:tc>
        <w:tc>
          <w:tcPr>
            <w:tcW w:w="880" w:type="dxa"/>
            <w:vAlign w:val="bottom"/>
            <w:shd w:val="clear" w:color="auto" w:fill="1D2758"/>
          </w:tcPr>
          <w:p>
            <w:pPr>
              <w:spacing w:after="0"/>
              <w:rPr>
                <w:sz w:val="20"/>
                <w:szCs w:val="20"/>
                <w:color w:val="auto"/>
              </w:rPr>
            </w:pPr>
          </w:p>
        </w:tc>
        <w:tc>
          <w:tcPr>
            <w:tcW w:w="186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September 30, 2025</w:t>
            </w:r>
          </w:p>
        </w:tc>
        <w:tc>
          <w:tcPr>
            <w:tcW w:w="240" w:type="dxa"/>
            <w:vAlign w:val="bottom"/>
            <w:shd w:val="clear" w:color="auto" w:fill="1D2758"/>
          </w:tcPr>
          <w:p>
            <w:pPr>
              <w:spacing w:after="0"/>
              <w:rPr>
                <w:sz w:val="20"/>
                <w:szCs w:val="20"/>
                <w:color w:val="auto"/>
              </w:rPr>
            </w:pPr>
          </w:p>
        </w:tc>
        <w:tc>
          <w:tcPr>
            <w:tcW w:w="184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December 31, 2024</w:t>
            </w:r>
          </w:p>
        </w:tc>
      </w:tr>
      <w:tr>
        <w:trPr>
          <w:trHeight w:val="232"/>
        </w:trPr>
        <w:tc>
          <w:tcPr>
            <w:tcW w:w="2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434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186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840" w:type="dxa"/>
            <w:vAlign w:val="bottom"/>
            <w:shd w:val="clear" w:color="auto" w:fill="DBDBDB"/>
          </w:tcPr>
          <w:p>
            <w:pPr>
              <w:spacing w:after="0"/>
              <w:rPr>
                <w:sz w:val="20"/>
                <w:szCs w:val="20"/>
                <w:color w:val="auto"/>
              </w:rPr>
            </w:pPr>
          </w:p>
        </w:tc>
      </w:tr>
      <w:tr>
        <w:trPr>
          <w:trHeight w:val="225"/>
        </w:trPr>
        <w:tc>
          <w:tcPr>
            <w:tcW w:w="2080" w:type="dxa"/>
            <w:vAlign w:val="bottom"/>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tcPr>
          <w:p>
            <w:pPr>
              <w:ind w:left="560"/>
              <w:spacing w:after="0"/>
              <w:rPr>
                <w:sz w:val="20"/>
                <w:szCs w:val="20"/>
                <w:color w:val="auto"/>
              </w:rPr>
            </w:pPr>
            <w:r>
              <w:rPr>
                <w:rFonts w:ascii="Arial" w:cs="Arial" w:eastAsia="Arial" w:hAnsi="Arial"/>
                <w:sz w:val="15"/>
                <w:szCs w:val="15"/>
                <w:color w:val="auto"/>
              </w:rPr>
              <w:t>Prepaid expenses and other current assets</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tcPr>
          <w:p>
            <w:pPr>
              <w:jc w:val="right"/>
              <w:spacing w:after="0"/>
              <w:rPr>
                <w:sz w:val="20"/>
                <w:szCs w:val="20"/>
                <w:color w:val="auto"/>
              </w:rPr>
            </w:pPr>
            <w:r>
              <w:rPr>
                <w:rFonts w:ascii="Arial" w:cs="Arial" w:eastAsia="Arial" w:hAnsi="Arial"/>
                <w:sz w:val="15"/>
                <w:szCs w:val="15"/>
                <w:color w:val="auto"/>
              </w:rPr>
              <w:t>1,154</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6,990</w:t>
            </w:r>
          </w:p>
        </w:tc>
      </w:tr>
      <w:tr>
        <w:trPr>
          <w:trHeight w:val="239"/>
        </w:trPr>
        <w:tc>
          <w:tcPr>
            <w:tcW w:w="2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shd w:val="clear" w:color="auto" w:fill="DBDBDB"/>
          </w:tcPr>
          <w:p>
            <w:pPr>
              <w:ind w:left="560"/>
              <w:spacing w:after="0"/>
              <w:rPr>
                <w:sz w:val="20"/>
                <w:szCs w:val="20"/>
                <w:color w:val="auto"/>
              </w:rPr>
            </w:pPr>
            <w:r>
              <w:rPr>
                <w:rFonts w:ascii="Arial" w:cs="Arial" w:eastAsia="Arial" w:hAnsi="Arial"/>
                <w:sz w:val="15"/>
                <w:szCs w:val="15"/>
                <w:color w:val="auto"/>
              </w:rPr>
              <w:t>Other non-current assets</w:t>
            </w:r>
          </w:p>
        </w:tc>
        <w:tc>
          <w:tcPr>
            <w:tcW w:w="88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6,666</w:t>
            </w:r>
          </w:p>
        </w:tc>
      </w:tr>
      <w:tr>
        <w:trPr>
          <w:trHeight w:val="225"/>
        </w:trPr>
        <w:tc>
          <w:tcPr>
            <w:tcW w:w="2080" w:type="dxa"/>
            <w:vAlign w:val="bottom"/>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tcPr>
          <w:p>
            <w:pPr>
              <w:ind w:left="560"/>
              <w:spacing w:after="0"/>
              <w:rPr>
                <w:sz w:val="20"/>
                <w:szCs w:val="20"/>
                <w:color w:val="auto"/>
              </w:rPr>
            </w:pPr>
            <w:r>
              <w:rPr>
                <w:rFonts w:ascii="Arial" w:cs="Arial" w:eastAsia="Arial" w:hAnsi="Arial"/>
                <w:sz w:val="15"/>
                <w:szCs w:val="15"/>
                <w:color w:val="auto"/>
              </w:rPr>
              <w:t>Accrued expenses</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tcPr>
          <w:p>
            <w:pPr>
              <w:jc w:val="right"/>
              <w:spacing w:after="0"/>
              <w:rPr>
                <w:sz w:val="20"/>
                <w:szCs w:val="20"/>
                <w:color w:val="auto"/>
              </w:rPr>
            </w:pPr>
            <w:r>
              <w:rPr>
                <w:rFonts w:ascii="Arial" w:cs="Arial" w:eastAsia="Arial" w:hAnsi="Arial"/>
                <w:sz w:val="15"/>
                <w:szCs w:val="15"/>
                <w:color w:val="auto"/>
              </w:rPr>
              <w:t>(530)</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9"/>
        </w:trPr>
        <w:tc>
          <w:tcPr>
            <w:tcW w:w="2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shd w:val="clear" w:color="auto" w:fill="DBDBDB"/>
          </w:tcPr>
          <w:p>
            <w:pPr>
              <w:ind w:left="560"/>
              <w:spacing w:after="0"/>
              <w:rPr>
                <w:sz w:val="20"/>
                <w:szCs w:val="20"/>
                <w:color w:val="auto"/>
              </w:rPr>
            </w:pPr>
            <w:r>
              <w:rPr>
                <w:rFonts w:ascii="Arial" w:cs="Arial" w:eastAsia="Arial" w:hAnsi="Arial"/>
                <w:sz w:val="15"/>
                <w:szCs w:val="15"/>
                <w:color w:val="auto"/>
              </w:rPr>
              <w:t>Other non-current liabilities</w:t>
            </w:r>
          </w:p>
        </w:tc>
        <w:tc>
          <w:tcPr>
            <w:tcW w:w="88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(4,086)</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bl>
    <w:p>
      <w:pPr>
        <w:spacing w:after="0" w:line="13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 of the interest rate swaps was based on dealer quotes of market forward rates, a Level 2 input on the fair value hierarchy (see Note 12), and reflected the amount that the Company would receive or pay for contracts involving the same attributes and maturity dates.</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discloses the impact of the interest rate swaps, excluding the impact of income taxes, on other comprehensive income (“OCI”), AOCI and the Company’s condensed consolidated statements of operations for the nine months ended September 30, 2025 and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0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4020" w:type="dxa"/>
            <w:vAlign w:val="bottom"/>
            <w:gridSpan w:val="3"/>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Nine Months Ended September 30,</w:t>
            </w:r>
          </w:p>
        </w:tc>
      </w:tr>
      <w:tr>
        <w:trPr>
          <w:trHeight w:val="232"/>
        </w:trPr>
        <w:tc>
          <w:tcPr>
            <w:tcW w:w="7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20"/>
                <w:szCs w:val="20"/>
                <w:color w:val="auto"/>
              </w:rPr>
            </w:pPr>
          </w:p>
        </w:tc>
        <w:tc>
          <w:tcPr>
            <w:tcW w:w="1900" w:type="dxa"/>
            <w:vAlign w:val="bottom"/>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2025</w:t>
            </w:r>
          </w:p>
        </w:tc>
        <w:tc>
          <w:tcPr>
            <w:tcW w:w="260" w:type="dxa"/>
            <w:vAlign w:val="bottom"/>
            <w:shd w:val="clear" w:color="auto" w:fill="1D2758"/>
          </w:tcPr>
          <w:p>
            <w:pPr>
              <w:spacing w:after="0"/>
              <w:rPr>
                <w:sz w:val="20"/>
                <w:szCs w:val="20"/>
                <w:color w:val="auto"/>
              </w:rPr>
            </w:pPr>
          </w:p>
        </w:tc>
        <w:tc>
          <w:tcPr>
            <w:tcW w:w="1860" w:type="dxa"/>
            <w:vAlign w:val="bottom"/>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2024</w:t>
            </w:r>
          </w:p>
        </w:tc>
      </w:tr>
      <w:tr>
        <w:trPr>
          <w:trHeight w:val="232"/>
        </w:trPr>
        <w:tc>
          <w:tcPr>
            <w:tcW w:w="7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gain recognized in OCI</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(9,636)</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3,947</w:t>
            </w:r>
          </w:p>
        </w:tc>
      </w:tr>
      <w:tr>
        <w:trPr>
          <w:trHeight w:val="225"/>
        </w:trPr>
        <w:tc>
          <w:tcPr>
            <w:tcW w:w="7000" w:type="dxa"/>
            <w:vAlign w:val="bottom"/>
          </w:tcPr>
          <w:p>
            <w:pPr>
              <w:ind w:left="20"/>
              <w:spacing w:after="0"/>
              <w:rPr>
                <w:sz w:val="20"/>
                <w:szCs w:val="20"/>
                <w:color w:val="auto"/>
              </w:rPr>
            </w:pPr>
            <w:r>
              <w:rPr>
                <w:rFonts w:ascii="Arial" w:cs="Arial" w:eastAsia="Arial" w:hAnsi="Arial"/>
                <w:sz w:val="15"/>
                <w:szCs w:val="15"/>
                <w:color w:val="auto"/>
              </w:rPr>
              <w:t>Location of gain recognized in income</w:t>
            </w:r>
          </w:p>
        </w:tc>
        <w:tc>
          <w:tcPr>
            <w:tcW w:w="220" w:type="dxa"/>
            <w:vAlign w:val="bottom"/>
          </w:tcPr>
          <w:p>
            <w:pPr>
              <w:spacing w:after="0"/>
              <w:rPr>
                <w:sz w:val="19"/>
                <w:szCs w:val="19"/>
                <w:color w:val="auto"/>
              </w:rPr>
            </w:pPr>
          </w:p>
        </w:tc>
        <w:tc>
          <w:tcPr>
            <w:tcW w:w="1900" w:type="dxa"/>
            <w:vAlign w:val="bottom"/>
          </w:tcPr>
          <w:p>
            <w:pPr>
              <w:jc w:val="right"/>
              <w:ind w:right="283"/>
              <w:spacing w:after="0"/>
              <w:rPr>
                <w:sz w:val="20"/>
                <w:szCs w:val="20"/>
                <w:color w:val="auto"/>
              </w:rPr>
            </w:pPr>
            <w:r>
              <w:rPr>
                <w:rFonts w:ascii="Arial" w:cs="Arial" w:eastAsia="Arial" w:hAnsi="Arial"/>
                <w:sz w:val="15"/>
                <w:szCs w:val="15"/>
                <w:color w:val="auto"/>
              </w:rPr>
              <w:t>Interest expense, net</w:t>
            </w:r>
          </w:p>
        </w:tc>
        <w:tc>
          <w:tcPr>
            <w:tcW w:w="260" w:type="dxa"/>
            <w:vAlign w:val="bottom"/>
          </w:tcPr>
          <w:p>
            <w:pPr>
              <w:spacing w:after="0"/>
              <w:rPr>
                <w:sz w:val="19"/>
                <w:szCs w:val="19"/>
                <w:color w:val="auto"/>
              </w:rPr>
            </w:pPr>
          </w:p>
        </w:tc>
        <w:tc>
          <w:tcPr>
            <w:tcW w:w="1860" w:type="dxa"/>
            <w:vAlign w:val="bottom"/>
          </w:tcPr>
          <w:p>
            <w:pPr>
              <w:jc w:val="center"/>
              <w:ind w:right="143"/>
              <w:spacing w:after="0"/>
              <w:rPr>
                <w:sz w:val="20"/>
                <w:szCs w:val="20"/>
                <w:color w:val="auto"/>
              </w:rPr>
            </w:pPr>
            <w:r>
              <w:rPr>
                <w:rFonts w:ascii="Arial" w:cs="Arial" w:eastAsia="Arial" w:hAnsi="Arial"/>
                <w:sz w:val="15"/>
                <w:szCs w:val="15"/>
                <w:color w:val="auto"/>
              </w:rPr>
              <w:t>Interest expense, net</w:t>
            </w:r>
          </w:p>
        </w:tc>
      </w:tr>
      <w:tr>
        <w:trPr>
          <w:trHeight w:val="239"/>
        </w:trPr>
        <w:tc>
          <w:tcPr>
            <w:tcW w:w="7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reclassified from AOCI into income</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(7,366)</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1D2758"/>
        </w:rPr>
        <w:t>NOTE 12 - Fair Value Measures</w:t>
      </w:r>
    </w:p>
    <w:p>
      <w:pPr>
        <w:spacing w:after="0" w:line="7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 The Company utilizes the following accounting guidance for the three levels of inputs that may be used to measure fair value:</w:t>
      </w:r>
    </w:p>
    <w:p>
      <w:pPr>
        <w:spacing w:after="0" w:line="49"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60"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60"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17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has assessed that the fair values of cash and short-term deposits, marketable securities, trade receivables, trade payables, and other current liabilities approximate their carrying amounts. The Company's nonfinancial assets, which are measured at fair value on a nonrecurring basis, include rental equipment, property, plant and equipment, goodwill, intangible assets, and certain other assets. Based on the borrowing rates currently available for bank loans with similar terms and average maturities, the fair values of finance leases at September 30, 2025 and December 31, 2024 approximate their respective book values. The carrying value of the ABL Facility, excluding debt issuance costs, approximates fair value as the interest rates are variable and reflective of current market rates.</w:t>
      </w:r>
    </w:p>
    <w:p>
      <w:pPr>
        <w:spacing w:after="0" w:line="2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values of the Secured Notes are based on their last trading price at the end of each period obtained from a third party. The following table shows the carrying amounts and fair values of these financial liabilities measured using Level 2 inputs: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4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3220" w:type="dxa"/>
            <w:vAlign w:val="bottom"/>
            <w:gridSpan w:val="3"/>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September 30, 2025</w:t>
            </w:r>
          </w:p>
        </w:tc>
        <w:tc>
          <w:tcPr>
            <w:tcW w:w="180" w:type="dxa"/>
            <w:vAlign w:val="bottom"/>
            <w:shd w:val="clear" w:color="auto" w:fill="1D2758"/>
          </w:tcPr>
          <w:p>
            <w:pPr>
              <w:spacing w:after="0"/>
              <w:rPr>
                <w:sz w:val="20"/>
                <w:szCs w:val="20"/>
                <w:color w:val="auto"/>
              </w:rPr>
            </w:pPr>
          </w:p>
        </w:tc>
        <w:tc>
          <w:tcPr>
            <w:tcW w:w="3240" w:type="dxa"/>
            <w:vAlign w:val="bottom"/>
            <w:gridSpan w:val="3"/>
            <w:shd w:val="clear" w:color="auto" w:fill="1D2758"/>
          </w:tcPr>
          <w:p>
            <w:pPr>
              <w:jc w:val="right"/>
              <w:ind w:right="923"/>
              <w:spacing w:after="0"/>
              <w:rPr>
                <w:sz w:val="20"/>
                <w:szCs w:val="20"/>
                <w:color w:val="auto"/>
              </w:rPr>
            </w:pPr>
            <w:r>
              <w:rPr>
                <w:rFonts w:ascii="Arial" w:cs="Arial" w:eastAsia="Arial" w:hAnsi="Arial"/>
                <w:sz w:val="15"/>
                <w:szCs w:val="15"/>
                <w:b w:val="1"/>
                <w:bCs w:val="1"/>
                <w:color w:val="FFFFFF"/>
              </w:rPr>
              <w:t>December 31, 2024</w:t>
            </w:r>
          </w:p>
        </w:tc>
        <w:tc>
          <w:tcPr>
            <w:tcW w:w="0" w:type="dxa"/>
            <w:vAlign w:val="bottom"/>
          </w:tcPr>
          <w:p>
            <w:pPr>
              <w:spacing w:after="0"/>
              <w:rPr>
                <w:sz w:val="1"/>
                <w:szCs w:val="1"/>
                <w:color w:val="auto"/>
              </w:rPr>
            </w:pPr>
          </w:p>
        </w:tc>
      </w:tr>
      <w:tr>
        <w:trPr>
          <w:trHeight w:val="226"/>
        </w:trPr>
        <w:tc>
          <w:tcPr>
            <w:tcW w:w="44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19"/>
                <w:szCs w:val="19"/>
                <w:color w:val="auto"/>
              </w:rPr>
            </w:pPr>
          </w:p>
        </w:tc>
        <w:tc>
          <w:tcPr>
            <w:tcW w:w="152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Carrying Amount</w:t>
            </w:r>
          </w:p>
        </w:tc>
        <w:tc>
          <w:tcPr>
            <w:tcW w:w="320" w:type="dxa"/>
            <w:vAlign w:val="bottom"/>
            <w:shd w:val="clear" w:color="auto" w:fill="1D2758"/>
          </w:tcPr>
          <w:p>
            <w:pPr>
              <w:spacing w:after="0"/>
              <w:rPr>
                <w:sz w:val="19"/>
                <w:szCs w:val="19"/>
                <w:color w:val="auto"/>
              </w:rPr>
            </w:pPr>
          </w:p>
        </w:tc>
        <w:tc>
          <w:tcPr>
            <w:tcW w:w="138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Fair Value</w:t>
            </w:r>
          </w:p>
        </w:tc>
        <w:tc>
          <w:tcPr>
            <w:tcW w:w="180" w:type="dxa"/>
            <w:vAlign w:val="bottom"/>
            <w:shd w:val="clear" w:color="auto" w:fill="1D2758"/>
          </w:tcPr>
          <w:p>
            <w:pPr>
              <w:spacing w:after="0"/>
              <w:rPr>
                <w:sz w:val="19"/>
                <w:szCs w:val="19"/>
                <w:color w:val="auto"/>
              </w:rPr>
            </w:pPr>
          </w:p>
        </w:tc>
        <w:tc>
          <w:tcPr>
            <w:tcW w:w="152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Carrying Amount</w:t>
            </w:r>
          </w:p>
        </w:tc>
        <w:tc>
          <w:tcPr>
            <w:tcW w:w="320" w:type="dxa"/>
            <w:vAlign w:val="bottom"/>
            <w:shd w:val="clear" w:color="auto" w:fill="1D2758"/>
          </w:tcPr>
          <w:p>
            <w:pPr>
              <w:spacing w:after="0"/>
              <w:rPr>
                <w:sz w:val="19"/>
                <w:szCs w:val="19"/>
                <w:color w:val="auto"/>
              </w:rPr>
            </w:pPr>
          </w:p>
        </w:tc>
        <w:tc>
          <w:tcPr>
            <w:tcW w:w="140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Fair Value</w:t>
            </w:r>
          </w:p>
        </w:tc>
        <w:tc>
          <w:tcPr>
            <w:tcW w:w="0" w:type="dxa"/>
            <w:vAlign w:val="bottom"/>
          </w:tcPr>
          <w:p>
            <w:pPr>
              <w:spacing w:after="0"/>
              <w:rPr>
                <w:sz w:val="1"/>
                <w:szCs w:val="1"/>
                <w:color w:val="auto"/>
              </w:rPr>
            </w:pPr>
          </w:p>
        </w:tc>
      </w:tr>
      <w:tr>
        <w:trPr>
          <w:trHeight w:val="97"/>
        </w:trPr>
        <w:tc>
          <w:tcPr>
            <w:tcW w:w="4440" w:type="dxa"/>
            <w:vAlign w:val="bottom"/>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520" w:type="dxa"/>
            <w:vAlign w:val="bottom"/>
            <w:shd w:val="clear" w:color="auto" w:fill="1D2758"/>
          </w:tcPr>
          <w:p>
            <w:pPr>
              <w:spacing w:after="0"/>
              <w:rPr>
                <w:sz w:val="8"/>
                <w:szCs w:val="8"/>
                <w:color w:val="auto"/>
              </w:rPr>
            </w:pPr>
          </w:p>
        </w:tc>
        <w:tc>
          <w:tcPr>
            <w:tcW w:w="320" w:type="dxa"/>
            <w:vAlign w:val="bottom"/>
            <w:shd w:val="clear" w:color="auto" w:fill="1D2758"/>
          </w:tcPr>
          <w:p>
            <w:pPr>
              <w:spacing w:after="0"/>
              <w:rPr>
                <w:sz w:val="8"/>
                <w:szCs w:val="8"/>
                <w:color w:val="auto"/>
              </w:rPr>
            </w:pPr>
          </w:p>
        </w:tc>
        <w:tc>
          <w:tcPr>
            <w:tcW w:w="138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520" w:type="dxa"/>
            <w:vAlign w:val="bottom"/>
            <w:shd w:val="clear" w:color="auto" w:fill="1D2758"/>
          </w:tcPr>
          <w:p>
            <w:pPr>
              <w:spacing w:after="0"/>
              <w:rPr>
                <w:sz w:val="8"/>
                <w:szCs w:val="8"/>
                <w:color w:val="auto"/>
              </w:rPr>
            </w:pPr>
          </w:p>
        </w:tc>
        <w:tc>
          <w:tcPr>
            <w:tcW w:w="320" w:type="dxa"/>
            <w:vAlign w:val="bottom"/>
            <w:shd w:val="clear" w:color="auto" w:fill="1D2758"/>
          </w:tcPr>
          <w:p>
            <w:pPr>
              <w:spacing w:after="0"/>
              <w:rPr>
                <w:sz w:val="8"/>
                <w:szCs w:val="8"/>
                <w:color w:val="auto"/>
              </w:rPr>
            </w:pPr>
          </w:p>
        </w:tc>
        <w:tc>
          <w:tcPr>
            <w:tcW w:w="140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4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840" w:type="dxa"/>
            <w:vAlign w:val="bottom"/>
            <w:gridSpan w:val="2"/>
            <w:shd w:val="clear" w:color="auto" w:fill="DBDBDB"/>
          </w:tcPr>
          <w:p>
            <w:pPr>
              <w:jc w:val="right"/>
              <w:ind w:right="123"/>
              <w:spacing w:after="0"/>
              <w:rPr>
                <w:sz w:val="20"/>
                <w:szCs w:val="20"/>
                <w:color w:val="auto"/>
              </w:rPr>
            </w:pPr>
            <w:r>
              <w:rPr>
                <w:rFonts w:ascii="Arial" w:cs="Arial" w:eastAsia="Arial" w:hAnsi="Arial"/>
                <w:sz w:val="15"/>
                <w:szCs w:val="15"/>
                <w:color w:val="auto"/>
              </w:rPr>
              <w:t>— $</w:t>
            </w:r>
          </w:p>
        </w:tc>
        <w:tc>
          <w:tcPr>
            <w:tcW w:w="156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525,283</w:t>
            </w:r>
          </w:p>
        </w:tc>
        <w:tc>
          <w:tcPr>
            <w:tcW w:w="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527,269</w:t>
            </w: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Arial" w:cs="Arial" w:eastAsia="Arial" w:hAnsi="Arial"/>
                <w:sz w:val="15"/>
                <w:szCs w:val="15"/>
                <w:color w:val="auto"/>
              </w:rPr>
              <w:t>2028 Secured Notes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496,429</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492,105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495,582</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477,170</w:t>
            </w:r>
          </w:p>
        </w:tc>
        <w:tc>
          <w:tcPr>
            <w:tcW w:w="0" w:type="dxa"/>
            <w:vAlign w:val="bottom"/>
          </w:tcPr>
          <w:p>
            <w:pPr>
              <w:spacing w:after="0"/>
              <w:rPr>
                <w:sz w:val="1"/>
                <w:szCs w:val="1"/>
                <w:color w:val="auto"/>
              </w:rPr>
            </w:pPr>
          </w:p>
        </w:tc>
      </w:tr>
      <w:tr>
        <w:trPr>
          <w:trHeight w:val="239"/>
        </w:trPr>
        <w:tc>
          <w:tcPr>
            <w:tcW w:w="4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 Secured Notes</w:t>
            </w:r>
          </w:p>
        </w:tc>
        <w:tc>
          <w:tcPr>
            <w:tcW w:w="16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493,411</w:t>
            </w:r>
          </w:p>
        </w:tc>
        <w:tc>
          <w:tcPr>
            <w:tcW w:w="3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511,840</w:t>
            </w:r>
          </w:p>
        </w:tc>
        <w:tc>
          <w:tcPr>
            <w:tcW w:w="18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492,467</w:t>
            </w:r>
          </w:p>
        </w:tc>
        <w:tc>
          <w:tcPr>
            <w:tcW w:w="320" w:type="dxa"/>
            <w:vAlign w:val="bottom"/>
            <w:shd w:val="clear" w:color="auto" w:fill="DBDBDB"/>
          </w:tcPr>
          <w:p>
            <w:pPr>
              <w:spacing w:after="0"/>
              <w:rPr>
                <w:sz w:val="20"/>
                <w:szCs w:val="20"/>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506,235</w:t>
            </w: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Arial" w:cs="Arial" w:eastAsia="Arial" w:hAnsi="Arial"/>
                <w:sz w:val="15"/>
                <w:szCs w:val="15"/>
                <w:color w:val="auto"/>
              </w:rPr>
              <w:t>2030 Secured Notes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493,891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514,885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4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2031 Secured Notes</w:t>
            </w:r>
          </w:p>
        </w:tc>
        <w:tc>
          <w:tcPr>
            <w:tcW w:w="16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494,635</w:t>
            </w:r>
          </w:p>
        </w:tc>
        <w:tc>
          <w:tcPr>
            <w:tcW w:w="32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521,940</w:t>
            </w:r>
          </w:p>
        </w:tc>
        <w:tc>
          <w:tcPr>
            <w:tcW w:w="18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494,329</w:t>
            </w:r>
          </w:p>
        </w:tc>
        <w:tc>
          <w:tcPr>
            <w:tcW w:w="320" w:type="dxa"/>
            <w:vAlign w:val="bottom"/>
            <w:tcBorders>
              <w:bottom w:val="single" w:sz="8" w:color="auto"/>
            </w:tcBorders>
            <w:shd w:val="clear" w:color="auto" w:fill="DBDBDB"/>
          </w:tcPr>
          <w:p>
            <w:pPr>
              <w:spacing w:after="0"/>
              <w:rPr>
                <w:sz w:val="20"/>
                <w:szCs w:val="20"/>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514,310</w:t>
            </w:r>
          </w:p>
        </w:tc>
        <w:tc>
          <w:tcPr>
            <w:tcW w:w="0" w:type="dxa"/>
            <w:vAlign w:val="bottom"/>
          </w:tcPr>
          <w:p>
            <w:pPr>
              <w:spacing w:after="0"/>
              <w:rPr>
                <w:sz w:val="1"/>
                <w:szCs w:val="1"/>
                <w:color w:val="auto"/>
              </w:rPr>
            </w:pPr>
          </w:p>
        </w:tc>
      </w:tr>
      <w:tr>
        <w:trPr>
          <w:trHeight w:val="232"/>
        </w:trPr>
        <w:tc>
          <w:tcPr>
            <w:tcW w:w="4440" w:type="dxa"/>
            <w:vAlign w:val="bottom"/>
          </w:tcPr>
          <w:p>
            <w:pPr>
              <w:ind w:left="22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1,978,366</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2,040,770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2,007,661</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2,024,984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of September 30, 2025, the carrying values of the 2028 Secured Notes, the 2029 Secured Notes, the 2030 Secured Notes, and the 2031 Secured Notes included $3.6 million, $6.6 million, $6.1 million, and $5.4 million, respectively, of unamortized debt issuance costs, which were presented as direct reductions of the corresponding liabilities. As of December 31, 2024, the carrying values of the 2025 Secured Notes, the 2028 Secured Notes, the 2029 Secured Notes, and the 2031 Secured Notes included $1.2 million, $4.4 million, $7.5 million, and $5.7 million, respectively, of unamortized debt issuance costs, which were presented as direct reductions of the corresponding liabilities.</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assets and liabilities in the condensed consolidated balance sheets are disclosed in Note 11.</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1D2758"/>
        </w:rPr>
        <w:t>NOTE 13 - Stock-Based Compensation</w:t>
      </w:r>
    </w:p>
    <w:p>
      <w:pPr>
        <w:spacing w:after="0" w:line="7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Stock-based compensation expense includes grants of stock options, time-based restricted stock units ("Time-Based RSUs"), performance-based restricted stock units ("Performance-Based RSUs," together with Time-Based RSUs, the "RSUs"), and restricted stock awards ("RSAs"). Stock options are valued based on the Black-Scholes option-pricing model. Time-Based RSUs and RSAs are valued based on the intrinsic value of the difference between the exercise price of the award, if any, and the fair market value of WillScot's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Restricted Stock Awards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540" w:type="dxa"/>
            <w:vAlign w:val="bottom"/>
            <w:gridSpan w:val="8"/>
          </w:tcPr>
          <w:p>
            <w:pPr>
              <w:ind w:left="620"/>
              <w:spacing w:after="0"/>
              <w:rPr>
                <w:sz w:val="20"/>
                <w:szCs w:val="20"/>
                <w:color w:val="auto"/>
              </w:rPr>
            </w:pPr>
            <w:r>
              <w:rPr>
                <w:rFonts w:ascii="Arial" w:cs="Arial" w:eastAsia="Arial" w:hAnsi="Arial"/>
                <w:sz w:val="15"/>
                <w:szCs w:val="15"/>
                <w:color w:val="auto"/>
              </w:rPr>
              <w:t>The following table summarizes the Company's RSA activity for the nine months ended September 30, 2025 and 2024:</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6"/>
        </w:trPr>
        <w:tc>
          <w:tcPr>
            <w:tcW w:w="42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1540" w:type="dxa"/>
            <w:vAlign w:val="bottom"/>
          </w:tcPr>
          <w:p>
            <w:pPr>
              <w:spacing w:after="0"/>
              <w:rPr>
                <w:sz w:val="5"/>
                <w:szCs w:val="5"/>
                <w:color w:val="auto"/>
              </w:rPr>
            </w:pPr>
          </w:p>
        </w:tc>
      </w:tr>
      <w:tr>
        <w:trPr>
          <w:trHeight w:val="226"/>
        </w:trPr>
        <w:tc>
          <w:tcPr>
            <w:tcW w:w="4220" w:type="dxa"/>
            <w:vAlign w:val="bottom"/>
            <w:shd w:val="clear" w:color="auto" w:fill="1D2758"/>
          </w:tcPr>
          <w:p>
            <w:pPr>
              <w:spacing w:after="0"/>
              <w:rPr>
                <w:sz w:val="19"/>
                <w:szCs w:val="19"/>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154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1540" w:type="dxa"/>
            <w:vAlign w:val="bottom"/>
            <w:shd w:val="clear" w:color="auto" w:fill="1D2758"/>
          </w:tcPr>
          <w:p>
            <w:pPr>
              <w:spacing w:after="0"/>
              <w:rPr>
                <w:sz w:val="19"/>
                <w:szCs w:val="19"/>
                <w:color w:val="auto"/>
              </w:rPr>
            </w:pPr>
          </w:p>
        </w:tc>
      </w:tr>
      <w:tr>
        <w:trPr>
          <w:trHeight w:val="211"/>
        </w:trPr>
        <w:tc>
          <w:tcPr>
            <w:tcW w:w="4220" w:type="dxa"/>
            <w:vAlign w:val="bottom"/>
            <w:shd w:val="clear" w:color="auto" w:fill="1D2758"/>
          </w:tcPr>
          <w:p>
            <w:pPr>
              <w:spacing w:after="0"/>
              <w:rPr>
                <w:sz w:val="18"/>
                <w:szCs w:val="18"/>
                <w:color w:val="auto"/>
              </w:rPr>
            </w:pPr>
          </w:p>
        </w:tc>
        <w:tc>
          <w:tcPr>
            <w:tcW w:w="16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64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Weighted-Average</w:t>
            </w:r>
          </w:p>
        </w:tc>
        <w:tc>
          <w:tcPr>
            <w:tcW w:w="16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5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r>
      <w:tr>
        <w:trPr>
          <w:trHeight w:val="220"/>
        </w:trPr>
        <w:tc>
          <w:tcPr>
            <w:tcW w:w="4220" w:type="dxa"/>
            <w:vAlign w:val="bottom"/>
            <w:shd w:val="clear" w:color="auto" w:fill="1D2758"/>
          </w:tcPr>
          <w:p>
            <w:pPr>
              <w:spacing w:after="0"/>
              <w:rPr>
                <w:sz w:val="19"/>
                <w:szCs w:val="19"/>
                <w:color w:val="auto"/>
              </w:rPr>
            </w:pPr>
          </w:p>
        </w:tc>
        <w:tc>
          <w:tcPr>
            <w:tcW w:w="176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800" w:type="dxa"/>
            <w:vAlign w:val="bottom"/>
            <w:gridSpan w:val="3"/>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r>
      <w:tr>
        <w:trPr>
          <w:trHeight w:val="232"/>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BDBDB"/>
          </w:tcPr>
          <w:p>
            <w:pPr>
              <w:jc w:val="center"/>
              <w:ind w:left="983"/>
              <w:spacing w:after="0"/>
              <w:rPr>
                <w:sz w:val="20"/>
                <w:szCs w:val="20"/>
                <w:color w:val="auto"/>
              </w:rPr>
            </w:pPr>
            <w:r>
              <w:rPr>
                <w:rFonts w:ascii="Arial" w:cs="Arial" w:eastAsia="Arial" w:hAnsi="Arial"/>
                <w:sz w:val="15"/>
                <w:szCs w:val="15"/>
                <w:color w:val="auto"/>
              </w:rPr>
              <w:t>36,346</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38.11</w:t>
            </w:r>
          </w:p>
        </w:tc>
        <w:tc>
          <w:tcPr>
            <w:tcW w:w="100" w:type="dxa"/>
            <w:vAlign w:val="bottom"/>
            <w:shd w:val="clear" w:color="auto" w:fill="DBDBDB"/>
          </w:tcPr>
          <w:p>
            <w:pPr>
              <w:spacing w:after="0"/>
              <w:rPr>
                <w:sz w:val="20"/>
                <w:szCs w:val="20"/>
                <w:color w:val="auto"/>
              </w:rPr>
            </w:pPr>
          </w:p>
        </w:tc>
        <w:tc>
          <w:tcPr>
            <w:tcW w:w="1680" w:type="dxa"/>
            <w:vAlign w:val="bottom"/>
            <w:shd w:val="clear" w:color="auto" w:fill="DBDBDB"/>
          </w:tcPr>
          <w:p>
            <w:pPr>
              <w:jc w:val="center"/>
              <w:ind w:left="983"/>
              <w:spacing w:after="0"/>
              <w:rPr>
                <w:sz w:val="20"/>
                <w:szCs w:val="20"/>
                <w:color w:val="auto"/>
              </w:rPr>
            </w:pPr>
            <w:r>
              <w:rPr>
                <w:rFonts w:ascii="Arial" w:cs="Arial" w:eastAsia="Arial" w:hAnsi="Arial"/>
                <w:sz w:val="15"/>
                <w:szCs w:val="15"/>
                <w:color w:val="auto"/>
              </w:rPr>
              <w:t>28,946</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44.44</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center"/>
              <w:ind w:left="983"/>
              <w:spacing w:after="0"/>
              <w:rPr>
                <w:sz w:val="20"/>
                <w:szCs w:val="20"/>
                <w:color w:val="auto"/>
              </w:rPr>
            </w:pPr>
            <w:r>
              <w:rPr>
                <w:rFonts w:ascii="Arial" w:cs="Arial" w:eastAsia="Arial" w:hAnsi="Arial"/>
                <w:sz w:val="15"/>
                <w:szCs w:val="15"/>
                <w:color w:val="auto"/>
              </w:rPr>
              <w:t>64,070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27.86</w:t>
            </w:r>
          </w:p>
        </w:tc>
        <w:tc>
          <w:tcPr>
            <w:tcW w:w="100" w:type="dxa"/>
            <w:vAlign w:val="bottom"/>
          </w:tcPr>
          <w:p>
            <w:pPr>
              <w:spacing w:after="0"/>
              <w:rPr>
                <w:sz w:val="19"/>
                <w:szCs w:val="19"/>
                <w:color w:val="auto"/>
              </w:rPr>
            </w:pPr>
          </w:p>
        </w:tc>
        <w:tc>
          <w:tcPr>
            <w:tcW w:w="1680" w:type="dxa"/>
            <w:vAlign w:val="bottom"/>
          </w:tcPr>
          <w:p>
            <w:pPr>
              <w:jc w:val="center"/>
              <w:ind w:left="983"/>
              <w:spacing w:after="0"/>
              <w:rPr>
                <w:sz w:val="20"/>
                <w:szCs w:val="20"/>
                <w:color w:val="auto"/>
              </w:rPr>
            </w:pPr>
            <w:r>
              <w:rPr>
                <w:rFonts w:ascii="Arial" w:cs="Arial" w:eastAsia="Arial" w:hAnsi="Arial"/>
                <w:sz w:val="15"/>
                <w:szCs w:val="15"/>
                <w:color w:val="auto"/>
              </w:rPr>
              <w:t>32,332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38.20</w:t>
            </w:r>
          </w:p>
        </w:tc>
      </w:tr>
      <w:tr>
        <w:trPr>
          <w:trHeight w:val="239"/>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shd w:val="clear" w:color="auto" w:fill="DBDBDB"/>
          </w:tcPr>
          <w:p>
            <w:pPr>
              <w:jc w:val="center"/>
              <w:ind w:left="963"/>
              <w:spacing w:after="0"/>
              <w:rPr>
                <w:sz w:val="20"/>
                <w:szCs w:val="20"/>
                <w:color w:val="auto"/>
              </w:rPr>
            </w:pPr>
            <w:r>
              <w:rPr>
                <w:rFonts w:ascii="Arial" w:cs="Arial" w:eastAsia="Arial" w:hAnsi="Arial"/>
                <w:sz w:val="15"/>
                <w:szCs w:val="15"/>
                <w:color w:val="auto"/>
              </w:rPr>
              <w:t>(32,332)</w:t>
            </w:r>
          </w:p>
        </w:tc>
        <w:tc>
          <w:tcPr>
            <w:tcW w:w="8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38.20</w:t>
            </w:r>
          </w:p>
        </w:tc>
        <w:tc>
          <w:tcPr>
            <w:tcW w:w="100" w:type="dxa"/>
            <w:vAlign w:val="bottom"/>
            <w:shd w:val="clear" w:color="auto" w:fill="DBDBDB"/>
          </w:tcPr>
          <w:p>
            <w:pPr>
              <w:spacing w:after="0"/>
              <w:rPr>
                <w:sz w:val="20"/>
                <w:szCs w:val="20"/>
                <w:color w:val="auto"/>
              </w:rPr>
            </w:pPr>
          </w:p>
        </w:tc>
        <w:tc>
          <w:tcPr>
            <w:tcW w:w="1680" w:type="dxa"/>
            <w:vAlign w:val="bottom"/>
            <w:tcBorders>
              <w:bottom w:val="single" w:sz="8" w:color="auto"/>
            </w:tcBorders>
            <w:shd w:val="clear" w:color="auto" w:fill="DBDBDB"/>
          </w:tcPr>
          <w:p>
            <w:pPr>
              <w:jc w:val="center"/>
              <w:ind w:left="963"/>
              <w:spacing w:after="0"/>
              <w:rPr>
                <w:sz w:val="20"/>
                <w:szCs w:val="20"/>
                <w:color w:val="auto"/>
              </w:rPr>
            </w:pPr>
            <w:r>
              <w:rPr>
                <w:rFonts w:ascii="Arial" w:cs="Arial" w:eastAsia="Arial" w:hAnsi="Arial"/>
                <w:sz w:val="15"/>
                <w:szCs w:val="15"/>
                <w:color w:val="auto"/>
              </w:rPr>
              <w:t>(28,946)</w:t>
            </w:r>
          </w:p>
        </w:tc>
        <w:tc>
          <w:tcPr>
            <w:tcW w:w="8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44.44</w:t>
            </w:r>
          </w:p>
        </w:tc>
      </w:tr>
      <w:tr>
        <w:trPr>
          <w:trHeight w:val="218"/>
        </w:trPr>
        <w:tc>
          <w:tcPr>
            <w:tcW w:w="4220" w:type="dxa"/>
            <w:vAlign w:val="bottom"/>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tcPr>
          <w:p>
            <w:pPr>
              <w:jc w:val="center"/>
              <w:ind w:left="983"/>
              <w:spacing w:after="0"/>
              <w:rPr>
                <w:sz w:val="20"/>
                <w:szCs w:val="20"/>
                <w:color w:val="auto"/>
              </w:rPr>
            </w:pPr>
            <w:r>
              <w:rPr>
                <w:rFonts w:ascii="Arial" w:cs="Arial" w:eastAsia="Arial" w:hAnsi="Arial"/>
                <w:sz w:val="15"/>
                <w:szCs w:val="15"/>
                <w:color w:val="auto"/>
              </w:rPr>
              <w:t>68,084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28.42</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center"/>
              <w:ind w:left="983"/>
              <w:spacing w:after="0"/>
              <w:rPr>
                <w:sz w:val="20"/>
                <w:szCs w:val="20"/>
                <w:color w:val="auto"/>
              </w:rPr>
            </w:pPr>
            <w:r>
              <w:rPr>
                <w:rFonts w:ascii="Arial" w:cs="Arial" w:eastAsia="Arial" w:hAnsi="Arial"/>
                <w:sz w:val="15"/>
                <w:szCs w:val="15"/>
                <w:color w:val="auto"/>
              </w:rPr>
              <w:t>32,332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38.20</w:t>
            </w:r>
          </w:p>
        </w:tc>
      </w:tr>
      <w:tr>
        <w:trPr>
          <w:trHeight w:val="26"/>
        </w:trPr>
        <w:tc>
          <w:tcPr>
            <w:tcW w:w="4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RSAs recognized in selling, general and administrative ("SG&amp;A") expense on the condensed consolidated statements of operations was $0.5 million and $0.3 million for the three months ended September 30, 2025 and 2024, respectively. Compensation expense for RSAs recognized in SG&amp;A expense was $1.2 million and $1.0 million for the nine months ended September 30, 2025 and 2024, respectively. At September 30, 2025, unrecognized compensation cost related to RSAs totaled $1.2 million and was expected to be recognized over the remaining weighted average vesting period of 0.6 years.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Time-Based RSUs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Time-Based RSU activity for the nine months ended September 30, 2025 and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154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1540" w:type="dxa"/>
            <w:vAlign w:val="bottom"/>
            <w:shd w:val="clear" w:color="auto" w:fill="1D2758"/>
          </w:tcPr>
          <w:p>
            <w:pPr>
              <w:spacing w:after="0"/>
              <w:rPr>
                <w:sz w:val="20"/>
                <w:szCs w:val="20"/>
                <w:color w:val="auto"/>
              </w:rPr>
            </w:pPr>
          </w:p>
        </w:tc>
      </w:tr>
      <w:tr>
        <w:trPr>
          <w:trHeight w:val="192"/>
        </w:trPr>
        <w:tc>
          <w:tcPr>
            <w:tcW w:w="4220" w:type="dxa"/>
            <w:vAlign w:val="bottom"/>
            <w:shd w:val="clear" w:color="auto" w:fill="1D2758"/>
          </w:tcPr>
          <w:p>
            <w:pPr>
              <w:spacing w:after="0"/>
              <w:rPr>
                <w:sz w:val="16"/>
                <w:szCs w:val="16"/>
                <w:color w:val="auto"/>
              </w:rPr>
            </w:pPr>
          </w:p>
        </w:tc>
        <w:tc>
          <w:tcPr>
            <w:tcW w:w="16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164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6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15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r>
      <w:tr>
        <w:trPr>
          <w:trHeight w:val="233"/>
        </w:trPr>
        <w:tc>
          <w:tcPr>
            <w:tcW w:w="4220" w:type="dxa"/>
            <w:vAlign w:val="bottom"/>
            <w:shd w:val="clear" w:color="auto" w:fill="1D2758"/>
          </w:tcPr>
          <w:p>
            <w:pPr>
              <w:spacing w:after="0"/>
              <w:rPr>
                <w:sz w:val="20"/>
                <w:szCs w:val="20"/>
                <w:color w:val="auto"/>
              </w:rPr>
            </w:pPr>
          </w:p>
        </w:tc>
        <w:tc>
          <w:tcPr>
            <w:tcW w:w="176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80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576,652</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43.87</w:t>
            </w:r>
          </w:p>
        </w:tc>
        <w:tc>
          <w:tcPr>
            <w:tcW w:w="100" w:type="dxa"/>
            <w:vAlign w:val="bottom"/>
            <w:shd w:val="clear" w:color="auto" w:fill="DDDDDD"/>
          </w:tcPr>
          <w:p>
            <w:pPr>
              <w:spacing w:after="0"/>
              <w:rPr>
                <w:sz w:val="20"/>
                <w:szCs w:val="20"/>
                <w:color w:val="auto"/>
              </w:rPr>
            </w:pP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618,836</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36.07</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677,853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31.08</w:t>
            </w:r>
          </w:p>
        </w:tc>
        <w:tc>
          <w:tcPr>
            <w:tcW w:w="100" w:type="dxa"/>
            <w:vAlign w:val="bottom"/>
          </w:tcPr>
          <w:p>
            <w:pPr>
              <w:spacing w:after="0"/>
              <w:rPr>
                <w:sz w:val="19"/>
                <w:szCs w:val="19"/>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273,524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48.68</w:t>
            </w:r>
          </w:p>
        </w:tc>
      </w:tr>
      <w:tr>
        <w:trPr>
          <w:trHeight w:val="23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(53,320)</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40.92</w:t>
            </w:r>
          </w:p>
        </w:tc>
        <w:tc>
          <w:tcPr>
            <w:tcW w:w="100" w:type="dxa"/>
            <w:vAlign w:val="bottom"/>
            <w:shd w:val="clear" w:color="auto" w:fill="DDDDDD"/>
          </w:tcPr>
          <w:p>
            <w:pPr>
              <w:spacing w:after="0"/>
              <w:rPr>
                <w:sz w:val="20"/>
                <w:szCs w:val="20"/>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(35,254)</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45.91</w:t>
            </w:r>
          </w:p>
        </w:tc>
      </w:tr>
      <w:tr>
        <w:trPr>
          <w:trHeight w:val="22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(242,578)</w:t>
            </w:r>
          </w:p>
        </w:tc>
        <w:tc>
          <w:tcPr>
            <w:tcW w:w="8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39.79</w:t>
            </w:r>
          </w:p>
        </w:tc>
        <w:tc>
          <w:tcPr>
            <w:tcW w:w="100" w:type="dxa"/>
            <w:vAlign w:val="bottom"/>
            <w:tcBorders>
              <w:bottom w:val="single" w:sz="8" w:color="DDDDDD"/>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(264,907)</w:t>
            </w:r>
          </w:p>
        </w:tc>
        <w:tc>
          <w:tcPr>
            <w:tcW w:w="8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30.36</w:t>
            </w:r>
          </w:p>
        </w:tc>
      </w:tr>
      <w:tr>
        <w:trPr>
          <w:trHeight w:val="250"/>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958,607</w:t>
            </w:r>
          </w:p>
        </w:tc>
        <w:tc>
          <w:tcPr>
            <w:tcW w:w="8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35.92</w:t>
            </w:r>
          </w:p>
        </w:tc>
        <w:tc>
          <w:tcPr>
            <w:tcW w:w="100" w:type="dxa"/>
            <w:vAlign w:val="bottom"/>
            <w:tcBorders>
              <w:bottom w:val="single" w:sz="8" w:color="DDDDDD"/>
            </w:tcBorders>
            <w:shd w:val="clear" w:color="auto" w:fill="DDDDDD"/>
          </w:tcPr>
          <w:p>
            <w:pPr>
              <w:spacing w:after="0"/>
              <w:rPr>
                <w:sz w:val="21"/>
                <w:szCs w:val="21"/>
                <w:color w:val="auto"/>
              </w:rPr>
            </w:pP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592,199</w:t>
            </w:r>
          </w:p>
        </w:tc>
        <w:tc>
          <w:tcPr>
            <w:tcW w:w="8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43.87</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Time-Based RSUs recognized in SG&amp;A expense was $3.3 million and $2.8 million for the three months ended September 30, 2025 and 2024, respectively. Compensation expense for Time-Based RSUs recognized in SG&amp;A expense was $8.4 million and $7.8 million for the nine months ended September 30, 2025 and 2024, respectively. At September 30, 2025, unrecognized compensation cost related to Time-Based RSUs totaled $24.8 million and was expected to be recognized over the remaining weighted average vesting period of 2.7 years.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RSUs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Performance-Based RSU activity for the nine months ended September 30, 2025 and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154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19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1540" w:type="dxa"/>
            <w:vAlign w:val="bottom"/>
            <w:shd w:val="clear" w:color="auto" w:fill="1D2758"/>
          </w:tcPr>
          <w:p>
            <w:pPr>
              <w:spacing w:after="0"/>
              <w:rPr>
                <w:sz w:val="20"/>
                <w:szCs w:val="20"/>
                <w:color w:val="auto"/>
              </w:rPr>
            </w:pPr>
          </w:p>
        </w:tc>
      </w:tr>
      <w:tr>
        <w:trPr>
          <w:trHeight w:val="192"/>
        </w:trPr>
        <w:tc>
          <w:tcPr>
            <w:tcW w:w="4220" w:type="dxa"/>
            <w:vAlign w:val="bottom"/>
            <w:shd w:val="clear" w:color="auto" w:fill="1D2758"/>
          </w:tcPr>
          <w:p>
            <w:pPr>
              <w:spacing w:after="0"/>
              <w:rPr>
                <w:sz w:val="16"/>
                <w:szCs w:val="16"/>
                <w:color w:val="auto"/>
              </w:rPr>
            </w:pPr>
          </w:p>
        </w:tc>
        <w:tc>
          <w:tcPr>
            <w:tcW w:w="16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16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15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r>
      <w:tr>
        <w:trPr>
          <w:trHeight w:val="233"/>
        </w:trPr>
        <w:tc>
          <w:tcPr>
            <w:tcW w:w="4220" w:type="dxa"/>
            <w:vAlign w:val="bottom"/>
            <w:shd w:val="clear" w:color="auto" w:fill="1D2758"/>
          </w:tcPr>
          <w:p>
            <w:pPr>
              <w:spacing w:after="0"/>
              <w:rPr>
                <w:sz w:val="20"/>
                <w:szCs w:val="20"/>
                <w:color w:val="auto"/>
              </w:rPr>
            </w:pPr>
          </w:p>
        </w:tc>
        <w:tc>
          <w:tcPr>
            <w:tcW w:w="176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780" w:type="dxa"/>
            <w:vAlign w:val="bottom"/>
            <w:gridSpan w:val="3"/>
            <w:shd w:val="clear" w:color="auto" w:fill="1D2758"/>
          </w:tcPr>
          <w:p>
            <w:pPr>
              <w:jc w:val="right"/>
              <w:ind w:right="140"/>
              <w:spacing w:after="0"/>
              <w:rPr>
                <w:sz w:val="20"/>
                <w:szCs w:val="20"/>
                <w:color w:val="auto"/>
              </w:rPr>
            </w:pPr>
            <w:r>
              <w:rPr>
                <w:rFonts w:ascii="Arial" w:cs="Arial" w:eastAsia="Arial" w:hAnsi="Arial"/>
                <w:sz w:val="15"/>
                <w:szCs w:val="15"/>
                <w:b w:val="1"/>
                <w:bCs w:val="1"/>
                <w:color w:val="FFFFFF"/>
              </w:rPr>
              <w:t>Grant Date Fair Value</w:t>
            </w:r>
          </w:p>
        </w:tc>
        <w:tc>
          <w:tcPr>
            <w:tcW w:w="178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1,768,460</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47.02</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1,939,691</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42.95</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406,265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44.16</w:t>
            </w:r>
          </w:p>
        </w:tc>
        <w:tc>
          <w:tcPr>
            <w:tcW w:w="80" w:type="dxa"/>
            <w:vAlign w:val="bottom"/>
          </w:tcPr>
          <w:p>
            <w:pPr>
              <w:spacing w:after="0"/>
              <w:rPr>
                <w:sz w:val="19"/>
                <w:szCs w:val="19"/>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295,833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66.60</w:t>
            </w:r>
          </w:p>
        </w:tc>
      </w:tr>
      <w:tr>
        <w:trPr>
          <w:trHeight w:val="23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(46,356)</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54.88</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(26,325)</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56.58</w:t>
            </w:r>
          </w:p>
        </w:tc>
      </w:tr>
      <w:tr>
        <w:trPr>
          <w:trHeight w:val="232"/>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r>
              <w:rPr>
                <w:rFonts w:ascii="Arial" w:cs="Arial" w:eastAsia="Arial" w:hAnsi="Arial"/>
                <w:sz w:val="20"/>
                <w:szCs w:val="20"/>
                <w:color w:val="auto"/>
                <w:vertAlign w:val="superscript"/>
              </w:rPr>
              <w:t>(a)</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(620,326)</w:t>
            </w:r>
          </w:p>
        </w:tc>
        <w:tc>
          <w:tcPr>
            <w:tcW w:w="8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43.18</w:t>
            </w:r>
          </w:p>
        </w:tc>
        <w:tc>
          <w:tcPr>
            <w:tcW w:w="80" w:type="dxa"/>
            <w:vAlign w:val="bottom"/>
            <w:tcBorders>
              <w:bottom w:val="single" w:sz="8" w:color="DDDDDD"/>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(377,197)</w:t>
            </w:r>
          </w:p>
        </w:tc>
        <w:tc>
          <w:tcPr>
            <w:tcW w:w="8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39.08</w:t>
            </w:r>
          </w:p>
        </w:tc>
      </w:tr>
      <w:tr>
        <w:trPr>
          <w:trHeight w:val="24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1,508,043</w:t>
            </w:r>
          </w:p>
        </w:tc>
        <w:tc>
          <w:tcPr>
            <w:tcW w:w="8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47.59</w:t>
            </w:r>
          </w:p>
        </w:tc>
        <w:tc>
          <w:tcPr>
            <w:tcW w:w="80" w:type="dxa"/>
            <w:vAlign w:val="bottom"/>
            <w:tcBorders>
              <w:bottom w:val="single" w:sz="8" w:color="DDDDDD"/>
            </w:tcBorders>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1,832,002</w:t>
            </w:r>
          </w:p>
        </w:tc>
        <w:tc>
          <w:tcPr>
            <w:tcW w:w="8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47.37</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firstLine="3"/>
        <w:spacing w:after="0" w:line="278" w:lineRule="auto"/>
        <w:tabs>
          <w:tab w:leader="none" w:pos="209"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Performance-Based RSUs vested at a weighted average of 78% of target, or 482,083 shares, and 198% of target, or 745,323 shares, during the nine months ended September 30, 2025 and 2024, respectively.</w:t>
      </w:r>
    </w:p>
    <w:p>
      <w:pPr>
        <w:spacing w:after="0" w:line="6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Compensation expense for Performance-Based RSUs recognized in SG&amp;A expense was $5.6 million and $6.4 million for the three months ended September 30, 2025 and 2024, respectively. Compensation expense for Performance-Based RSUs recognized in SG&amp;A expense was $16.6 million and $19.5 million for the nine months ended September 30, 2025 and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9" w:name="page20"/>
    <w:bookmarkEnd w:id="19"/>
    <w:p>
      <w:pPr>
        <w:jc w:val="both"/>
        <w:spacing w:after="0" w:line="294" w:lineRule="auto"/>
        <w:rPr>
          <w:sz w:val="20"/>
          <w:szCs w:val="20"/>
          <w:color w:val="auto"/>
        </w:rPr>
      </w:pPr>
      <w:r>
        <w:rPr>
          <w:rFonts w:ascii="Arial" w:cs="Arial" w:eastAsia="Arial" w:hAnsi="Arial"/>
          <w:sz w:val="15"/>
          <w:szCs w:val="15"/>
          <w:color w:val="auto"/>
        </w:rPr>
        <w:t>2024, respectively. At September 30, 2025, unrecognized compensation cost related to Performance-Based RSUs totaled $21.7 million and was expected to be recognized over the remaining weighted average vesting period of 1.1 years.</w:t>
      </w:r>
    </w:p>
    <w:p>
      <w:pPr>
        <w:spacing w:after="0" w:line="3"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Certain Performance-Based RSUs cliff vest based on achievement of the relative total stockholder return ("TSR") of the Company's Common Stock as compared to the TSR of the constituents in the S&amp;P MidCap 400 Index at the grant date over the performance period of three years.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spacing w:after="0" w:line="20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For 555,790 Performance-Based RSUs granted in 2021, the awards cliff vest based on achievement of specified share prices of the Company's Common Stock at annual measurement dates over performance periods of 4.5 years to 4.8 years. The target number of RSUs may be adjusted from 0 to 1,333,334 based on the stock price attainment levels defined by the Company's Compensation Committee. The target payout is tied to a stock price of $47.50, with a payout ranging from 0 RSUs (for achieving a stock price less than $42.50) to 1,333,334 RSUs (for a stock price of $60.00 or greater.</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nine months ended September 30,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shd w:val="clear" w:color="auto" w:fill="1D2758"/>
          </w:tcPr>
          <w:p>
            <w:pPr>
              <w:spacing w:after="0"/>
              <w:rPr>
                <w:sz w:val="16"/>
                <w:szCs w:val="16"/>
                <w:color w:val="auto"/>
              </w:rPr>
            </w:pPr>
          </w:p>
        </w:tc>
        <w:tc>
          <w:tcPr>
            <w:tcW w:w="16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r>
      <w:tr>
        <w:trPr>
          <w:trHeight w:val="180"/>
        </w:trPr>
        <w:tc>
          <w:tcPr>
            <w:tcW w:w="4220" w:type="dxa"/>
            <w:vAlign w:val="bottom"/>
            <w:shd w:val="clear" w:color="auto" w:fill="1D2758"/>
          </w:tcPr>
          <w:p>
            <w:pPr>
              <w:spacing w:after="0"/>
              <w:rPr>
                <w:sz w:val="15"/>
                <w:szCs w:val="15"/>
                <w:color w:val="auto"/>
              </w:rPr>
            </w:pPr>
          </w:p>
        </w:tc>
        <w:tc>
          <w:tcPr>
            <w:tcW w:w="16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Converted</w:t>
            </w:r>
          </w:p>
        </w:tc>
        <w:tc>
          <w:tcPr>
            <w:tcW w:w="1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Exercise Price per</w:t>
            </w:r>
          </w:p>
        </w:tc>
      </w:tr>
      <w:tr>
        <w:trPr>
          <w:trHeight w:val="233"/>
        </w:trPr>
        <w:tc>
          <w:tcPr>
            <w:tcW w:w="4220" w:type="dxa"/>
            <w:vAlign w:val="bottom"/>
            <w:shd w:val="clear" w:color="auto" w:fill="1D2758"/>
          </w:tcPr>
          <w:p>
            <w:pPr>
              <w:spacing w:after="0"/>
              <w:rPr>
                <w:sz w:val="20"/>
                <w:szCs w:val="20"/>
                <w:color w:val="auto"/>
              </w:rPr>
            </w:pPr>
          </w:p>
        </w:tc>
        <w:tc>
          <w:tcPr>
            <w:tcW w:w="1760" w:type="dxa"/>
            <w:vAlign w:val="bottom"/>
            <w:gridSpan w:val="2"/>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20"/>
                <w:szCs w:val="20"/>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Mobile Mini Options</w:t>
            </w:r>
          </w:p>
        </w:tc>
        <w:tc>
          <w:tcPr>
            <w:tcW w:w="140" w:type="dxa"/>
            <w:vAlign w:val="bottom"/>
            <w:shd w:val="clear" w:color="auto" w:fill="1D2758"/>
          </w:tcPr>
          <w:p>
            <w:pPr>
              <w:spacing w:after="0"/>
              <w:rPr>
                <w:sz w:val="20"/>
                <w:szCs w:val="20"/>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814,889</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12.77</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220,000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23.39</w:t>
            </w:r>
          </w:p>
        </w:tc>
        <w:tc>
          <w:tcPr>
            <w:tcW w:w="8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shd w:val="clear" w:color="auto" w:fill="DDDDDD"/>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shd w:val="clear" w:color="auto" w:fill="DDDDDD"/>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(786,204)</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12.77</w:t>
            </w:r>
          </w:p>
        </w:tc>
      </w:tr>
      <w:tr>
        <w:trPr>
          <w:trHeight w:val="218"/>
        </w:trPr>
        <w:tc>
          <w:tcPr>
            <w:tcW w:w="4220" w:type="dxa"/>
            <w:vAlign w:val="bottom"/>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754,188</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16.46</w:t>
            </w:r>
          </w:p>
        </w:tc>
        <w:tc>
          <w:tcPr>
            <w:tcW w:w="8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28,685</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12.86</w:t>
            </w:r>
          </w:p>
        </w:tc>
      </w:tr>
      <w:tr>
        <w:trPr>
          <w:trHeight w:val="20"/>
        </w:trPr>
        <w:tc>
          <w:tcPr>
            <w:tcW w:w="4220" w:type="dxa"/>
            <w:vAlign w:val="bottom"/>
            <w:tcBorders>
              <w:bottom w:val="single" w:sz="8" w:color="DDDDDD"/>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8"/>
        </w:trPr>
        <w:tc>
          <w:tcPr>
            <w:tcW w:w="4220" w:type="dxa"/>
            <w:vAlign w:val="bottom"/>
            <w:shd w:val="clear" w:color="auto" w:fill="DDDDDD"/>
          </w:tcPr>
          <w:p>
            <w:pPr>
              <w:spacing w:after="0"/>
              <w:rPr>
                <w:sz w:val="18"/>
                <w:szCs w:val="18"/>
                <w:color w:val="auto"/>
              </w:rPr>
            </w:pPr>
          </w:p>
        </w:tc>
        <w:tc>
          <w:tcPr>
            <w:tcW w:w="1680" w:type="dxa"/>
            <w:vAlign w:val="bottom"/>
            <w:tcBorders>
              <w:bottom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560" w:type="dxa"/>
            <w:vAlign w:val="bottom"/>
            <w:tcBorders>
              <w:bottom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560" w:type="dxa"/>
            <w:vAlign w:val="bottom"/>
            <w:tcBorders>
              <w:bottom w:val="single" w:sz="8" w:color="auto"/>
            </w:tcBorders>
            <w:shd w:val="clear" w:color="auto" w:fill="DDDDDD"/>
          </w:tcPr>
          <w:p>
            <w:pPr>
              <w:spacing w:after="0"/>
              <w:rPr>
                <w:sz w:val="18"/>
                <w:szCs w:val="18"/>
                <w:color w:val="auto"/>
              </w:rPr>
            </w:pPr>
          </w:p>
        </w:tc>
      </w:tr>
      <w:tr>
        <w:trPr>
          <w:trHeight w:val="218"/>
        </w:trPr>
        <w:tc>
          <w:tcPr>
            <w:tcW w:w="4220" w:type="dxa"/>
            <w:vAlign w:val="bottom"/>
          </w:tcPr>
          <w:p>
            <w:pPr>
              <w:ind w:left="20"/>
              <w:spacing w:after="0"/>
              <w:rPr>
                <w:sz w:val="20"/>
                <w:szCs w:val="20"/>
                <w:color w:val="auto"/>
              </w:rPr>
            </w:pPr>
            <w:r>
              <w:rPr>
                <w:rFonts w:ascii="Arial" w:cs="Arial" w:eastAsia="Arial" w:hAnsi="Arial"/>
                <w:sz w:val="15"/>
                <w:szCs w:val="15"/>
                <w:color w:val="auto"/>
              </w:rPr>
              <w:t>Fully vested and exercisable at end of period</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Pr>
          <w:p>
            <w:pPr>
              <w:spacing w:after="0"/>
              <w:rPr>
                <w:sz w:val="18"/>
                <w:szCs w:val="18"/>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28,685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w:t>
            </w:r>
          </w:p>
        </w:tc>
      </w:tr>
      <w:tr>
        <w:trPr>
          <w:trHeight w:val="26"/>
        </w:trPr>
        <w:tc>
          <w:tcPr>
            <w:tcW w:w="4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nine months ended September 30,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shd w:val="clear" w:color="auto" w:fill="1D2758"/>
          </w:tcPr>
          <w:p>
            <w:pPr>
              <w:spacing w:after="0"/>
              <w:rPr>
                <w:sz w:val="16"/>
                <w:szCs w:val="16"/>
                <w:color w:val="auto"/>
              </w:rPr>
            </w:pPr>
          </w:p>
        </w:tc>
        <w:tc>
          <w:tcPr>
            <w:tcW w:w="16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r>
      <w:tr>
        <w:trPr>
          <w:trHeight w:val="180"/>
        </w:trPr>
        <w:tc>
          <w:tcPr>
            <w:tcW w:w="4220" w:type="dxa"/>
            <w:vAlign w:val="bottom"/>
            <w:shd w:val="clear" w:color="auto" w:fill="1D2758"/>
          </w:tcPr>
          <w:p>
            <w:pPr>
              <w:spacing w:after="0"/>
              <w:rPr>
                <w:sz w:val="15"/>
                <w:szCs w:val="15"/>
                <w:color w:val="auto"/>
              </w:rPr>
            </w:pPr>
          </w:p>
        </w:tc>
        <w:tc>
          <w:tcPr>
            <w:tcW w:w="16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shd w:val="clear" w:color="auto" w:fill="1D2758"/>
          </w:tcPr>
          <w:p>
            <w:pPr>
              <w:jc w:val="right"/>
              <w:ind w:right="100"/>
              <w:spacing w:after="0"/>
              <w:rPr>
                <w:sz w:val="20"/>
                <w:szCs w:val="20"/>
                <w:color w:val="auto"/>
              </w:rPr>
            </w:pPr>
            <w:r>
              <w:rPr>
                <w:rFonts w:ascii="Arial" w:cs="Arial" w:eastAsia="Arial" w:hAnsi="Arial"/>
                <w:sz w:val="15"/>
                <w:szCs w:val="15"/>
                <w:b w:val="1"/>
                <w:bCs w:val="1"/>
                <w:color w:val="FFFFFF"/>
              </w:rPr>
              <w:t>Converted Mobile Mini</w:t>
            </w:r>
          </w:p>
        </w:tc>
        <w:tc>
          <w:tcPr>
            <w:tcW w:w="1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Exercise Price per</w:t>
            </w:r>
          </w:p>
        </w:tc>
      </w:tr>
      <w:tr>
        <w:trPr>
          <w:trHeight w:val="233"/>
        </w:trPr>
        <w:tc>
          <w:tcPr>
            <w:tcW w:w="4220" w:type="dxa"/>
            <w:vAlign w:val="bottom"/>
            <w:shd w:val="clear" w:color="auto" w:fill="1D2758"/>
          </w:tcPr>
          <w:p>
            <w:pPr>
              <w:spacing w:after="0"/>
              <w:rPr>
                <w:sz w:val="20"/>
                <w:szCs w:val="20"/>
                <w:color w:val="auto"/>
              </w:rPr>
            </w:pPr>
          </w:p>
        </w:tc>
        <w:tc>
          <w:tcPr>
            <w:tcW w:w="1760" w:type="dxa"/>
            <w:vAlign w:val="bottom"/>
            <w:gridSpan w:val="2"/>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20"/>
                <w:szCs w:val="20"/>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ind w:left="560"/>
              <w:spacing w:after="0"/>
              <w:rPr>
                <w:sz w:val="20"/>
                <w:szCs w:val="20"/>
                <w:color w:val="auto"/>
              </w:rPr>
            </w:pPr>
            <w:r>
              <w:rPr>
                <w:rFonts w:ascii="Arial" w:cs="Arial" w:eastAsia="Arial" w:hAnsi="Arial"/>
                <w:sz w:val="15"/>
                <w:szCs w:val="15"/>
                <w:b w:val="1"/>
                <w:bCs w:val="1"/>
                <w:color w:val="FFFFFF"/>
              </w:rPr>
              <w:t>Options</w:t>
            </w:r>
          </w:p>
        </w:tc>
        <w:tc>
          <w:tcPr>
            <w:tcW w:w="140" w:type="dxa"/>
            <w:vAlign w:val="bottom"/>
            <w:shd w:val="clear" w:color="auto" w:fill="1D2758"/>
          </w:tcPr>
          <w:p>
            <w:pPr>
              <w:spacing w:after="0"/>
              <w:rPr>
                <w:sz w:val="20"/>
                <w:szCs w:val="20"/>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829,246</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12.86</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(7,093)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17.04</w:t>
            </w:r>
          </w:p>
        </w:tc>
      </w:tr>
      <w:tr>
        <w:trPr>
          <w:trHeight w:val="250"/>
        </w:trPr>
        <w:tc>
          <w:tcPr>
            <w:tcW w:w="42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70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822,153</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12.82</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r>
      <w:tr>
        <w:trPr>
          <w:trHeight w:val="198"/>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24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822,153</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12.82</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At September 30, 2025, the intrinsic value of stock options outstanding was $3.7 million, and the intrinsic value of stock options fully vested and exercisable was $4.2 million. At September 30, 2025, the weighted-average remaining contractual term of options fully vested and exercisable was 2.5 years for WillScot options and 2.3 years for converted Mobile Mini options. The weighted-average remaining contractual term of all outstanding Willscot options was 5.5 years. The total pre-tax intrinsic value of stock options exercised during the nine months ended September 30, 2025 and 2024 was $11.8 million and $0.2 million, respectively.</w:t>
      </w:r>
    </w:p>
    <w:p>
      <w:pPr>
        <w:spacing w:after="0" w:line="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Compensation expense for stock options recognized in SG&amp;A expense was $0.5 million for both the three and nine months ended September 30, 2025. At September 30, 2025, unrecognized compensation cost related to stock options totaled $2.2 million and was expected to be recognized over the remaining weighted average vesting period of 2.4 years.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jc w:val="both"/>
        <w:ind w:firstLine="619"/>
        <w:spacing w:after="0" w:line="294" w:lineRule="auto"/>
        <w:rPr>
          <w:sz w:val="20"/>
          <w:szCs w:val="20"/>
          <w:color w:val="auto"/>
        </w:rPr>
      </w:pPr>
      <w:r>
        <w:rPr>
          <w:rFonts w:ascii="Arial" w:cs="Arial" w:eastAsia="Arial" w:hAnsi="Arial"/>
          <w:sz w:val="15"/>
          <w:szCs w:val="15"/>
          <w:color w:val="auto"/>
        </w:rPr>
        <w:t>The fair value of each stock option award granted during the nine months ended September 30, 2025 was estimated on the grant date using the Black-Scholes option-pricing model. The assumptions are listed in the table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40" w:type="dxa"/>
            <w:vAlign w:val="bottom"/>
            <w:shd w:val="clear" w:color="auto" w:fill="1D2758"/>
          </w:tcPr>
          <w:p>
            <w:pPr>
              <w:spacing w:after="0"/>
              <w:rPr>
                <w:sz w:val="20"/>
                <w:szCs w:val="20"/>
                <w:color w:val="auto"/>
              </w:rPr>
            </w:pPr>
          </w:p>
        </w:tc>
        <w:tc>
          <w:tcPr>
            <w:tcW w:w="3560" w:type="dxa"/>
            <w:vAlign w:val="bottom"/>
            <w:shd w:val="clear" w:color="auto" w:fill="1D2758"/>
          </w:tcPr>
          <w:p>
            <w:pPr>
              <w:spacing w:after="0"/>
              <w:rPr>
                <w:sz w:val="20"/>
                <w:szCs w:val="20"/>
                <w:color w:val="auto"/>
              </w:rPr>
            </w:pPr>
          </w:p>
        </w:tc>
        <w:tc>
          <w:tcPr>
            <w:tcW w:w="17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Assumptions</w:t>
            </w:r>
          </w:p>
        </w:tc>
      </w:tr>
      <w:tr>
        <w:trPr>
          <w:trHeight w:val="232"/>
        </w:trPr>
        <w:tc>
          <w:tcPr>
            <w:tcW w:w="5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Expected volatility</w:t>
            </w:r>
          </w:p>
        </w:tc>
        <w:tc>
          <w:tcPr>
            <w:tcW w:w="3560" w:type="dxa"/>
            <w:vAlign w:val="bottom"/>
            <w:shd w:val="clear" w:color="auto" w:fill="DBDBDB"/>
          </w:tcPr>
          <w:p>
            <w:pPr>
              <w:spacing w:after="0"/>
              <w:rPr>
                <w:sz w:val="20"/>
                <w:szCs w:val="20"/>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 - 46%</w:t>
            </w:r>
          </w:p>
        </w:tc>
      </w:tr>
      <w:tr>
        <w:trPr>
          <w:trHeight w:val="225"/>
        </w:trPr>
        <w:tc>
          <w:tcPr>
            <w:tcW w:w="5940" w:type="dxa"/>
            <w:vAlign w:val="bottom"/>
          </w:tcPr>
          <w:p>
            <w:pPr>
              <w:ind w:left="20"/>
              <w:spacing w:after="0"/>
              <w:rPr>
                <w:sz w:val="20"/>
                <w:szCs w:val="20"/>
                <w:color w:val="auto"/>
              </w:rPr>
            </w:pPr>
            <w:r>
              <w:rPr>
                <w:rFonts w:ascii="Arial" w:cs="Arial" w:eastAsia="Arial" w:hAnsi="Arial"/>
                <w:sz w:val="15"/>
                <w:szCs w:val="15"/>
                <w:color w:val="auto"/>
              </w:rPr>
              <w:t>Expected dividend</w:t>
            </w:r>
          </w:p>
        </w:tc>
        <w:tc>
          <w:tcPr>
            <w:tcW w:w="3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1.20 %</w:t>
            </w:r>
          </w:p>
        </w:tc>
      </w:tr>
      <w:tr>
        <w:trPr>
          <w:trHeight w:val="239"/>
        </w:trPr>
        <w:tc>
          <w:tcPr>
            <w:tcW w:w="5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Risk-free rate</w:t>
            </w:r>
          </w:p>
        </w:tc>
        <w:tc>
          <w:tcPr>
            <w:tcW w:w="3560" w:type="dxa"/>
            <w:vAlign w:val="bottom"/>
            <w:shd w:val="clear" w:color="auto" w:fill="DBDBDB"/>
          </w:tcPr>
          <w:p>
            <w:pPr>
              <w:spacing w:after="0"/>
              <w:rPr>
                <w:sz w:val="20"/>
                <w:szCs w:val="20"/>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3.69% - 3.76%</w:t>
            </w:r>
          </w:p>
        </w:tc>
      </w:tr>
      <w:tr>
        <w:trPr>
          <w:trHeight w:val="225"/>
        </w:trPr>
        <w:tc>
          <w:tcPr>
            <w:tcW w:w="5940" w:type="dxa"/>
            <w:vAlign w:val="bottom"/>
          </w:tcPr>
          <w:p>
            <w:pPr>
              <w:ind w:left="20"/>
              <w:spacing w:after="0"/>
              <w:rPr>
                <w:sz w:val="20"/>
                <w:szCs w:val="20"/>
                <w:color w:val="auto"/>
              </w:rPr>
            </w:pPr>
            <w:r>
              <w:rPr>
                <w:rFonts w:ascii="Arial" w:cs="Arial" w:eastAsia="Arial" w:hAnsi="Arial"/>
                <w:sz w:val="15"/>
                <w:szCs w:val="15"/>
                <w:color w:val="auto"/>
              </w:rPr>
              <w:t>Expected term (in years)</w:t>
            </w:r>
          </w:p>
        </w:tc>
        <w:tc>
          <w:tcPr>
            <w:tcW w:w="3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5.75 - 6.00</w:t>
            </w:r>
          </w:p>
        </w:tc>
      </w:tr>
      <w:tr>
        <w:trPr>
          <w:trHeight w:val="239"/>
        </w:trPr>
        <w:tc>
          <w:tcPr>
            <w:tcW w:w="5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Exercise price</w:t>
            </w:r>
          </w:p>
        </w:tc>
        <w:tc>
          <w:tcPr>
            <w:tcW w:w="356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7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23.39</w:t>
            </w:r>
          </w:p>
        </w:tc>
      </w:tr>
      <w:tr>
        <w:trPr>
          <w:trHeight w:val="218"/>
        </w:trPr>
        <w:tc>
          <w:tcPr>
            <w:tcW w:w="5940" w:type="dxa"/>
            <w:vAlign w:val="bottom"/>
          </w:tcPr>
          <w:p>
            <w:pPr>
              <w:ind w:left="20"/>
              <w:spacing w:after="0"/>
              <w:rPr>
                <w:sz w:val="20"/>
                <w:szCs w:val="20"/>
                <w:color w:val="auto"/>
              </w:rPr>
            </w:pPr>
            <w:r>
              <w:rPr>
                <w:rFonts w:ascii="Arial" w:cs="Arial" w:eastAsia="Arial" w:hAnsi="Arial"/>
                <w:sz w:val="15"/>
                <w:szCs w:val="15"/>
                <w:color w:val="auto"/>
              </w:rPr>
              <w:t>Weighted-average grant date fair value</w:t>
            </w:r>
          </w:p>
        </w:tc>
        <w:tc>
          <w:tcPr>
            <w:tcW w:w="35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123"/>
              <w:spacing w:after="0"/>
              <w:rPr>
                <w:sz w:val="20"/>
                <w:szCs w:val="20"/>
                <w:color w:val="auto"/>
              </w:rPr>
            </w:pPr>
            <w:r>
              <w:rPr>
                <w:rFonts w:ascii="Arial" w:cs="Arial" w:eastAsia="Arial" w:hAnsi="Arial"/>
                <w:sz w:val="15"/>
                <w:szCs w:val="15"/>
                <w:color w:val="auto"/>
              </w:rPr>
              <w:t>10.28</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1D2758"/>
        </w:rPr>
        <w:t>NOTE 14 - Commitments and Contingencies</w:t>
      </w:r>
    </w:p>
    <w:p>
      <w:pPr>
        <w:spacing w:after="0" w:line="75"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September 30, 2025, with respect to these outstanding matters, the Company believes that the amount or range of reasonably possible loss will not, either individually or in the aggregate, have a material adverse effect on the Company's consolidated financial position, results of operations, or cash flows. However, the outcome of such matters is inherently unpredictable and subject to significant uncertainties.</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1D2758"/>
        </w:rPr>
        <w:t>NOTE 15 - Segment Reporting</w:t>
      </w:r>
    </w:p>
    <w:p>
      <w:pPr>
        <w:spacing w:after="0" w:line="75"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 has one reportable segment. Refer to Note 3 for revenue by geographic area and revenue by major product and service lines. Refer to the Condensed Consolidated Balance Sheets for total assets. Refer to the Condensed Consolidated Statements of Cash Flows for total expenditures for additions to long-lived assets.</w:t>
      </w:r>
    </w:p>
    <w:p>
      <w:pPr>
        <w:jc w:val="both"/>
        <w:ind w:firstLine="619"/>
        <w:spacing w:after="0" w:line="267" w:lineRule="auto"/>
        <w:rPr>
          <w:sz w:val="20"/>
          <w:szCs w:val="20"/>
          <w:color w:val="auto"/>
        </w:rPr>
      </w:pPr>
      <w:r>
        <w:rPr>
          <w:rFonts w:ascii="Arial" w:cs="Arial" w:eastAsia="Arial" w:hAnsi="Arial"/>
          <w:sz w:val="15"/>
          <w:szCs w:val="15"/>
          <w:color w:val="auto"/>
        </w:rPr>
        <w:t>The Company defines EBITDA as net income (loss) plus interest (income) expense, income tax (benefit) expense, depreciation and amortization. The Company reflects further adjustments to EBITDA (“Adjusted EBITDA”) to exclude certain non-cash items and the effect of what the Company considers transactions or events not related to its core and ongoing business operations. The measure of profit or loss used by the Chief Operating Decision Maker ("CODM") to evaluate operating segment performance and allocate resources is Adjusted EBITDA. Management believes that evaluating operating segment performance excluding such items is meaningful because it provides insight with respect to the intrinsic and ongoing operating results of the Company. The Company considers Adjusted EBITDA to be an important metric because it reflects the business performance of the segment, inclusive of indirect costs.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ind w:left="620"/>
        <w:spacing w:after="0"/>
        <w:rPr>
          <w:sz w:val="20"/>
          <w:szCs w:val="20"/>
          <w:color w:val="auto"/>
        </w:rPr>
      </w:pPr>
      <w:r>
        <w:rPr>
          <w:rFonts w:ascii="Arial" w:cs="Arial" w:eastAsia="Arial" w:hAnsi="Arial"/>
          <w:sz w:val="15"/>
          <w:szCs w:val="15"/>
          <w:color w:val="auto"/>
        </w:rPr>
        <w:t>The following table sets forth certain information regarding significant expense categories for the three and nine months ended September 30, 2025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2024: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6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3040" w:type="dxa"/>
            <w:vAlign w:val="bottom"/>
            <w:gridSpan w:val="5"/>
            <w:shd w:val="clear" w:color="auto" w:fill="1D2758"/>
          </w:tcPr>
          <w:p>
            <w:pPr>
              <w:ind w:left="60"/>
              <w:spacing w:after="0"/>
              <w:rPr>
                <w:sz w:val="20"/>
                <w:szCs w:val="20"/>
                <w:color w:val="auto"/>
              </w:rPr>
            </w:pPr>
            <w:r>
              <w:rPr>
                <w:rFonts w:ascii="Arial" w:cs="Arial" w:eastAsia="Arial" w:hAnsi="Arial"/>
                <w:sz w:val="15"/>
                <w:szCs w:val="15"/>
                <w:b w:val="1"/>
                <w:bCs w:val="1"/>
                <w:color w:val="FFFFFF"/>
              </w:rPr>
              <w:t>Three Months Ended September 30,</w:t>
            </w:r>
          </w:p>
        </w:tc>
        <w:tc>
          <w:tcPr>
            <w:tcW w:w="180" w:type="dxa"/>
            <w:vAlign w:val="bottom"/>
            <w:shd w:val="clear" w:color="auto" w:fill="1D2758"/>
          </w:tcPr>
          <w:p>
            <w:pPr>
              <w:spacing w:after="0"/>
              <w:rPr>
                <w:sz w:val="20"/>
                <w:szCs w:val="20"/>
                <w:color w:val="auto"/>
              </w:rPr>
            </w:pPr>
          </w:p>
        </w:tc>
        <w:tc>
          <w:tcPr>
            <w:tcW w:w="2900" w:type="dxa"/>
            <w:vAlign w:val="bottom"/>
            <w:gridSpan w:val="4"/>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Nine Months Ended September 30,</w:t>
            </w:r>
          </w:p>
        </w:tc>
      </w:tr>
      <w:tr>
        <w:trPr>
          <w:trHeight w:val="232"/>
        </w:trPr>
        <w:tc>
          <w:tcPr>
            <w:tcW w:w="49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340" w:type="dxa"/>
            <w:vAlign w:val="bottom"/>
            <w:shd w:val="clear" w:color="auto" w:fill="1D2758"/>
          </w:tcPr>
          <w:p>
            <w:pPr>
              <w:spacing w:after="0"/>
              <w:rPr>
                <w:sz w:val="20"/>
                <w:szCs w:val="20"/>
                <w:color w:val="auto"/>
              </w:rPr>
            </w:pPr>
          </w:p>
        </w:tc>
        <w:tc>
          <w:tcPr>
            <w:tcW w:w="116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2024</w:t>
            </w:r>
          </w:p>
        </w:tc>
        <w:tc>
          <w:tcPr>
            <w:tcW w:w="140" w:type="dxa"/>
            <w:vAlign w:val="bottom"/>
            <w:shd w:val="clear" w:color="auto" w:fill="1D2758"/>
          </w:tcPr>
          <w:p>
            <w:pPr>
              <w:spacing w:after="0"/>
              <w:rPr>
                <w:sz w:val="20"/>
                <w:szCs w:val="20"/>
                <w:color w:val="auto"/>
              </w:rPr>
            </w:pPr>
          </w:p>
        </w:tc>
        <w:tc>
          <w:tcPr>
            <w:tcW w:w="18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340" w:type="dxa"/>
            <w:vAlign w:val="bottom"/>
            <w:shd w:val="clear" w:color="auto" w:fill="1D2758"/>
          </w:tcPr>
          <w:p>
            <w:pPr>
              <w:spacing w:after="0"/>
              <w:rPr>
                <w:sz w:val="20"/>
                <w:szCs w:val="20"/>
                <w:color w:val="auto"/>
              </w:rPr>
            </w:pPr>
          </w:p>
        </w:tc>
        <w:tc>
          <w:tcPr>
            <w:tcW w:w="116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spacing w:after="0"/>
              <w:rPr>
                <w:sz w:val="20"/>
                <w:szCs w:val="20"/>
                <w:color w:val="auto"/>
              </w:rPr>
            </w:pPr>
          </w:p>
        </w:tc>
      </w:tr>
      <w:tr>
        <w:trPr>
          <w:trHeight w:val="225"/>
        </w:trPr>
        <w:tc>
          <w:tcPr>
            <w:tcW w:w="496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Unit leasing and other rental-related</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334,007</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355,402</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1,014,943</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1,078,169</w:t>
            </w:r>
          </w:p>
        </w:tc>
      </w:tr>
      <w:tr>
        <w:trPr>
          <w:trHeight w:val="225"/>
        </w:trPr>
        <w:tc>
          <w:tcPr>
            <w:tcW w:w="4960" w:type="dxa"/>
            <w:vAlign w:val="bottom"/>
          </w:tcPr>
          <w:p>
            <w:pPr>
              <w:ind w:left="220"/>
              <w:spacing w:after="0"/>
              <w:rPr>
                <w:sz w:val="20"/>
                <w:szCs w:val="20"/>
                <w:color w:val="auto"/>
              </w:rPr>
            </w:pPr>
            <w:r>
              <w:rPr>
                <w:rFonts w:ascii="Arial" w:cs="Arial" w:eastAsia="Arial" w:hAnsi="Arial"/>
                <w:sz w:val="15"/>
                <w:szCs w:val="15"/>
                <w:color w:val="auto"/>
              </w:rPr>
              <w:t>VAPS and third party leasing</w:t>
            </w:r>
          </w:p>
        </w:tc>
        <w:tc>
          <w:tcPr>
            <w:tcW w:w="16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100,217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100,176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296,587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296,602</w:t>
            </w:r>
          </w:p>
        </w:tc>
      </w:tr>
      <w:tr>
        <w:trPr>
          <w:trHeight w:val="23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revenue</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53,009</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56,985</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157,428</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173,394</w:t>
            </w:r>
          </w:p>
        </w:tc>
      </w:tr>
      <w:tr>
        <w:trPr>
          <w:trHeight w:val="225"/>
        </w:trPr>
        <w:tc>
          <w:tcPr>
            <w:tcW w:w="4960" w:type="dxa"/>
            <w:vAlign w:val="bottom"/>
          </w:tcPr>
          <w:p>
            <w:pPr>
              <w:ind w:left="220"/>
              <w:spacing w:after="0"/>
              <w:rPr>
                <w:sz w:val="20"/>
                <w:szCs w:val="20"/>
                <w:color w:val="auto"/>
              </w:rPr>
            </w:pPr>
            <w:r>
              <w:rPr>
                <w:rFonts w:ascii="Arial" w:cs="Arial" w:eastAsia="Arial" w:hAnsi="Arial"/>
                <w:sz w:val="15"/>
                <w:szCs w:val="15"/>
                <w:color w:val="auto"/>
              </w:rPr>
              <w:t>Installation revenue</w:t>
            </w:r>
          </w:p>
        </w:tc>
        <w:tc>
          <w:tcPr>
            <w:tcW w:w="16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45,508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57,780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138,202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149,880</w:t>
            </w:r>
          </w:p>
        </w:tc>
      </w:tr>
      <w:tr>
        <w:trPr>
          <w:trHeight w:val="239"/>
        </w:trPr>
        <w:tc>
          <w:tcPr>
            <w:tcW w:w="4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spacing w:after="0"/>
              <w:rPr>
                <w:sz w:val="20"/>
                <w:szCs w:val="20"/>
                <w:color w:val="auto"/>
              </w:rPr>
            </w:pPr>
          </w:p>
        </w:tc>
      </w:tr>
      <w:tr>
        <w:trPr>
          <w:trHeight w:val="225"/>
        </w:trPr>
        <w:tc>
          <w:tcPr>
            <w:tcW w:w="496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6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18,370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17,850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62,427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52,727</w:t>
            </w:r>
          </w:p>
        </w:tc>
      </w:tr>
      <w:tr>
        <w:trPr>
          <w:trHeight w:val="23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60" w:type="dxa"/>
            <w:vAlign w:val="bottom"/>
            <w:tcBorders>
              <w:bottom w:val="single" w:sz="8" w:color="auto"/>
            </w:tcBorders>
            <w:shd w:val="clear" w:color="auto" w:fill="DBDBDB"/>
          </w:tcPr>
          <w:p>
            <w:pPr>
              <w:spacing w:after="0"/>
              <w:rPr>
                <w:sz w:val="20"/>
                <w:szCs w:val="20"/>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15,730</w:t>
            </w:r>
          </w:p>
        </w:tc>
        <w:tc>
          <w:tcPr>
            <w:tcW w:w="80" w:type="dxa"/>
            <w:vAlign w:val="bottom"/>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13,239</w:t>
            </w:r>
          </w:p>
        </w:tc>
        <w:tc>
          <w:tcPr>
            <w:tcW w:w="14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45,888</w:t>
            </w:r>
          </w:p>
        </w:tc>
        <w:tc>
          <w:tcPr>
            <w:tcW w:w="80" w:type="dxa"/>
            <w:vAlign w:val="bottom"/>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42,431</w:t>
            </w:r>
          </w:p>
        </w:tc>
      </w:tr>
      <w:tr>
        <w:trPr>
          <w:trHeight w:val="218"/>
        </w:trPr>
        <w:tc>
          <w:tcPr>
            <w:tcW w:w="496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6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566,841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601,432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1,715,475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1,793,203</w:t>
            </w:r>
          </w:p>
        </w:tc>
      </w:tr>
      <w:tr>
        <w:trPr>
          <w:trHeight w:val="97"/>
        </w:trPr>
        <w:tc>
          <w:tcPr>
            <w:tcW w:w="496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3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160" w:type="dxa"/>
            <w:vAlign w:val="bottom"/>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180" w:type="dxa"/>
            <w:vAlign w:val="bottom"/>
            <w:shd w:val="clear" w:color="auto" w:fill="DBDBDB"/>
          </w:tcPr>
          <w:p>
            <w:pPr>
              <w:spacing w:after="0"/>
              <w:rPr>
                <w:sz w:val="8"/>
                <w:szCs w:val="8"/>
                <w:color w:val="auto"/>
              </w:rPr>
            </w:pPr>
          </w:p>
        </w:tc>
        <w:tc>
          <w:tcPr>
            <w:tcW w:w="13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160" w:type="dxa"/>
            <w:vAlign w:val="bottom"/>
            <w:shd w:val="clear" w:color="auto" w:fill="DBDBDB"/>
          </w:tcPr>
          <w:p>
            <w:pPr>
              <w:spacing w:after="0"/>
              <w:rPr>
                <w:sz w:val="8"/>
                <w:szCs w:val="8"/>
                <w:color w:val="auto"/>
              </w:rPr>
            </w:pPr>
          </w:p>
        </w:tc>
      </w:tr>
      <w:tr>
        <w:trPr>
          <w:trHeight w:val="232"/>
        </w:trPr>
        <w:tc>
          <w:tcPr>
            <w:tcW w:w="4960" w:type="dxa"/>
            <w:vAlign w:val="bottom"/>
          </w:tcPr>
          <w:p>
            <w:pPr>
              <w:ind w:left="20"/>
              <w:spacing w:after="0"/>
              <w:rPr>
                <w:sz w:val="20"/>
                <w:szCs w:val="20"/>
                <w:color w:val="auto"/>
              </w:rPr>
            </w:pPr>
            <w:r>
              <w:rPr>
                <w:rFonts w:ascii="Arial" w:cs="Arial" w:eastAsia="Arial" w:hAnsi="Arial"/>
                <w:sz w:val="15"/>
                <w:szCs w:val="15"/>
                <w:color w:val="auto"/>
              </w:rPr>
              <w:t>Less:</w:t>
            </w:r>
            <w:r>
              <w:rPr>
                <w:rFonts w:ascii="Arial" w:cs="Arial" w:eastAsia="Arial" w:hAnsi="Arial"/>
                <w:sz w:val="20"/>
                <w:szCs w:val="20"/>
                <w:color w:val="auto"/>
                <w:vertAlign w:val="superscript"/>
              </w:rPr>
              <w:t>(a)</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2"/>
        </w:trPr>
        <w:tc>
          <w:tcPr>
            <w:tcW w:w="4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 of leasing and services:</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spacing w:after="0"/>
              <w:rPr>
                <w:sz w:val="20"/>
                <w:szCs w:val="20"/>
                <w:color w:val="auto"/>
              </w:rPr>
            </w:pPr>
          </w:p>
        </w:tc>
      </w:tr>
      <w:tr>
        <w:trPr>
          <w:trHeight w:val="225"/>
        </w:trPr>
        <w:tc>
          <w:tcPr>
            <w:tcW w:w="4960" w:type="dxa"/>
            <w:vAlign w:val="bottom"/>
          </w:tcPr>
          <w:p>
            <w:pPr>
              <w:ind w:left="220"/>
              <w:spacing w:after="0"/>
              <w:rPr>
                <w:sz w:val="20"/>
                <w:szCs w:val="20"/>
                <w:color w:val="auto"/>
              </w:rPr>
            </w:pPr>
            <w:r>
              <w:rPr>
                <w:rFonts w:ascii="Arial" w:cs="Arial" w:eastAsia="Arial" w:hAnsi="Arial"/>
                <w:sz w:val="15"/>
                <w:szCs w:val="15"/>
                <w:color w:val="auto"/>
              </w:rPr>
              <w:t>Unit leasing</w:t>
            </w:r>
          </w:p>
        </w:tc>
        <w:tc>
          <w:tcPr>
            <w:tcW w:w="16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78,444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78,328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227,285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245,586</w:t>
            </w:r>
          </w:p>
        </w:tc>
      </w:tr>
      <w:tr>
        <w:trPr>
          <w:trHeight w:val="23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VAPS and third party leasing</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19,107</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17,722</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53,674</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51,106</w:t>
            </w:r>
          </w:p>
        </w:tc>
      </w:tr>
      <w:tr>
        <w:trPr>
          <w:trHeight w:val="225"/>
        </w:trPr>
        <w:tc>
          <w:tcPr>
            <w:tcW w:w="4960" w:type="dxa"/>
            <w:vAlign w:val="bottom"/>
          </w:tcPr>
          <w:p>
            <w:pPr>
              <w:ind w:left="220"/>
              <w:spacing w:after="0"/>
              <w:rPr>
                <w:sz w:val="20"/>
                <w:szCs w:val="20"/>
                <w:color w:val="auto"/>
              </w:rPr>
            </w:pPr>
            <w:r>
              <w:rPr>
                <w:rFonts w:ascii="Arial" w:cs="Arial" w:eastAsia="Arial" w:hAnsi="Arial"/>
                <w:sz w:val="15"/>
                <w:szCs w:val="15"/>
                <w:color w:val="auto"/>
              </w:rPr>
              <w:t>Delivery</w:t>
            </w:r>
          </w:p>
        </w:tc>
        <w:tc>
          <w:tcPr>
            <w:tcW w:w="16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43,717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44,896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129,353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135,051</w:t>
            </w:r>
          </w:p>
        </w:tc>
      </w:tr>
      <w:tr>
        <w:trPr>
          <w:trHeight w:val="23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Installation</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38,341</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46,879</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114,655</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115,736</w:t>
            </w:r>
          </w:p>
        </w:tc>
      </w:tr>
      <w:tr>
        <w:trPr>
          <w:trHeight w:val="225"/>
        </w:trPr>
        <w:tc>
          <w:tcPr>
            <w:tcW w:w="4960" w:type="dxa"/>
            <w:vAlign w:val="bottom"/>
          </w:tcPr>
          <w:p>
            <w:pPr>
              <w:ind w:left="20"/>
              <w:spacing w:after="0"/>
              <w:rPr>
                <w:sz w:val="20"/>
                <w:szCs w:val="20"/>
                <w:color w:val="auto"/>
              </w:rPr>
            </w:pPr>
            <w:r>
              <w:rPr>
                <w:rFonts w:ascii="Arial" w:cs="Arial" w:eastAsia="Arial" w:hAnsi="Arial"/>
                <w:sz w:val="15"/>
                <w:szCs w:val="15"/>
                <w:color w:val="auto"/>
              </w:rPr>
              <w:t>Costs of sales: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13,806</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9,665</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42,556</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31,296</w:t>
            </w:r>
          </w:p>
        </w:tc>
      </w:tr>
      <w:tr>
        <w:trPr>
          <w:trHeight w:val="225"/>
        </w:trPr>
        <w:tc>
          <w:tcPr>
            <w:tcW w:w="496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6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8,174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6,246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23,868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22,207</w:t>
            </w:r>
          </w:p>
        </w:tc>
      </w:tr>
      <w:tr>
        <w:trPr>
          <w:trHeight w:val="239"/>
        </w:trPr>
        <w:tc>
          <w:tcPr>
            <w:tcW w:w="4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Employee SG&amp;A expense</w:t>
            </w:r>
            <w:r>
              <w:rPr>
                <w:rFonts w:ascii="Arial" w:cs="Arial" w:eastAsia="Arial" w:hAnsi="Arial"/>
                <w:sz w:val="20"/>
                <w:szCs w:val="20"/>
                <w:color w:val="auto"/>
                <w:vertAlign w:val="superscript"/>
              </w:rPr>
              <w:t>(b)</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67,279</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53,547</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203,015</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191,417</w:t>
            </w:r>
          </w:p>
        </w:tc>
      </w:tr>
      <w:tr>
        <w:trPr>
          <w:trHeight w:val="232"/>
        </w:trPr>
        <w:tc>
          <w:tcPr>
            <w:tcW w:w="49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Other segment items</w:t>
            </w:r>
            <w:r>
              <w:rPr>
                <w:rFonts w:ascii="Arial" w:cs="Arial" w:eastAsia="Arial" w:hAnsi="Arial"/>
                <w:sz w:val="20"/>
                <w:szCs w:val="20"/>
                <w:color w:val="auto"/>
                <w:vertAlign w:val="superscript"/>
              </w:rPr>
              <w:t>(c)</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54,666</w:t>
            </w:r>
          </w:p>
        </w:tc>
        <w:tc>
          <w:tcPr>
            <w:tcW w:w="8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77,286</w:t>
            </w:r>
          </w:p>
        </w:tc>
        <w:tc>
          <w:tcPr>
            <w:tcW w:w="14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200,064</w:t>
            </w:r>
          </w:p>
        </w:tc>
        <w:tc>
          <w:tcPr>
            <w:tcW w:w="8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222,356</w:t>
            </w:r>
          </w:p>
        </w:tc>
      </w:tr>
      <w:tr>
        <w:trPr>
          <w:trHeight w:val="250"/>
        </w:trPr>
        <w:tc>
          <w:tcPr>
            <w:tcW w:w="4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243,307</w:t>
            </w:r>
          </w:p>
        </w:tc>
        <w:tc>
          <w:tcPr>
            <w:tcW w:w="8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266,863</w:t>
            </w:r>
          </w:p>
        </w:tc>
        <w:tc>
          <w:tcPr>
            <w:tcW w:w="14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721,005</w:t>
            </w:r>
          </w:p>
        </w:tc>
        <w:tc>
          <w:tcPr>
            <w:tcW w:w="8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778,448</w:t>
            </w:r>
          </w:p>
        </w:tc>
      </w:tr>
      <w:tr>
        <w:trPr>
          <w:trHeight w:val="20"/>
        </w:trPr>
        <w:tc>
          <w:tcPr>
            <w:tcW w:w="49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0" w:hanging="197"/>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significant expense categories and amounts align with the segment-level information that is regularly provided to the CODM.</w:t>
      </w:r>
    </w:p>
    <w:p>
      <w:pPr>
        <w:spacing w:after="0" w:line="18" w:lineRule="exact"/>
        <w:rPr>
          <w:rFonts w:ascii="Arial" w:cs="Arial" w:eastAsia="Arial" w:hAnsi="Arial"/>
          <w:sz w:val="14"/>
          <w:szCs w:val="14"/>
          <w:color w:val="auto"/>
        </w:rPr>
      </w:pPr>
    </w:p>
    <w:p>
      <w:pPr>
        <w:ind w:left="200" w:hanging="197"/>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Employee SG&amp;A expense consists of salaries and wages, bonuses, commissions, payroll taxes, and employee benefits.</w:t>
      </w:r>
    </w:p>
    <w:p>
      <w:pPr>
        <w:spacing w:after="0" w:line="6" w:lineRule="exact"/>
        <w:rPr>
          <w:rFonts w:ascii="Arial" w:cs="Arial" w:eastAsia="Arial" w:hAnsi="Arial"/>
          <w:sz w:val="14"/>
          <w:szCs w:val="14"/>
          <w:color w:val="auto"/>
        </w:rPr>
      </w:pPr>
    </w:p>
    <w:p>
      <w:pPr>
        <w:ind w:firstLine="3"/>
        <w:spacing w:after="0" w:line="260" w:lineRule="auto"/>
        <w:tabs>
          <w:tab w:leader="none" w:pos="198"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segment items consist of service agreements, professional fees, real estate and occupancy costs, travel, provision for credit losses, marketing and advertising, taxes, and other miscellaneous expenses.</w:t>
      </w:r>
    </w:p>
    <w:p>
      <w:pPr>
        <w:spacing w:after="0" w:line="73"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The following table presents reconciliations of the Company’s net income (loss) to Adjusted EBITDA for the three and nine months ended September 30, 2025 and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6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3040" w:type="dxa"/>
            <w:vAlign w:val="bottom"/>
            <w:gridSpan w:val="5"/>
            <w:shd w:val="clear" w:color="auto" w:fill="1D2758"/>
          </w:tcPr>
          <w:p>
            <w:pPr>
              <w:ind w:left="60"/>
              <w:spacing w:after="0"/>
              <w:rPr>
                <w:sz w:val="20"/>
                <w:szCs w:val="20"/>
                <w:color w:val="auto"/>
              </w:rPr>
            </w:pPr>
            <w:r>
              <w:rPr>
                <w:rFonts w:ascii="Arial" w:cs="Arial" w:eastAsia="Arial" w:hAnsi="Arial"/>
                <w:sz w:val="15"/>
                <w:szCs w:val="15"/>
                <w:b w:val="1"/>
                <w:bCs w:val="1"/>
                <w:color w:val="FFFFFF"/>
              </w:rPr>
              <w:t>Three Months Ended September 30,</w:t>
            </w:r>
          </w:p>
        </w:tc>
        <w:tc>
          <w:tcPr>
            <w:tcW w:w="180" w:type="dxa"/>
            <w:vAlign w:val="bottom"/>
            <w:shd w:val="clear" w:color="auto" w:fill="1D2758"/>
          </w:tcPr>
          <w:p>
            <w:pPr>
              <w:spacing w:after="0"/>
              <w:rPr>
                <w:sz w:val="20"/>
                <w:szCs w:val="20"/>
                <w:color w:val="auto"/>
              </w:rPr>
            </w:pPr>
          </w:p>
        </w:tc>
        <w:tc>
          <w:tcPr>
            <w:tcW w:w="2900" w:type="dxa"/>
            <w:vAlign w:val="bottom"/>
            <w:gridSpan w:val="4"/>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Nine Months Ended September 30,</w:t>
            </w:r>
          </w:p>
        </w:tc>
      </w:tr>
      <w:tr>
        <w:trPr>
          <w:trHeight w:val="232"/>
        </w:trPr>
        <w:tc>
          <w:tcPr>
            <w:tcW w:w="49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340" w:type="dxa"/>
            <w:vAlign w:val="bottom"/>
            <w:shd w:val="clear" w:color="auto" w:fill="1D2758"/>
          </w:tcPr>
          <w:p>
            <w:pPr>
              <w:spacing w:after="0"/>
              <w:rPr>
                <w:sz w:val="20"/>
                <w:szCs w:val="20"/>
                <w:color w:val="auto"/>
              </w:rPr>
            </w:pPr>
          </w:p>
        </w:tc>
        <w:tc>
          <w:tcPr>
            <w:tcW w:w="116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2024</w:t>
            </w:r>
          </w:p>
        </w:tc>
        <w:tc>
          <w:tcPr>
            <w:tcW w:w="140" w:type="dxa"/>
            <w:vAlign w:val="bottom"/>
            <w:shd w:val="clear" w:color="auto" w:fill="1D2758"/>
          </w:tcPr>
          <w:p>
            <w:pPr>
              <w:spacing w:after="0"/>
              <w:rPr>
                <w:sz w:val="20"/>
                <w:szCs w:val="20"/>
                <w:color w:val="auto"/>
              </w:rPr>
            </w:pPr>
          </w:p>
        </w:tc>
        <w:tc>
          <w:tcPr>
            <w:tcW w:w="18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340" w:type="dxa"/>
            <w:vAlign w:val="bottom"/>
            <w:shd w:val="clear" w:color="auto" w:fill="1D2758"/>
          </w:tcPr>
          <w:p>
            <w:pPr>
              <w:spacing w:after="0"/>
              <w:rPr>
                <w:sz w:val="20"/>
                <w:szCs w:val="20"/>
                <w:color w:val="auto"/>
              </w:rPr>
            </w:pPr>
          </w:p>
        </w:tc>
        <w:tc>
          <w:tcPr>
            <w:tcW w:w="116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(loss)</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43,332</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(70,475)</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134,326</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(61,086)</w:t>
            </w:r>
          </w:p>
        </w:tc>
      </w:tr>
      <w:tr>
        <w:trPr>
          <w:trHeight w:val="225"/>
        </w:trPr>
        <w:tc>
          <w:tcPr>
            <w:tcW w:w="4960" w:type="dxa"/>
            <w:vAlign w:val="bottom"/>
          </w:tcPr>
          <w:p>
            <w:pPr>
              <w:ind w:left="220"/>
              <w:spacing w:after="0"/>
              <w:rPr>
                <w:sz w:val="20"/>
                <w:szCs w:val="20"/>
                <w:color w:val="auto"/>
              </w:rPr>
            </w:pPr>
            <w:r>
              <w:rPr>
                <w:rFonts w:ascii="Arial" w:cs="Arial" w:eastAsia="Arial" w:hAnsi="Arial"/>
                <w:sz w:val="15"/>
                <w:szCs w:val="15"/>
                <w:color w:val="auto"/>
              </w:rPr>
              <w:t>Income tax expense (benefit)</w:t>
            </w:r>
          </w:p>
        </w:tc>
        <w:tc>
          <w:tcPr>
            <w:tcW w:w="16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17,008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(20,566)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54,902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(17,377)</w:t>
            </w:r>
          </w:p>
        </w:tc>
      </w:tr>
      <w:tr>
        <w:trPr>
          <w:trHeight w:val="23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58,466</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55,823</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175,912</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167,959</w:t>
            </w:r>
          </w:p>
        </w:tc>
      </w:tr>
      <w:tr>
        <w:trPr>
          <w:trHeight w:val="225"/>
        </w:trPr>
        <w:tc>
          <w:tcPr>
            <w:tcW w:w="49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16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108,058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99,320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317,782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285,894</w:t>
            </w:r>
          </w:p>
        </w:tc>
      </w:tr>
      <w:tr>
        <w:trPr>
          <w:trHeight w:val="23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(gains), net</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100</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244</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w:t>
            </w:r>
          </w:p>
        </w:tc>
      </w:tr>
      <w:tr>
        <w:trPr>
          <w:trHeight w:val="207"/>
        </w:trPr>
        <w:tc>
          <w:tcPr>
            <w:tcW w:w="496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1"/>
        </w:trPr>
        <w:tc>
          <w:tcPr>
            <w:tcW w:w="4960" w:type="dxa"/>
            <w:vAlign w:val="bottom"/>
          </w:tcPr>
          <w:p>
            <w:pPr>
              <w:ind w:left="220"/>
              <w:spacing w:after="0"/>
              <w:rPr>
                <w:sz w:val="20"/>
                <w:szCs w:val="20"/>
                <w:color w:val="auto"/>
              </w:rPr>
            </w:pPr>
            <w:r>
              <w:rPr>
                <w:rFonts w:ascii="Arial" w:cs="Arial" w:eastAsia="Arial" w:hAnsi="Arial"/>
                <w:sz w:val="15"/>
                <w:szCs w:val="15"/>
                <w:color w:val="auto"/>
              </w:rPr>
              <w:t>charges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2,478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9,407</w:t>
            </w:r>
          </w:p>
        </w:tc>
      </w:tr>
      <w:tr>
        <w:trPr>
          <w:trHeight w:val="23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Termination fee</w:t>
            </w:r>
          </w:p>
        </w:tc>
        <w:tc>
          <w:tcPr>
            <w:tcW w:w="160" w:type="dxa"/>
            <w:vAlign w:val="bottom"/>
            <w:shd w:val="clear" w:color="auto" w:fill="DBDBDB"/>
          </w:tcPr>
          <w:p>
            <w:pPr>
              <w:spacing w:after="0"/>
              <w:rPr>
                <w:sz w:val="20"/>
                <w:szCs w:val="20"/>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40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r>
      <w:tr>
        <w:trPr>
          <w:trHeight w:val="225"/>
        </w:trPr>
        <w:tc>
          <w:tcPr>
            <w:tcW w:w="4960" w:type="dxa"/>
            <w:vAlign w:val="bottom"/>
          </w:tcPr>
          <w:p>
            <w:pPr>
              <w:ind w:left="220"/>
              <w:spacing w:after="0"/>
              <w:rPr>
                <w:sz w:val="20"/>
                <w:szCs w:val="20"/>
                <w:color w:val="auto"/>
              </w:rPr>
            </w:pPr>
            <w:r>
              <w:rPr>
                <w:rFonts w:ascii="Arial" w:cs="Arial" w:eastAsia="Arial" w:hAnsi="Arial"/>
                <w:sz w:val="15"/>
                <w:szCs w:val="15"/>
                <w:color w:val="auto"/>
              </w:rPr>
              <w:t>Impairment loss on intangible asset</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132,540</w:t>
            </w:r>
          </w:p>
        </w:tc>
      </w:tr>
      <w:tr>
        <w:trPr>
          <w:trHeight w:val="23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and transaction costs</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1,149</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1,692</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2,921</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7,675</w:t>
            </w:r>
          </w:p>
        </w:tc>
      </w:tr>
      <w:tr>
        <w:trPr>
          <w:trHeight w:val="225"/>
        </w:trPr>
        <w:tc>
          <w:tcPr>
            <w:tcW w:w="496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16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9,964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9,534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26,678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28,247</w:t>
            </w:r>
          </w:p>
        </w:tc>
      </w:tr>
      <w:tr>
        <w:trPr>
          <w:trHeight w:val="239"/>
        </w:trPr>
        <w:tc>
          <w:tcPr>
            <w:tcW w:w="4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(a)</w:t>
            </w:r>
          </w:p>
        </w:tc>
        <w:tc>
          <w:tcPr>
            <w:tcW w:w="160" w:type="dxa"/>
            <w:vAlign w:val="bottom"/>
            <w:tcBorders>
              <w:bottom w:val="single" w:sz="8" w:color="auto"/>
            </w:tcBorders>
            <w:shd w:val="clear" w:color="auto" w:fill="DBDBDB"/>
          </w:tcPr>
          <w:p>
            <w:pPr>
              <w:spacing w:after="0"/>
              <w:rPr>
                <w:sz w:val="20"/>
                <w:szCs w:val="20"/>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5,251</w:t>
            </w:r>
          </w:p>
        </w:tc>
        <w:tc>
          <w:tcPr>
            <w:tcW w:w="80" w:type="dxa"/>
            <w:vAlign w:val="bottom"/>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9,186</w:t>
            </w:r>
          </w:p>
        </w:tc>
        <w:tc>
          <w:tcPr>
            <w:tcW w:w="14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7,354</w:t>
            </w:r>
          </w:p>
        </w:tc>
        <w:tc>
          <w:tcPr>
            <w:tcW w:w="80" w:type="dxa"/>
            <w:vAlign w:val="bottom"/>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45,283</w:t>
            </w:r>
          </w:p>
        </w:tc>
      </w:tr>
      <w:tr>
        <w:trPr>
          <w:trHeight w:val="225"/>
        </w:trPr>
        <w:tc>
          <w:tcPr>
            <w:tcW w:w="496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243,307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266,863</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721,005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778,448</w:t>
            </w: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firstLine="3"/>
        <w:spacing w:after="0" w:line="278" w:lineRule="auto"/>
        <w:tabs>
          <w:tab w:leader="none" w:pos="231"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2024, respectively, Other included $8.8 million and $41.3 million of legal and professional fees related to a terminated transaction.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1D2758"/>
        </w:rPr>
        <w:t>NOTE 16 - Earnings (Loss) Per Share</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reconciles the weighted average shares outstanding for the basic earnings per share calculation to the weighted average shares outstanding for the diluted earnings per share calculation: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6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3040" w:type="dxa"/>
            <w:vAlign w:val="bottom"/>
            <w:gridSpan w:val="5"/>
            <w:shd w:val="clear" w:color="auto" w:fill="1D2758"/>
          </w:tcPr>
          <w:p>
            <w:pPr>
              <w:ind w:left="60"/>
              <w:spacing w:after="0"/>
              <w:rPr>
                <w:sz w:val="20"/>
                <w:szCs w:val="20"/>
                <w:color w:val="auto"/>
              </w:rPr>
            </w:pPr>
            <w:r>
              <w:rPr>
                <w:rFonts w:ascii="Arial" w:cs="Arial" w:eastAsia="Arial" w:hAnsi="Arial"/>
                <w:sz w:val="15"/>
                <w:szCs w:val="15"/>
                <w:b w:val="1"/>
                <w:bCs w:val="1"/>
                <w:color w:val="FFFFFF"/>
              </w:rPr>
              <w:t>Three Months Ended September 30,</w:t>
            </w:r>
          </w:p>
        </w:tc>
        <w:tc>
          <w:tcPr>
            <w:tcW w:w="180" w:type="dxa"/>
            <w:vAlign w:val="bottom"/>
            <w:shd w:val="clear" w:color="auto" w:fill="1D2758"/>
          </w:tcPr>
          <w:p>
            <w:pPr>
              <w:spacing w:after="0"/>
              <w:rPr>
                <w:sz w:val="20"/>
                <w:szCs w:val="20"/>
                <w:color w:val="auto"/>
              </w:rPr>
            </w:pPr>
          </w:p>
        </w:tc>
        <w:tc>
          <w:tcPr>
            <w:tcW w:w="2900" w:type="dxa"/>
            <w:vAlign w:val="bottom"/>
            <w:gridSpan w:val="4"/>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Nine Months Ended September 30,</w:t>
            </w:r>
          </w:p>
        </w:tc>
      </w:tr>
      <w:tr>
        <w:trPr>
          <w:trHeight w:val="232"/>
        </w:trPr>
        <w:tc>
          <w:tcPr>
            <w:tcW w:w="49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20"/>
                <w:szCs w:val="20"/>
                <w:color w:val="auto"/>
              </w:rPr>
            </w:pPr>
          </w:p>
        </w:tc>
        <w:tc>
          <w:tcPr>
            <w:tcW w:w="340" w:type="dxa"/>
            <w:vAlign w:val="bottom"/>
            <w:shd w:val="clear" w:color="auto" w:fill="1D2758"/>
          </w:tcPr>
          <w:p>
            <w:pPr>
              <w:spacing w:after="0"/>
              <w:rPr>
                <w:sz w:val="20"/>
                <w:szCs w:val="20"/>
                <w:color w:val="auto"/>
              </w:rPr>
            </w:pPr>
          </w:p>
        </w:tc>
        <w:tc>
          <w:tcPr>
            <w:tcW w:w="114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2024</w:t>
            </w:r>
          </w:p>
        </w:tc>
        <w:tc>
          <w:tcPr>
            <w:tcW w:w="140" w:type="dxa"/>
            <w:vAlign w:val="bottom"/>
            <w:shd w:val="clear" w:color="auto" w:fill="1D2758"/>
          </w:tcPr>
          <w:p>
            <w:pPr>
              <w:spacing w:after="0"/>
              <w:rPr>
                <w:sz w:val="20"/>
                <w:szCs w:val="20"/>
                <w:color w:val="auto"/>
              </w:rPr>
            </w:pPr>
          </w:p>
        </w:tc>
        <w:tc>
          <w:tcPr>
            <w:tcW w:w="18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340" w:type="dxa"/>
            <w:vAlign w:val="bottom"/>
            <w:shd w:val="clear" w:color="auto" w:fill="1D2758"/>
          </w:tcPr>
          <w:p>
            <w:pPr>
              <w:spacing w:after="0"/>
              <w:rPr>
                <w:sz w:val="20"/>
                <w:szCs w:val="20"/>
                <w:color w:val="auto"/>
              </w:rPr>
            </w:pPr>
          </w:p>
        </w:tc>
        <w:tc>
          <w:tcPr>
            <w:tcW w:w="116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spacing w:after="0"/>
              <w:rPr>
                <w:sz w:val="20"/>
                <w:szCs w:val="20"/>
                <w:color w:val="auto"/>
              </w:rPr>
            </w:pPr>
          </w:p>
        </w:tc>
      </w:tr>
      <w:tr>
        <w:trPr>
          <w:trHeight w:val="225"/>
        </w:trPr>
        <w:tc>
          <w:tcPr>
            <w:tcW w:w="496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43,332</w:t>
            </w:r>
          </w:p>
        </w:tc>
        <w:tc>
          <w:tcPr>
            <w:tcW w:w="100" w:type="dxa"/>
            <w:vAlign w:val="bottom"/>
          </w:tcPr>
          <w:p>
            <w:pPr>
              <w:spacing w:after="0"/>
              <w:rPr>
                <w:sz w:val="19"/>
                <w:szCs w:val="19"/>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(70,475)</w:t>
            </w:r>
          </w:p>
        </w:tc>
        <w:tc>
          <w:tcPr>
            <w:tcW w:w="14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134,326</w:t>
            </w:r>
          </w:p>
        </w:tc>
        <w:tc>
          <w:tcPr>
            <w:tcW w:w="80" w:type="dxa"/>
            <w:vAlign w:val="bottom"/>
          </w:tcPr>
          <w:p>
            <w:pPr>
              <w:spacing w:after="0"/>
              <w:rPr>
                <w:sz w:val="19"/>
                <w:szCs w:val="19"/>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(61,086)</w:t>
            </w:r>
          </w:p>
        </w:tc>
      </w:tr>
      <w:tr>
        <w:trPr>
          <w:trHeight w:val="265"/>
        </w:trPr>
        <w:tc>
          <w:tcPr>
            <w:tcW w:w="496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3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114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80" w:type="dxa"/>
            <w:vAlign w:val="bottom"/>
            <w:shd w:val="clear" w:color="auto" w:fill="DBDBDB"/>
          </w:tcPr>
          <w:p>
            <w:pPr>
              <w:spacing w:after="0"/>
              <w:rPr>
                <w:sz w:val="23"/>
                <w:szCs w:val="23"/>
                <w:color w:val="auto"/>
              </w:rPr>
            </w:pPr>
          </w:p>
        </w:tc>
        <w:tc>
          <w:tcPr>
            <w:tcW w:w="132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1160" w:type="dxa"/>
            <w:vAlign w:val="bottom"/>
            <w:shd w:val="clear" w:color="auto" w:fill="DBDBDB"/>
          </w:tcPr>
          <w:p>
            <w:pPr>
              <w:spacing w:after="0"/>
              <w:rPr>
                <w:sz w:val="23"/>
                <w:szCs w:val="23"/>
                <w:color w:val="auto"/>
              </w:rPr>
            </w:pPr>
          </w:p>
        </w:tc>
      </w:tr>
      <w:tr>
        <w:trPr>
          <w:trHeight w:val="225"/>
        </w:trPr>
        <w:tc>
          <w:tcPr>
            <w:tcW w:w="496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9"/>
        </w:trPr>
        <w:tc>
          <w:tcPr>
            <w:tcW w:w="4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182,004</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188,281</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182,711</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189,362</w:t>
            </w:r>
          </w:p>
        </w:tc>
      </w:tr>
      <w:tr>
        <w:trPr>
          <w:trHeight w:val="225"/>
        </w:trPr>
        <w:tc>
          <w:tcPr>
            <w:tcW w:w="4960" w:type="dxa"/>
            <w:vAlign w:val="bottom"/>
          </w:tcPr>
          <w:p>
            <w:pPr>
              <w:ind w:left="220"/>
              <w:spacing w:after="0"/>
              <w:rPr>
                <w:sz w:val="20"/>
                <w:szCs w:val="20"/>
                <w:color w:val="auto"/>
              </w:rPr>
            </w:pPr>
            <w:r>
              <w:rPr>
                <w:rFonts w:ascii="Arial" w:cs="Arial" w:eastAsia="Arial" w:hAnsi="Arial"/>
                <w:sz w:val="15"/>
                <w:szCs w:val="15"/>
                <w:color w:val="auto"/>
              </w:rPr>
              <w:t>Dilutive effect of outstanding securities: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9"/>
        </w:trPr>
        <w:tc>
          <w:tcPr>
            <w:tcW w:w="4960" w:type="dxa"/>
            <w:vAlign w:val="bottom"/>
            <w:shd w:val="clear" w:color="auto" w:fill="DBDBDB"/>
          </w:tcPr>
          <w:p>
            <w:pPr>
              <w:ind w:left="320"/>
              <w:spacing w:after="0"/>
              <w:rPr>
                <w:sz w:val="20"/>
                <w:szCs w:val="20"/>
                <w:color w:val="auto"/>
              </w:rPr>
            </w:pPr>
            <w:r>
              <w:rPr>
                <w:rFonts w:ascii="Arial" w:cs="Arial" w:eastAsia="Arial" w:hAnsi="Arial"/>
                <w:sz w:val="15"/>
                <w:szCs w:val="15"/>
                <w:color w:val="auto"/>
              </w:rPr>
              <w:t>RSAs</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80" w:type="dxa"/>
            <w:vAlign w:val="bottom"/>
            <w:gridSpan w:val="2"/>
            <w:shd w:val="clear" w:color="auto" w:fill="DBDBDB"/>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4960" w:type="dxa"/>
            <w:vAlign w:val="bottom"/>
          </w:tcPr>
          <w:p>
            <w:pPr>
              <w:ind w:left="320"/>
              <w:spacing w:after="0"/>
              <w:rPr>
                <w:sz w:val="20"/>
                <w:szCs w:val="20"/>
                <w:color w:val="auto"/>
              </w:rPr>
            </w:pPr>
            <w:r>
              <w:rPr>
                <w:rFonts w:ascii="Arial" w:cs="Arial" w:eastAsia="Arial" w:hAnsi="Arial"/>
                <w:sz w:val="15"/>
                <w:szCs w:val="15"/>
                <w:color w:val="auto"/>
              </w:rPr>
              <w:t>Time-based RSUs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9"/>
        </w:trPr>
        <w:tc>
          <w:tcPr>
            <w:tcW w:w="4960" w:type="dxa"/>
            <w:vAlign w:val="bottom"/>
            <w:shd w:val="clear" w:color="auto" w:fill="DBDBDB"/>
          </w:tcPr>
          <w:p>
            <w:pPr>
              <w:ind w:left="320"/>
              <w:spacing w:after="0"/>
              <w:rPr>
                <w:sz w:val="20"/>
                <w:szCs w:val="20"/>
                <w:color w:val="auto"/>
              </w:rPr>
            </w:pPr>
            <w:r>
              <w:rPr>
                <w:rFonts w:ascii="Arial" w:cs="Arial" w:eastAsia="Arial" w:hAnsi="Arial"/>
                <w:sz w:val="15"/>
                <w:szCs w:val="15"/>
                <w:color w:val="auto"/>
              </w:rPr>
              <w:t>Performance-based RSUs</w:t>
            </w:r>
          </w:p>
        </w:tc>
        <w:tc>
          <w:tcPr>
            <w:tcW w:w="16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443</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80" w:type="dxa"/>
            <w:vAlign w:val="bottom"/>
            <w:gridSpan w:val="2"/>
            <w:shd w:val="clear" w:color="auto" w:fill="DBDBDB"/>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519</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4960" w:type="dxa"/>
            <w:vAlign w:val="bottom"/>
          </w:tcPr>
          <w:p>
            <w:pPr>
              <w:ind w:left="320"/>
              <w:spacing w:after="0"/>
              <w:rPr>
                <w:sz w:val="20"/>
                <w:szCs w:val="20"/>
                <w:color w:val="auto"/>
              </w:rPr>
            </w:pPr>
            <w:r>
              <w:rPr>
                <w:rFonts w:ascii="Arial" w:cs="Arial" w:eastAsia="Arial" w:hAnsi="Arial"/>
                <w:sz w:val="15"/>
                <w:szCs w:val="15"/>
                <w:color w:val="auto"/>
              </w:rPr>
              <w:t>Stock options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7"/>
        </w:trPr>
        <w:tc>
          <w:tcPr>
            <w:tcW w:w="49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dilutive</w:t>
            </w:r>
          </w:p>
        </w:tc>
        <w:tc>
          <w:tcPr>
            <w:tcW w:w="160" w:type="dxa"/>
            <w:vAlign w:val="bottom"/>
            <w:tcBorders>
              <w:top w:val="single" w:sz="8" w:color="auto"/>
              <w:bottom w:val="single" w:sz="8" w:color="auto"/>
            </w:tcBorders>
            <w:shd w:val="clear" w:color="auto" w:fill="DBDBDB"/>
          </w:tcPr>
          <w:p>
            <w:pPr>
              <w:spacing w:after="0"/>
              <w:rPr>
                <w:sz w:val="21"/>
                <w:szCs w:val="21"/>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182,772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40" w:type="dxa"/>
            <w:vAlign w:val="bottom"/>
            <w:tcBorders>
              <w:top w:val="single" w:sz="8" w:color="auto"/>
              <w:bottom w:val="single" w:sz="8" w:color="auto"/>
            </w:tcBorders>
            <w:shd w:val="clear" w:color="auto" w:fill="DBDBDB"/>
          </w:tcPr>
          <w:p>
            <w:pPr>
              <w:spacing w:after="0"/>
              <w:rPr>
                <w:sz w:val="21"/>
                <w:szCs w:val="21"/>
                <w:color w:val="auto"/>
              </w:rPr>
            </w:pPr>
          </w:p>
        </w:tc>
        <w:tc>
          <w:tcPr>
            <w:tcW w:w="1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188,281</w:t>
            </w:r>
          </w:p>
        </w:tc>
        <w:tc>
          <w:tcPr>
            <w:tcW w:w="14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spacing w:after="0"/>
              <w:rPr>
                <w:sz w:val="21"/>
                <w:szCs w:val="21"/>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183,832</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40" w:type="dxa"/>
            <w:vAlign w:val="bottom"/>
            <w:tcBorders>
              <w:top w:val="single" w:sz="8" w:color="auto"/>
              <w:bottom w:val="single" w:sz="8" w:color="auto"/>
            </w:tcBorders>
            <w:shd w:val="clear" w:color="auto" w:fill="DBDBDB"/>
          </w:tcPr>
          <w:p>
            <w:pPr>
              <w:spacing w:after="0"/>
              <w:rPr>
                <w:sz w:val="21"/>
                <w:szCs w:val="21"/>
                <w:color w:val="auto"/>
              </w:rPr>
            </w:pP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189,362</w:t>
            </w:r>
          </w:p>
        </w:tc>
      </w:tr>
      <w:tr>
        <w:trPr>
          <w:trHeight w:val="20"/>
        </w:trPr>
        <w:tc>
          <w:tcPr>
            <w:tcW w:w="49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potential common shares were excluded from the computation of dilutive EPS because their effect would have been anti-dilutive: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00" w:type="dxa"/>
            <w:vAlign w:val="bottom"/>
            <w:shd w:val="clear" w:color="auto" w:fill="1D2758"/>
          </w:tcPr>
          <w:p>
            <w:pPr>
              <w:spacing w:after="0"/>
              <w:rPr>
                <w:sz w:val="20"/>
                <w:szCs w:val="20"/>
                <w:color w:val="auto"/>
              </w:rPr>
            </w:pPr>
          </w:p>
        </w:tc>
        <w:tc>
          <w:tcPr>
            <w:tcW w:w="3180" w:type="dxa"/>
            <w:vAlign w:val="bottom"/>
            <w:gridSpan w:val="4"/>
            <w:shd w:val="clear" w:color="auto" w:fill="1D2758"/>
          </w:tcPr>
          <w:p>
            <w:pPr>
              <w:ind w:left="200"/>
              <w:spacing w:after="0"/>
              <w:rPr>
                <w:sz w:val="20"/>
                <w:szCs w:val="20"/>
                <w:color w:val="auto"/>
              </w:rPr>
            </w:pPr>
            <w:r>
              <w:rPr>
                <w:rFonts w:ascii="Arial" w:cs="Arial" w:eastAsia="Arial" w:hAnsi="Arial"/>
                <w:sz w:val="15"/>
                <w:szCs w:val="15"/>
                <w:b w:val="1"/>
                <w:bCs w:val="1"/>
                <w:color w:val="FFFFFF"/>
              </w:rPr>
              <w:t>Three Months Ended September 30,</w:t>
            </w:r>
          </w:p>
        </w:tc>
        <w:tc>
          <w:tcPr>
            <w:tcW w:w="3060" w:type="dxa"/>
            <w:vAlign w:val="bottom"/>
            <w:gridSpan w:val="3"/>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Nine Months Ended September 30,</w:t>
            </w:r>
          </w:p>
        </w:tc>
      </w:tr>
      <w:tr>
        <w:trPr>
          <w:trHeight w:val="232"/>
        </w:trPr>
        <w:tc>
          <w:tcPr>
            <w:tcW w:w="5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48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14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2024</w:t>
            </w:r>
          </w:p>
        </w:tc>
        <w:tc>
          <w:tcPr>
            <w:tcW w:w="140" w:type="dxa"/>
            <w:vAlign w:val="bottom"/>
            <w:shd w:val="clear" w:color="auto" w:fill="1D2758"/>
          </w:tcPr>
          <w:p>
            <w:pPr>
              <w:spacing w:after="0"/>
              <w:rPr>
                <w:sz w:val="20"/>
                <w:szCs w:val="20"/>
                <w:color w:val="auto"/>
              </w:rPr>
            </w:pPr>
          </w:p>
        </w:tc>
        <w:tc>
          <w:tcPr>
            <w:tcW w:w="150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14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2024</w:t>
            </w:r>
          </w:p>
        </w:tc>
      </w:tr>
      <w:tr>
        <w:trPr>
          <w:trHeight w:val="232"/>
        </w:trPr>
        <w:tc>
          <w:tcPr>
            <w:tcW w:w="5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RSAs</w:t>
            </w: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w:t>
            </w:r>
          </w:p>
        </w:tc>
        <w:tc>
          <w:tcPr>
            <w:tcW w:w="140" w:type="dxa"/>
            <w:vAlign w:val="bottom"/>
            <w:shd w:val="clear" w:color="auto" w:fill="DBDBDB"/>
          </w:tcPr>
          <w:p>
            <w:pPr>
              <w:spacing w:after="0"/>
              <w:rPr>
                <w:sz w:val="20"/>
                <w:szCs w:val="20"/>
                <w:color w:val="auto"/>
              </w:rPr>
            </w:pPr>
          </w:p>
        </w:tc>
        <w:tc>
          <w:tcPr>
            <w:tcW w:w="15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w:t>
            </w:r>
          </w:p>
        </w:tc>
      </w:tr>
      <w:tr>
        <w:trPr>
          <w:trHeight w:val="225"/>
        </w:trPr>
        <w:tc>
          <w:tcPr>
            <w:tcW w:w="5000" w:type="dxa"/>
            <w:vAlign w:val="bottom"/>
          </w:tcPr>
          <w:p>
            <w:pPr>
              <w:ind w:left="20"/>
              <w:spacing w:after="0"/>
              <w:rPr>
                <w:sz w:val="20"/>
                <w:szCs w:val="20"/>
                <w:color w:val="auto"/>
              </w:rPr>
            </w:pPr>
            <w:r>
              <w:rPr>
                <w:rFonts w:ascii="Arial" w:cs="Arial" w:eastAsia="Arial" w:hAnsi="Arial"/>
                <w:sz w:val="15"/>
                <w:szCs w:val="15"/>
                <w:color w:val="auto"/>
              </w:rPr>
              <w:t>Time-based RSUs</w:t>
            </w: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850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592</w:t>
            </w:r>
          </w:p>
        </w:tc>
        <w:tc>
          <w:tcPr>
            <w:tcW w:w="140" w:type="dxa"/>
            <w:vAlign w:val="bottom"/>
          </w:tcPr>
          <w:p>
            <w:pPr>
              <w:spacing w:after="0"/>
              <w:rPr>
                <w:sz w:val="19"/>
                <w:szCs w:val="19"/>
                <w:color w:val="auto"/>
              </w:rPr>
            </w:pP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684</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592</w:t>
            </w:r>
          </w:p>
        </w:tc>
      </w:tr>
      <w:tr>
        <w:trPr>
          <w:trHeight w:val="239"/>
        </w:trPr>
        <w:tc>
          <w:tcPr>
            <w:tcW w:w="5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Performance-based RSUs</w:t>
            </w: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952</w:t>
            </w:r>
          </w:p>
        </w:tc>
        <w:tc>
          <w:tcPr>
            <w:tcW w:w="80" w:type="dxa"/>
            <w:vAlign w:val="bottom"/>
            <w:shd w:val="clear" w:color="auto" w:fill="DBDBDB"/>
          </w:tcPr>
          <w:p>
            <w:pPr>
              <w:spacing w:after="0"/>
              <w:rPr>
                <w:sz w:val="20"/>
                <w:szCs w:val="20"/>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1,832</w:t>
            </w:r>
          </w:p>
        </w:tc>
        <w:tc>
          <w:tcPr>
            <w:tcW w:w="140" w:type="dxa"/>
            <w:vAlign w:val="bottom"/>
            <w:shd w:val="clear" w:color="auto" w:fill="DBDBDB"/>
          </w:tcPr>
          <w:p>
            <w:pPr>
              <w:spacing w:after="0"/>
              <w:rPr>
                <w:sz w:val="20"/>
                <w:szCs w:val="20"/>
                <w:color w:val="auto"/>
              </w:rPr>
            </w:pP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977</w:t>
            </w:r>
          </w:p>
        </w:tc>
        <w:tc>
          <w:tcPr>
            <w:tcW w:w="80" w:type="dxa"/>
            <w:vAlign w:val="bottom"/>
            <w:shd w:val="clear" w:color="auto" w:fill="DBDBDB"/>
          </w:tcPr>
          <w:p>
            <w:pPr>
              <w:spacing w:after="0"/>
              <w:rPr>
                <w:sz w:val="20"/>
                <w:szCs w:val="20"/>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1,832</w:t>
            </w:r>
          </w:p>
        </w:tc>
      </w:tr>
      <w:tr>
        <w:trPr>
          <w:trHeight w:val="225"/>
        </w:trPr>
        <w:tc>
          <w:tcPr>
            <w:tcW w:w="50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Stock Options</w:t>
            </w: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220</w:t>
            </w:r>
          </w:p>
        </w:tc>
        <w:tc>
          <w:tcPr>
            <w:tcW w:w="80" w:type="dxa"/>
            <w:vAlign w:val="bottom"/>
            <w:tcBorders>
              <w:bottom w:val="single" w:sz="8" w:color="DBDBDB"/>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1,356</w:t>
            </w:r>
          </w:p>
        </w:tc>
        <w:tc>
          <w:tcPr>
            <w:tcW w:w="140" w:type="dxa"/>
            <w:vAlign w:val="bottom"/>
            <w:tcBorders>
              <w:bottom w:val="single" w:sz="8" w:color="DBDBDB"/>
            </w:tcBorders>
          </w:tcPr>
          <w:p>
            <w:pPr>
              <w:spacing w:after="0"/>
              <w:rPr>
                <w:sz w:val="19"/>
                <w:szCs w:val="19"/>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73</w:t>
            </w:r>
          </w:p>
        </w:tc>
        <w:tc>
          <w:tcPr>
            <w:tcW w:w="80" w:type="dxa"/>
            <w:vAlign w:val="bottom"/>
            <w:tcBorders>
              <w:bottom w:val="single" w:sz="8" w:color="DBDBDB"/>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1,356</w:t>
            </w:r>
          </w:p>
        </w:tc>
      </w:tr>
      <w:tr>
        <w:trPr>
          <w:trHeight w:val="257"/>
        </w:trPr>
        <w:tc>
          <w:tcPr>
            <w:tcW w:w="5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 anti-dilutive shares</w:t>
            </w:r>
          </w:p>
        </w:tc>
        <w:tc>
          <w:tcPr>
            <w:tcW w:w="14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2,022</w:t>
            </w:r>
          </w:p>
        </w:tc>
        <w:tc>
          <w:tcPr>
            <w:tcW w:w="80" w:type="dxa"/>
            <w:vAlign w:val="bottom"/>
            <w:tcBorders>
              <w:bottom w:val="single" w:sz="8" w:color="DBDBDB"/>
            </w:tcBorders>
            <w:shd w:val="clear" w:color="auto" w:fill="DBDBDB"/>
          </w:tcPr>
          <w:p>
            <w:pPr>
              <w:spacing w:after="0"/>
              <w:rPr>
                <w:sz w:val="21"/>
                <w:szCs w:val="21"/>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3,812</w:t>
            </w:r>
          </w:p>
        </w:tc>
        <w:tc>
          <w:tcPr>
            <w:tcW w:w="14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1,734</w:t>
            </w:r>
          </w:p>
        </w:tc>
        <w:tc>
          <w:tcPr>
            <w:tcW w:w="80" w:type="dxa"/>
            <w:vAlign w:val="bottom"/>
            <w:tcBorders>
              <w:bottom w:val="single" w:sz="8" w:color="DBDBDB"/>
            </w:tcBorders>
            <w:shd w:val="clear" w:color="auto" w:fill="DBDBDB"/>
          </w:tcPr>
          <w:p>
            <w:pPr>
              <w:spacing w:after="0"/>
              <w:rPr>
                <w:sz w:val="21"/>
                <w:szCs w:val="21"/>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3,812</w:t>
            </w:r>
          </w:p>
        </w:tc>
      </w:tr>
      <w:tr>
        <w:trPr>
          <w:trHeight w:val="20"/>
        </w:trPr>
        <w:tc>
          <w:tcPr>
            <w:tcW w:w="50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1D2758"/>
        </w:rPr>
        <w:t>NOTE 17 - Subsequent Event</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On October 16, 2025, certain subsidiaries of the Company entered into an amendment to the ABL Facility to, among other things, (i) extend the expiration date of the revolving credit facilities to October 16, 2030; (ii) reduce the interest rate spreads above (x) the Term SOFR- and Term CORRA-based rates to no more than 137.5 basis points and (y) the base rate and Canadian Prime Rate to no more than 37.5 basis points; (iii) remove interest rate adjustments to the reference rates, (iv) remove Daily Simple CORRA, which was operative solely prior to the phase-in of Term CORRA, from the available interest rates; (v) reduce the aggregate principal amount of revolving credit facilities from $3.7 billion to $3.0 billion to reduce undrawn line fees; (vi) increase capacity available under the accordion feature from $750.0 million to $1.0 billion; and (vii) remove United Kingdom commitments and other United Kingdom-related provisions. After giving effect to the reduction to the principal amount of the revolving credit facility to $3.0 billion, the Company would have had $1.5 billion of available borrowing capacity under the ABL Facility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23" w:name="page24"/>
    <w:bookmarkEnd w:id="23"/>
    <w:p>
      <w:pPr>
        <w:ind w:left="1240" w:right="600" w:hanging="1237"/>
        <w:spacing w:after="0" w:line="287" w:lineRule="auto"/>
        <w:tabs>
          <w:tab w:leader="none" w:pos="1220" w:val="left"/>
        </w:tabs>
        <w:rPr>
          <w:sz w:val="20"/>
          <w:szCs w:val="20"/>
          <w:color w:val="auto"/>
        </w:rPr>
      </w:pPr>
      <w:r>
        <w:rPr>
          <w:rFonts w:ascii="Arial" w:cs="Arial" w:eastAsia="Arial" w:hAnsi="Arial"/>
          <w:sz w:val="31"/>
          <w:szCs w:val="31"/>
          <w:b w:val="1"/>
          <w:bCs w:val="1"/>
          <w:color w:val="auto"/>
        </w:rPr>
        <w:t>ITEM 2.</w:t>
        <w:tab/>
        <w:t>Management’s Discussion and Analysis of Financial Condition and Results of Operations</w:t>
      </w:r>
    </w:p>
    <w:p>
      <w:pPr>
        <w:spacing w:after="0" w:line="2"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the operations and present business environment of WillScot Holdings Corporation (“WillScot”) and its subsidiaries (collectively with WillScot, the “Company,” “we,” “us” or “our”).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and nine months ended September 30, 2025 or prior periods.</w:t>
      </w:r>
    </w:p>
    <w:p>
      <w:pPr>
        <w:spacing w:after="0" w:line="37"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financial statements were prepared in conformity with accounting principles generally accepted in the United States (“GAAP”). We use certain non-GAAP financial metrics to supplement the GAAP reported results to highlight key metrics that are used by management to evaluate Company performance. Reconciliations of GAAP financial information to the disclosed non-GAAP measures are provided in the Reconciliation of Non-GAAP Financial Measures section of MD&amp;A.</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We are a leading business services provider specializing in innovative and flexible turnkey space solutions. We offer our customers an extensive selection of space solutions with approximately 150,000 modular space units and 210,000 portable storage units in our fleet. Our diverse product offering includes:</w:t>
      </w:r>
    </w:p>
    <w:p>
      <w:pPr>
        <w:spacing w:after="0" w:line="1"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Modular Space Solutions</w:t>
      </w:r>
      <w:r>
        <w:rPr>
          <w:rFonts w:ascii="Arial" w:cs="Arial" w:eastAsia="Arial" w:hAnsi="Arial"/>
          <w:sz w:val="15"/>
          <w:szCs w:val="15"/>
          <w:color w:val="auto"/>
        </w:rPr>
        <w:t>: modular office complexes, mobile offices, classrooms, blast-resistant modules, clearspan structures and sanitation solutions.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Portable Storage Solutions</w:t>
      </w:r>
      <w:r>
        <w:rPr>
          <w:rFonts w:ascii="Arial" w:cs="Arial" w:eastAsia="Arial" w:hAnsi="Arial"/>
          <w:sz w:val="15"/>
          <w:szCs w:val="15"/>
          <w:color w:val="auto"/>
        </w:rPr>
        <w:t>: portable storage containers and climate-controlled containers and trailers.</w:t>
      </w:r>
    </w:p>
    <w:p>
      <w:pPr>
        <w:spacing w:after="0" w:line="72" w:lineRule="exact"/>
        <w:rPr>
          <w:rFonts w:ascii="Arial" w:cs="Arial" w:eastAsia="Arial" w:hAnsi="Arial"/>
          <w:sz w:val="15"/>
          <w:szCs w:val="15"/>
          <w:color w:val="auto"/>
        </w:rPr>
      </w:pPr>
    </w:p>
    <w:p>
      <w:pPr>
        <w:jc w:val="both"/>
        <w:ind w:left="620" w:hanging="307"/>
        <w:spacing w:after="0" w:line="272" w:lineRule="auto"/>
        <w:tabs>
          <w:tab w:leader="none" w:pos="609"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Value-Added Products ("VAPS")</w:t>
      </w:r>
      <w:r>
        <w:rPr>
          <w:rFonts w:ascii="Arial" w:cs="Arial" w:eastAsia="Arial" w:hAnsi="Arial"/>
          <w:sz w:val="15"/>
          <w:szCs w:val="15"/>
          <w:color w:val="auto"/>
        </w:rPr>
        <w:t>: a thoughtfully curated selection of solutions that supports our Right from the Start value proposition,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customer experience.</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operate a hybrid in-house and outsourced logistics and service infrastructure that provides delivery, site work, installation, disassembly, removal and other services to our customers for an additional fee as part of our leasing and sales operations. We service diverse end markets across all sectors of the economy throughout the United States ("US"), Canada, and Mexico. As of September 30, 2025, our branch network included approximately 260 branch locations and additional drop lots to service our over 85,000 customers.</w:t>
      </w:r>
    </w:p>
    <w:p>
      <w:pPr>
        <w:spacing w:after="0" w:line="2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primarily lease, rather than sell, our space solutions to customers, which results in a diversified and predictable recurring revenue stream. Over 90% of new lease orders are on our standard lease agreement, pre-negotiated master lease, or enterprise account agreements. Rental contracts with customers are generally based on a 28-day or monthly rate and billing cycle. Initial lease periods vary, and our leases are customarily renewable on a month-to-month basis after their initial term and continue until cancelled by the customer or us. Given that our customers value flexibility, they consistently extend their leases or renew on a month-to-month basis such that the average effective duration of our consolidated lease portfolio, excluding seasonal portable storage units, is approximately 41 months. We believe our lease revenue is predictable due to its recurring nature and the underlying stability and diversification of our lease portfolio. We complement our core leasing business by selling both new and used units, allowing us to leverage scale, achieve purchasing benefits, and redeploy capital employed in our lease fleet.</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customers operate in a diversified set of end markets, including construction and infrastructure, commercial and industrial, energy and natural resources, and government and institutions. Core to our operating model is the ability to redeploy standardized assets across end markets. We track several leading market indicators to predict demand, including Gross Domestic Product in North America, the Architecture Billings Index, and non-residential construction square foot starts. These indicators, among others, support our demand forecast for our two largest end markets, the commercial and industrial sector and the construction and infrastructure market, which collectively accounted for approximately 85% of our revenues for the nine months ended September 30, 2025.</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Leadership Updates</w:t>
      </w:r>
    </w:p>
    <w:p>
      <w:pPr>
        <w:spacing w:after="0" w:line="6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On September 3, 2025, we announced that our Board of Directors had unanimously elected Tim Boswell to succeed Brad Soultz as Chief Executive Officer, effective January 1, 2026, and that Mr. Boswell would also join the Board at that time. We also announced that effective immediately, Worthing Jackman, current non-Executive Chairman of the Board, would now serve as Executive Chairman of the Board, both to continue to lead the Board and to assist the CEO and senior management team in achieving the Company’s strategic plan. In addition, Jeff Sagansky was appointed Lead Independent Director, also effective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i w:val="1"/>
          <w:iCs w:val="1"/>
          <w:color w:val="auto"/>
        </w:rPr>
        <w:t>Network Optimization Initiative</w:t>
      </w:r>
    </w:p>
    <w:p>
      <w:pPr>
        <w:spacing w:after="0" w:line="60"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As of September 30, 2025, our branch network consisted of approximately 400 physical properties, of which 260 locations were considered branch locations. Real estate leases for branch locations are typically under long-term contracts that may include initial terms of five to ten years with one or two five-year extensions, whereas non-branch locations used for unit storage often have shorter contractual terms. Our real estate footprint has increased over the years through the combination of the legacy WillScot and Mobile Mini respective branch networks, locations acquired through acquisitions, and additional non-branch locations added to store incremental idle fleet. Without intervention, we expect real estate costs to continue to increase 10 to 15 percent per year as they have for the past several years.</w:t>
      </w:r>
    </w:p>
    <w:p>
      <w:pPr>
        <w:spacing w:after="0" w:line="21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2024, we consolidated the WillScot and Mobile Mini field sales and operations teams into a single leadership structure. In the beginning of 2025, we began evaluating our real estate footprint on a property-by-property basis to reduce our overall real estate costs opportunistically while maintaining market coverage. To exit certain real estate positions, we disposed of certain rental fleet units, with a primary focus on long idle, non-standard or higher repair cost units, while maintaining adequate idle fleet to meet projected demand. During the three and nine months ended September 30, 2025, rental equipment identified for disposal was depreciated to its salvage value, resulting in incremental depreciation of rental equipment of $7.3 million and $26.6 million, respectively.</w:t>
      </w:r>
    </w:p>
    <w:p>
      <w:pPr>
        <w:spacing w:after="0" w:line="2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Management is considering expanding this program to evaluate all real estate leases maturing in the next four or five years for consolidation opportunities, and we estimate the net book value of rental fleet units that could be disposed of as part of this optimization to be in the range of $250 million to $350 million, which would be recognized as incremental depreciation expense as properties and rental fleet units are identified for exit. We believe this initiative could reduce leased acreage by more than 20% and reduce annual real estate costs by $20 million to $30 million. To the extent we finalize a multi-year network optimization plan by the end of 2025, and the plan is approved by the Board of Directors, we may accelerate the recognition of the $250 million to $350 million of incremental depreciation expense on identified rental equipment into 2025 as a non-cash restructuring charge.</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60"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On March 26, 2025, Williams Scotsman, Inc. ("WSI") completed a private offering of $500.0 million in aggregate principal amount of its 6.625% senior secured notes due 2030 (the "2030 Secured Notes") to qualified institutional buyers pursuant to Rule 144A of the Securities Act of 1933, as amended.</w:t>
      </w:r>
    </w:p>
    <w:p>
      <w:pPr>
        <w:spacing w:after="0" w:line="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March 27, 2025, net proceeds of the offering of the 2030 Secured Notes, together with $33.0 million of additional borrowings under the ABL Facility were used to (i) redeem all of WSI's outstanding 6.125% senior secured notes due 2025 (the "2025 Secured Notes") at a redemption price equal to 100.00% of the principal amount of the 2025 Notes outstanding, totaling $526.5 million, plus accrued and unpaid interest to, but excluding, the redemption date and (ii) pay related fees and expenses. We redeemed the 2025 Secured Notes to extend the Company's debt maturity profile, consistent with our capital structure optimization strategy. The redemption did not result in a material gain or loss on extinguishment, as the notes were redeemed at par and related fees were expensed as incurred.</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October 16, 2025, we amended our ABL Facility ("Amended ABL Facility") to reduce borrowing costs and extend the maturity date to October 16, 2030. The aggregate principal amount of the Amended ABL Facility was reduced from $3.7 billion to $3.0 billion to reduce undrawn line fees, and the accordion feature was increased from $750 million to $1.0 billion. We anticipate meaningful annual cash interest expense savings of approximately $5.0 million at current borrowing levels with opportunities to further reduce our interest costs in the future based on availability in the Amended ABL Facility and net debt to EBITDA leverage levels. After giving effect to the extension, we have no maturities of debt until 2028 other than for finance leases.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Dividends</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On February 18, 2025, our Board of Directors approved a quarterly dividend program. Under the program, subject to declaration by the Board of Directors, dividends will be payable on the third Wednesday of the third month of each calendar quarter to stockholders of record as of the first Wednesday of that same month. In February, May, and July 2025, our Board of Directors declared quarterly dividends of $0.07 per share, totaling $13.0 million, $12.9 million, and $12.9, respectively. Dividends paid were $38.4 million for the nine months ended September 30, 2025. The Company intends to continue its quarterly dividend program, subject to Board approval and based on available cash flow, capital allocation priorities, and market conditions.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Repurchases</w:t>
      </w:r>
    </w:p>
    <w:p>
      <w:pPr>
        <w:spacing w:after="0" w:line="7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nine months ended September 30, 2025, we repurchased 2,924,846 shares of Common Stock for $80.2 million, excluding excise tax. As of September 30, 2025, $741.7 million of the authorization for future repurchases of the Common Stock remained available. We executed share repurchases as part of our capital allocation strategy to enhance shareholder value and optimize capital deployment in light of current market valuations.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Business Combination and Asset Acquisitions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nine months ended September 30, 2025, we acquired a regional provider of climate-controlled containers and trailers for $115.6 million, net of cash acquired, which consisted primarily of approximately 2,100 temperature-controlled units. We expect this acquisition to expand our climate-controlled product offering and enhance our regional market presence,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jc w:val="both"/>
        <w:spacing w:after="0" w:line="271" w:lineRule="auto"/>
        <w:rPr>
          <w:sz w:val="20"/>
          <w:szCs w:val="20"/>
          <w:color w:val="auto"/>
        </w:rPr>
      </w:pPr>
      <w:r>
        <w:rPr>
          <w:rFonts w:ascii="Arial" w:cs="Arial" w:eastAsia="Arial" w:hAnsi="Arial"/>
          <w:sz w:val="15"/>
          <w:szCs w:val="15"/>
          <w:color w:val="auto"/>
        </w:rPr>
        <w:t>with anticipated operational synergies and customer cross-sell opportunities. As of the acquisition date, the fair value of the goodwill recorded was $54.5 million, the fair value of the intangible assets acquired was $18.7 million, and the fair value of rental equipment acquired was $36.6 million. The purchase price allocation is preliminary, based on the best estimates of management, and subject to revision as management obtains additional information regarding the valuation of acquired rental equipment and intangible assets. Revenue and earnings from the business combination following the acquisition date are not available, as the business was integrated into the Company's centralized financial and operational processes following acquisition.</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During the nine months ended September 30, 2025, we acquired $23.2 million in rental fleet assets from two companies for $25.8 million in cash.</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Summary</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For the three months ended September 30, 2025, as compared to the three months ended September 30, 2024, results and key drivers of our financial performance included the following:</w:t>
      </w:r>
    </w:p>
    <w:p>
      <w:pPr>
        <w:spacing w:after="0" w:line="1" w:lineRule="exact"/>
        <w:rPr>
          <w:sz w:val="20"/>
          <w:szCs w:val="20"/>
          <w:color w:val="auto"/>
        </w:rPr>
      </w:pPr>
    </w:p>
    <w:p>
      <w:pPr>
        <w:jc w:val="both"/>
        <w:ind w:left="620" w:hanging="307"/>
        <w:spacing w:after="0" w:line="267"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Total revenues </w:t>
      </w:r>
      <w:r>
        <w:rPr>
          <w:rFonts w:ascii="Arial" w:cs="Arial" w:eastAsia="Arial" w:hAnsi="Arial"/>
          <w:sz w:val="15"/>
          <w:szCs w:val="15"/>
          <w:color w:val="auto"/>
        </w:rPr>
        <w:t>decreased $34.6 million, or 5.8%, to $566.8 million. The decline in revenue was driven by a decrease in units on rent, a large project in the</w:t>
      </w:r>
      <w:r>
        <w:rPr>
          <w:rFonts w:ascii="Arial" w:cs="Arial" w:eastAsia="Arial" w:hAnsi="Arial"/>
          <w:sz w:val="15"/>
          <w:szCs w:val="15"/>
          <w:b w:val="1"/>
          <w:bCs w:val="1"/>
          <w:color w:val="auto"/>
        </w:rPr>
        <w:t xml:space="preserve"> </w:t>
      </w:r>
      <w:r>
        <w:rPr>
          <w:rFonts w:ascii="Arial" w:cs="Arial" w:eastAsia="Arial" w:hAnsi="Arial"/>
          <w:sz w:val="15"/>
          <w:szCs w:val="15"/>
          <w:color w:val="auto"/>
        </w:rPr>
        <w:t>prior year representing approximately $18.0 million, and a $20.0 million increase in accounts receivable write-offs recorded as a reduction to revenue compared to the same period in 2024. The increased write-offs were primarily driven by aged receivables that we deemed uncollectible as our central operations team progresses our initiative to improve our order-to-cash process and reduce our days sales outstanding. However, write-offs to receivables recorded as a reduction to revenue result in a corresponding reduction to the provision for credit losses recorded in selling, general, and administrative expense ("SG&amp;A") to the extent that the related receivables are already reserved. See further discussion within our Consolidated Results of Operations.</w:t>
      </w:r>
    </w:p>
    <w:p>
      <w:pPr>
        <w:spacing w:after="0" w:line="8" w:lineRule="exact"/>
        <w:rPr>
          <w:rFonts w:ascii="Arial" w:cs="Arial" w:eastAsia="Arial" w:hAnsi="Arial"/>
          <w:sz w:val="15"/>
          <w:szCs w:val="15"/>
          <w:color w:val="auto"/>
        </w:rPr>
      </w:pPr>
    </w:p>
    <w:p>
      <w:pPr>
        <w:jc w:val="both"/>
        <w:ind w:left="620" w:hanging="307"/>
        <w:spacing w:after="0" w:line="278"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Leasing revenue </w:t>
      </w:r>
      <w:r>
        <w:rPr>
          <w:rFonts w:ascii="Arial" w:cs="Arial" w:eastAsia="Arial" w:hAnsi="Arial"/>
          <w:sz w:val="15"/>
          <w:szCs w:val="15"/>
          <w:color w:val="auto"/>
        </w:rPr>
        <w:t>decreased $21.4 million, or 4.7%, driven by an increase of $15.5 million of write-offs of aged receivables deemed uncollectible recorded</w:t>
      </w:r>
      <w:r>
        <w:rPr>
          <w:rFonts w:ascii="Arial" w:cs="Arial" w:eastAsia="Arial" w:hAnsi="Arial"/>
          <w:sz w:val="15"/>
          <w:szCs w:val="15"/>
          <w:b w:val="1"/>
          <w:bCs w:val="1"/>
          <w:color w:val="auto"/>
        </w:rPr>
        <w:t xml:space="preserve"> </w:t>
      </w:r>
      <w:r>
        <w:rPr>
          <w:rFonts w:ascii="Arial" w:cs="Arial" w:eastAsia="Arial" w:hAnsi="Arial"/>
          <w:sz w:val="15"/>
          <w:szCs w:val="15"/>
          <w:color w:val="auto"/>
        </w:rPr>
        <w:t>as a reduction to revenue, a decrease in total average units on rent of 22,461, or 10.3%, partially offset by a 8.8% increase in average monthly rates. Reductions in non-residential construction project start activity as a result of higher interest rates reduced demand for our services, which resulted in fewer deliveries. Seasonal retail demand, primarily for storage containers, was down $2.6 million year-over-year.</w:t>
      </w:r>
    </w:p>
    <w:p>
      <w:pPr>
        <w:ind w:left="620" w:hanging="307"/>
        <w:spacing w:after="0" w:line="295" w:lineRule="auto"/>
        <w:tabs>
          <w:tab w:leader="none" w:pos="609" w:val="left"/>
        </w:tabs>
        <w:numPr>
          <w:ilvl w:val="0"/>
          <w:numId w:val="8"/>
        </w:numPr>
        <w:rPr>
          <w:rFonts w:ascii="Arial" w:cs="Arial" w:eastAsia="Arial" w:hAnsi="Arial"/>
          <w:sz w:val="15"/>
          <w:szCs w:val="15"/>
          <w:color w:val="auto"/>
          <w:strike w:val="1"/>
        </w:rPr>
      </w:pPr>
      <w:r>
        <w:rPr>
          <w:rFonts w:ascii="Arial" w:cs="Arial" w:eastAsia="Arial" w:hAnsi="Arial"/>
          <w:sz w:val="15"/>
          <w:szCs w:val="15"/>
          <w:b w:val="1"/>
          <w:bCs w:val="1"/>
          <w:color w:val="auto"/>
        </w:rPr>
        <w:t xml:space="preserve">Delivery and installation revenue </w:t>
      </w:r>
      <w:r>
        <w:rPr>
          <w:rFonts w:ascii="Arial" w:cs="Arial" w:eastAsia="Arial" w:hAnsi="Arial"/>
          <w:sz w:val="15"/>
          <w:szCs w:val="15"/>
          <w:color w:val="auto"/>
        </w:rPr>
        <w:t>decreased $16.2 million, or 14.2%, driven by fewer deliveries and a large project in the prior year representing</w:t>
      </w:r>
      <w:r>
        <w:rPr>
          <w:rFonts w:ascii="Arial" w:cs="Arial" w:eastAsia="Arial" w:hAnsi="Arial"/>
          <w:sz w:val="15"/>
          <w:szCs w:val="15"/>
          <w:b w:val="1"/>
          <w:bCs w:val="1"/>
          <w:color w:val="auto"/>
        </w:rPr>
        <w:t xml:space="preserve"> </w:t>
      </w:r>
      <w:r>
        <w:rPr>
          <w:rFonts w:ascii="Arial" w:cs="Arial" w:eastAsia="Arial" w:hAnsi="Arial"/>
          <w:sz w:val="15"/>
          <w:szCs w:val="15"/>
          <w:color w:val="auto"/>
        </w:rPr>
        <w:t>approximately $18.0 million.</w:t>
      </w:r>
    </w:p>
    <w:p>
      <w:pPr>
        <w:spacing w:after="0" w:line="1" w:lineRule="exact"/>
        <w:rPr>
          <w:rFonts w:ascii="Arial" w:cs="Arial" w:eastAsia="Arial" w:hAnsi="Arial"/>
          <w:sz w:val="15"/>
          <w:szCs w:val="15"/>
          <w:color w:val="auto"/>
          <w:strike w:val="1"/>
        </w:rPr>
      </w:pPr>
    </w:p>
    <w:p>
      <w:pPr>
        <w:ind w:left="620" w:hanging="307"/>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Sales revenue: </w:t>
      </w:r>
      <w:r>
        <w:rPr>
          <w:rFonts w:ascii="Arial" w:cs="Arial" w:eastAsia="Arial" w:hAnsi="Arial"/>
          <w:sz w:val="15"/>
          <w:szCs w:val="15"/>
          <w:color w:val="auto"/>
        </w:rPr>
        <w:t>new unit sales revenue increased $0.5 million, or 2.9%, and rental unit sales revenue increased $2.5 million, or 18.8%.</w:t>
      </w:r>
    </w:p>
    <w:p>
      <w:pPr>
        <w:spacing w:after="0" w:line="59" w:lineRule="exact"/>
        <w:rPr>
          <w:rFonts w:ascii="Arial" w:cs="Arial" w:eastAsia="Arial" w:hAnsi="Arial"/>
          <w:sz w:val="15"/>
          <w:szCs w:val="15"/>
          <w:color w:val="auto"/>
        </w:rPr>
      </w:pPr>
    </w:p>
    <w:p>
      <w:pPr>
        <w:jc w:val="both"/>
        <w:ind w:left="620" w:hanging="307"/>
        <w:spacing w:after="0" w:line="272"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Generated </w:t>
      </w:r>
      <w:r>
        <w:rPr>
          <w:rFonts w:ascii="Arial" w:cs="Arial" w:eastAsia="Arial" w:hAnsi="Arial"/>
          <w:sz w:val="15"/>
          <w:szCs w:val="15"/>
          <w:b w:val="1"/>
          <w:bCs w:val="1"/>
          <w:color w:val="auto"/>
        </w:rPr>
        <w:t>net income</w:t>
      </w:r>
      <w:r>
        <w:rPr>
          <w:rFonts w:ascii="Arial" w:cs="Arial" w:eastAsia="Arial" w:hAnsi="Arial"/>
          <w:sz w:val="15"/>
          <w:szCs w:val="15"/>
          <w:color w:val="auto"/>
        </w:rPr>
        <w:t xml:space="preserve"> of $43.3 million for the three months ended September 30, 2025, representing an increase of $113.8 million, or 161.5%, as compared to the same period in 2024. For the three months ended September 30, 2024, we recorded a $180.0 million termination fee and $8.8 million in legal and professional fees related to the termination of a merger agreement with McGrath RentCorp ("McGrath"). In 2024, we recorded a tax benefit of $20.6 million, as compared to an income tax expense of $17.0 million for the three months ended September 30, 2025.</w:t>
      </w:r>
    </w:p>
    <w:p>
      <w:pPr>
        <w:spacing w:after="0" w:line="17"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Generated </w:t>
      </w:r>
      <w:r>
        <w:rPr>
          <w:rFonts w:ascii="Arial" w:cs="Arial" w:eastAsia="Arial" w:hAnsi="Arial"/>
          <w:sz w:val="15"/>
          <w:szCs w:val="15"/>
          <w:b w:val="1"/>
          <w:bCs w:val="1"/>
          <w:color w:val="auto"/>
        </w:rPr>
        <w:t>Adjusted EBITDA</w:t>
      </w:r>
      <w:r>
        <w:rPr>
          <w:rFonts w:ascii="Arial" w:cs="Arial" w:eastAsia="Arial" w:hAnsi="Arial"/>
          <w:sz w:val="15"/>
          <w:szCs w:val="15"/>
          <w:color w:val="auto"/>
        </w:rPr>
        <w:t xml:space="preserve"> of $243.3 million for the three months ended September 30, 2025, representing a decrease of $23.6 million, or 8.8%, as compared to the same period in 2024.</w:t>
      </w:r>
    </w:p>
    <w:p>
      <w:pPr>
        <w:spacing w:after="0" w:line="1" w:lineRule="exact"/>
        <w:rPr>
          <w:rFonts w:ascii="Arial" w:cs="Arial" w:eastAsia="Arial" w:hAnsi="Arial"/>
          <w:sz w:val="15"/>
          <w:szCs w:val="15"/>
          <w:color w:val="auto"/>
        </w:rPr>
      </w:pPr>
    </w:p>
    <w:p>
      <w:pPr>
        <w:jc w:val="both"/>
        <w:ind w:left="620" w:hanging="307"/>
        <w:spacing w:after="0" w:line="272"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Net cash provided by operating activities </w:t>
      </w:r>
      <w:r>
        <w:rPr>
          <w:rFonts w:ascii="Arial" w:cs="Arial" w:eastAsia="Arial" w:hAnsi="Arial"/>
          <w:sz w:val="15"/>
          <w:szCs w:val="15"/>
          <w:color w:val="auto"/>
        </w:rPr>
        <w:t>increased $192.7 million to $191.2 million cash provided by operating activities for the three months ended</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30, 2025 from $1.6 million net cash used in operating activities for the three months ended September 30, 2024. The increase in net cash provided by operating activities was primarily due to the payment of $203.3 million for the McGrath termination fee and transaction costs from terminated acquisitions during the three months ended September 30, 2024.</w:t>
      </w:r>
    </w:p>
    <w:p>
      <w:pPr>
        <w:spacing w:after="0" w:line="4" w:lineRule="exact"/>
        <w:rPr>
          <w:rFonts w:ascii="Arial" w:cs="Arial" w:eastAsia="Arial" w:hAnsi="Arial"/>
          <w:sz w:val="15"/>
          <w:szCs w:val="15"/>
          <w:color w:val="auto"/>
        </w:rPr>
      </w:pPr>
    </w:p>
    <w:p>
      <w:pPr>
        <w:jc w:val="both"/>
        <w:ind w:left="620" w:hanging="307"/>
        <w:spacing w:after="0" w:line="297"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Net cash used in investing activities</w:t>
      </w:r>
      <w:r>
        <w:rPr>
          <w:rFonts w:ascii="Arial" w:cs="Arial" w:eastAsia="Arial" w:hAnsi="Arial"/>
          <w:sz w:val="15"/>
          <w:szCs w:val="15"/>
          <w:color w:val="auto"/>
        </w:rPr>
        <w:t>, excluding cash used for acquisitions, increased by $7.5 million. Capital expenditures for rental equipment</w:t>
      </w:r>
      <w:r>
        <w:rPr>
          <w:rFonts w:ascii="Arial" w:cs="Arial" w:eastAsia="Arial" w:hAnsi="Arial"/>
          <w:sz w:val="15"/>
          <w:szCs w:val="15"/>
          <w:b w:val="1"/>
          <w:bCs w:val="1"/>
          <w:color w:val="auto"/>
        </w:rPr>
        <w:t xml:space="preserve"> </w:t>
      </w:r>
      <w:r>
        <w:rPr>
          <w:rFonts w:ascii="Arial" w:cs="Arial" w:eastAsia="Arial" w:hAnsi="Arial"/>
          <w:sz w:val="15"/>
          <w:szCs w:val="15"/>
          <w:color w:val="auto"/>
        </w:rPr>
        <w:t>increased $11.6 million for the three months ended September 30, 2025. Net CAPEX increased $10.4 million for the three months ended September 30, 2025.</w:t>
      </w:r>
    </w:p>
    <w:p>
      <w:pPr>
        <w:spacing w:after="0" w:line="179" w:lineRule="exact"/>
        <w:rPr>
          <w:rFonts w:ascii="Arial" w:cs="Arial" w:eastAsia="Arial" w:hAnsi="Arial"/>
          <w:sz w:val="15"/>
          <w:szCs w:val="15"/>
          <w:color w:val="auto"/>
        </w:rPr>
      </w:pPr>
    </w:p>
    <w:p>
      <w:pPr>
        <w:ind w:left="620" w:hanging="307"/>
        <w:spacing w:after="0" w:line="297" w:lineRule="auto"/>
        <w:tabs>
          <w:tab w:leader="none" w:pos="609"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Generated </w:t>
      </w:r>
      <w:r>
        <w:rPr>
          <w:rFonts w:ascii="Arial" w:cs="Arial" w:eastAsia="Arial" w:hAnsi="Arial"/>
          <w:sz w:val="15"/>
          <w:szCs w:val="15"/>
          <w:b w:val="1"/>
          <w:bCs w:val="1"/>
          <w:color w:val="auto"/>
        </w:rPr>
        <w:t>Adjusted Free Cash Flow</w:t>
      </w:r>
      <w:r>
        <w:rPr>
          <w:rFonts w:ascii="Arial" w:cs="Arial" w:eastAsia="Arial" w:hAnsi="Arial"/>
          <w:sz w:val="15"/>
          <w:szCs w:val="15"/>
          <w:color w:val="auto"/>
        </w:rPr>
        <w:t xml:space="preserve"> of $122.2 million for the three months ended September 30, 2025 as compared to $143.1 million for the three months ended September 30, 2024. During the three months ended September 30, 2025, we deployed Adjusted Free Cash Flow to:</w:t>
      </w:r>
    </w:p>
    <w:p>
      <w:pPr>
        <w:ind w:left="1240" w:hanging="309"/>
        <w:spacing w:after="0"/>
        <w:tabs>
          <w:tab w:leader="none" w:pos="1240" w:val="left"/>
        </w:tabs>
        <w:numPr>
          <w:ilvl w:val="1"/>
          <w:numId w:val="8"/>
        </w:numPr>
        <w:rPr>
          <w:rFonts w:ascii="Arial" w:cs="Arial" w:eastAsia="Arial" w:hAnsi="Arial"/>
          <w:sz w:val="15"/>
          <w:szCs w:val="15"/>
          <w:color w:val="auto"/>
        </w:rPr>
      </w:pPr>
      <w:r>
        <w:rPr>
          <w:rFonts w:ascii="Arial" w:cs="Arial" w:eastAsia="Arial" w:hAnsi="Arial"/>
          <w:sz w:val="15"/>
          <w:szCs w:val="15"/>
          <w:color w:val="auto"/>
        </w:rPr>
        <w:t>Reduce outstanding borrowings under the ABL Facility by $84.4 million.</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1"/>
          <w:numId w:val="8"/>
        </w:numPr>
        <w:rPr>
          <w:rFonts w:ascii="Arial" w:cs="Arial" w:eastAsia="Arial" w:hAnsi="Arial"/>
          <w:sz w:val="15"/>
          <w:szCs w:val="15"/>
          <w:color w:val="auto"/>
        </w:rPr>
      </w:pPr>
      <w:r>
        <w:rPr>
          <w:rFonts w:ascii="Arial" w:cs="Arial" w:eastAsia="Arial" w:hAnsi="Arial"/>
          <w:sz w:val="15"/>
          <w:szCs w:val="15"/>
          <w:color w:val="auto"/>
        </w:rPr>
        <w:t>Acquire assets from a local provider of storage solutions for $7.6 million.</w:t>
      </w:r>
    </w:p>
    <w:p>
      <w:pPr>
        <w:spacing w:after="0" w:line="72" w:lineRule="exact"/>
        <w:rPr>
          <w:rFonts w:ascii="Arial" w:cs="Arial" w:eastAsia="Arial" w:hAnsi="Arial"/>
          <w:sz w:val="15"/>
          <w:szCs w:val="15"/>
          <w:color w:val="auto"/>
        </w:rPr>
      </w:pPr>
    </w:p>
    <w:p>
      <w:pPr>
        <w:ind w:left="1240" w:hanging="309"/>
        <w:spacing w:after="0"/>
        <w:tabs>
          <w:tab w:leader="none" w:pos="1240" w:val="left"/>
        </w:tabs>
        <w:numPr>
          <w:ilvl w:val="1"/>
          <w:numId w:val="8"/>
        </w:numPr>
        <w:rPr>
          <w:rFonts w:ascii="Arial" w:cs="Arial" w:eastAsia="Arial" w:hAnsi="Arial"/>
          <w:sz w:val="15"/>
          <w:szCs w:val="15"/>
          <w:color w:val="auto"/>
        </w:rPr>
      </w:pPr>
      <w:r>
        <w:rPr>
          <w:rFonts w:ascii="Arial" w:cs="Arial" w:eastAsia="Arial" w:hAnsi="Arial"/>
          <w:sz w:val="15"/>
          <w:szCs w:val="15"/>
          <w:color w:val="auto"/>
        </w:rPr>
        <w:t>Repurchase $8.3 million of our Common Stock, reducing outstanding Common Stock by 296,805 shares.</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1"/>
          <w:numId w:val="8"/>
        </w:numPr>
        <w:rPr>
          <w:rFonts w:ascii="Arial" w:cs="Arial" w:eastAsia="Arial" w:hAnsi="Arial"/>
          <w:sz w:val="15"/>
          <w:szCs w:val="15"/>
          <w:color w:val="auto"/>
        </w:rPr>
      </w:pPr>
      <w:r>
        <w:rPr>
          <w:rFonts w:ascii="Arial" w:cs="Arial" w:eastAsia="Arial" w:hAnsi="Arial"/>
          <w:sz w:val="15"/>
          <w:szCs w:val="15"/>
          <w:color w:val="auto"/>
        </w:rPr>
        <w:t>Pay a $0.07 per share dividend, returning $12.8 million to our shareholders.</w:t>
      </w:r>
    </w:p>
    <w:p>
      <w:pPr>
        <w:spacing w:after="0" w:line="72" w:lineRule="exact"/>
        <w:rPr>
          <w:rFonts w:ascii="Arial" w:cs="Arial" w:eastAsia="Arial" w:hAnsi="Arial"/>
          <w:sz w:val="15"/>
          <w:szCs w:val="15"/>
          <w:color w:val="auto"/>
        </w:rPr>
      </w:pPr>
    </w:p>
    <w:p>
      <w:pPr>
        <w:jc w:val="both"/>
        <w:ind w:left="620" w:hanging="307"/>
        <w:spacing w:after="0" w:line="268" w:lineRule="auto"/>
        <w:tabs>
          <w:tab w:leader="none" w:pos="609" w:val="left"/>
        </w:tabs>
        <w:numPr>
          <w:ilvl w:val="0"/>
          <w:numId w:val="8"/>
        </w:numPr>
        <w:rPr>
          <w:rFonts w:ascii="Times New Roman" w:cs="Times New Roman" w:eastAsia="Times New Roman" w:hAnsi="Times New Roman"/>
          <w:sz w:val="15"/>
          <w:szCs w:val="15"/>
          <w:b w:val="1"/>
          <w:bCs w:val="1"/>
          <w:i w:val="1"/>
          <w:iCs w:val="1"/>
          <w:color w:val="1D2758"/>
        </w:rPr>
      </w:pPr>
      <w:r>
        <w:rPr>
          <w:rFonts w:ascii="Arial" w:cs="Arial" w:eastAsia="Arial" w:hAnsi="Arial"/>
          <w:sz w:val="15"/>
          <w:szCs w:val="15"/>
          <w:color w:val="auto"/>
        </w:rPr>
        <w:t>We believe that the predictability of our Adjusted Free Cash Flow allows us to pursue multiple capital allocation priorities opportunistically, including investing in organic opportunities that we see in the market, maintaining appropriate leverage, opportunistically executing accretive acquisitions, and returning capital to shareholders via share repurchases and dividend distributions. We also believe our strong operating cash flow generation, countercyclical Net CAPEX profile, and $1.5 billion of available borrowing capacity under our Amended ABL Facility, provide ample liquidity to execute our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jc w:val="both"/>
        <w:ind w:firstLine="619"/>
        <w:spacing w:after="0" w:line="271" w:lineRule="auto"/>
        <w:rPr>
          <w:sz w:val="20"/>
          <w:szCs w:val="20"/>
          <w:color w:val="auto"/>
        </w:rPr>
      </w:pPr>
      <w:r>
        <w:rPr>
          <w:rFonts w:ascii="Arial" w:cs="Arial" w:eastAsia="Arial" w:hAnsi="Arial"/>
          <w:sz w:val="15"/>
          <w:szCs w:val="15"/>
          <w:color w:val="auto"/>
        </w:rPr>
        <w:t>In addition to using GAAP financial measurements to evaluate our operating results, we use Adjusted EBITDA, Net CAPEX, and Adjusted Free Cash Flow, which are non-GAAP financial measures. As such, we include in this Form 10-Q reconciliations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1D2758"/>
        </w:rPr>
        <w:t>Consolidated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2025 Compared to the Three Months Ended September 30, 2024</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Certain consolidated results of operations for the three months ended September 30, 2025 and 2024 are presented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00" w:type="dxa"/>
            <w:vAlign w:val="bottom"/>
            <w:shd w:val="clear" w:color="auto" w:fill="1D2758"/>
          </w:tcPr>
          <w:p>
            <w:pPr>
              <w:spacing w:after="0"/>
              <w:rPr>
                <w:sz w:val="21"/>
                <w:szCs w:val="21"/>
                <w:color w:val="auto"/>
              </w:rPr>
            </w:pPr>
          </w:p>
        </w:tc>
        <w:tc>
          <w:tcPr>
            <w:tcW w:w="3660" w:type="dxa"/>
            <w:vAlign w:val="bottom"/>
            <w:gridSpan w:val="6"/>
            <w:shd w:val="clear" w:color="auto" w:fill="1D2758"/>
          </w:tcPr>
          <w:p>
            <w:pPr>
              <w:ind w:left="520"/>
              <w:spacing w:after="0"/>
              <w:rPr>
                <w:sz w:val="20"/>
                <w:szCs w:val="20"/>
                <w:color w:val="auto"/>
              </w:rPr>
            </w:pPr>
            <w:r>
              <w:rPr>
                <w:rFonts w:ascii="Arial" w:cs="Arial" w:eastAsia="Arial" w:hAnsi="Arial"/>
                <w:sz w:val="15"/>
                <w:szCs w:val="15"/>
                <w:b w:val="1"/>
                <w:bCs w:val="1"/>
                <w:color w:val="FFFFFF"/>
              </w:rPr>
              <w:t>Three Months Ended September 30,</w:t>
            </w:r>
          </w:p>
        </w:tc>
        <w:tc>
          <w:tcPr>
            <w:tcW w:w="240" w:type="dxa"/>
            <w:vAlign w:val="bottom"/>
            <w:shd w:val="clear" w:color="auto" w:fill="1D2758"/>
          </w:tcPr>
          <w:p>
            <w:pPr>
              <w:spacing w:after="0"/>
              <w:rPr>
                <w:sz w:val="21"/>
                <w:szCs w:val="21"/>
                <w:color w:val="auto"/>
              </w:rPr>
            </w:pPr>
          </w:p>
        </w:tc>
        <w:tc>
          <w:tcPr>
            <w:tcW w:w="1520" w:type="dxa"/>
            <w:vAlign w:val="bottom"/>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2025 vs. 2024</w:t>
            </w:r>
          </w:p>
        </w:tc>
        <w:tc>
          <w:tcPr>
            <w:tcW w:w="0" w:type="dxa"/>
            <w:vAlign w:val="bottom"/>
          </w:tcPr>
          <w:p>
            <w:pPr>
              <w:spacing w:after="0"/>
              <w:rPr>
                <w:sz w:val="1"/>
                <w:szCs w:val="1"/>
                <w:color w:val="auto"/>
              </w:rPr>
            </w:pPr>
          </w:p>
        </w:tc>
      </w:tr>
      <w:tr>
        <w:trPr>
          <w:trHeight w:val="245"/>
        </w:trPr>
        <w:tc>
          <w:tcPr>
            <w:tcW w:w="5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66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400" w:type="dxa"/>
            <w:vAlign w:val="bottom"/>
            <w:shd w:val="clear" w:color="auto" w:fill="1D2758"/>
          </w:tcPr>
          <w:p>
            <w:pPr>
              <w:spacing w:after="0"/>
              <w:rPr>
                <w:sz w:val="21"/>
                <w:szCs w:val="21"/>
                <w:color w:val="auto"/>
              </w:rPr>
            </w:pPr>
          </w:p>
        </w:tc>
        <w:tc>
          <w:tcPr>
            <w:tcW w:w="1340" w:type="dxa"/>
            <w:vAlign w:val="bottom"/>
            <w:vMerge w:val="restart"/>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2024</w:t>
            </w:r>
          </w:p>
        </w:tc>
        <w:tc>
          <w:tcPr>
            <w:tcW w:w="80" w:type="dxa"/>
            <w:vAlign w:val="bottom"/>
            <w:shd w:val="clear" w:color="auto" w:fill="1D2758"/>
          </w:tcPr>
          <w:p>
            <w:pPr>
              <w:spacing w:after="0"/>
              <w:rPr>
                <w:sz w:val="21"/>
                <w:szCs w:val="21"/>
                <w:color w:val="auto"/>
              </w:rPr>
            </w:pPr>
          </w:p>
        </w:tc>
        <w:tc>
          <w:tcPr>
            <w:tcW w:w="240" w:type="dxa"/>
            <w:vAlign w:val="bottom"/>
            <w:shd w:val="clear" w:color="auto" w:fill="1D2758"/>
          </w:tcPr>
          <w:p>
            <w:pPr>
              <w:spacing w:after="0"/>
              <w:rPr>
                <w:sz w:val="21"/>
                <w:szCs w:val="21"/>
                <w:color w:val="auto"/>
              </w:rPr>
            </w:pPr>
          </w:p>
        </w:tc>
        <w:tc>
          <w:tcPr>
            <w:tcW w:w="152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97"/>
        </w:trPr>
        <w:tc>
          <w:tcPr>
            <w:tcW w:w="5800" w:type="dxa"/>
            <w:vAlign w:val="bottom"/>
            <w:shd w:val="clear" w:color="auto" w:fill="1D2758"/>
          </w:tcPr>
          <w:p>
            <w:pPr>
              <w:spacing w:after="0"/>
              <w:rPr>
                <w:sz w:val="8"/>
                <w:szCs w:val="8"/>
                <w:color w:val="auto"/>
              </w:rPr>
            </w:pPr>
          </w:p>
        </w:tc>
        <w:tc>
          <w:tcPr>
            <w:tcW w:w="1080" w:type="dxa"/>
            <w:vAlign w:val="bottom"/>
            <w:vMerge w:val="continue"/>
            <w:shd w:val="clear" w:color="auto" w:fill="1D2758"/>
          </w:tcPr>
          <w:p>
            <w:pPr>
              <w:spacing w:after="0"/>
              <w:rPr>
                <w:sz w:val="8"/>
                <w:szCs w:val="8"/>
                <w:color w:val="auto"/>
              </w:rPr>
            </w:pPr>
          </w:p>
        </w:tc>
        <w:tc>
          <w:tcPr>
            <w:tcW w:w="66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400" w:type="dxa"/>
            <w:vAlign w:val="bottom"/>
            <w:shd w:val="clear" w:color="auto" w:fill="1D2758"/>
          </w:tcPr>
          <w:p>
            <w:pPr>
              <w:spacing w:after="0"/>
              <w:rPr>
                <w:sz w:val="8"/>
                <w:szCs w:val="8"/>
                <w:color w:val="auto"/>
              </w:rPr>
            </w:pPr>
          </w:p>
        </w:tc>
        <w:tc>
          <w:tcPr>
            <w:tcW w:w="1340" w:type="dxa"/>
            <w:vAlign w:val="bottom"/>
            <w:vMerge w:val="continue"/>
            <w:shd w:val="clear" w:color="auto" w:fill="1D2758"/>
          </w:tcPr>
          <w:p>
            <w:pPr>
              <w:spacing w:after="0"/>
              <w:rPr>
                <w:sz w:val="8"/>
                <w:szCs w:val="8"/>
                <w:color w:val="auto"/>
              </w:rPr>
            </w:pPr>
          </w:p>
        </w:tc>
        <w:tc>
          <w:tcPr>
            <w:tcW w:w="80" w:type="dxa"/>
            <w:vAlign w:val="bottom"/>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52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5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080" w:type="dxa"/>
            <w:vAlign w:val="bottom"/>
            <w:shd w:val="clear" w:color="auto" w:fill="DBDBDB"/>
          </w:tcPr>
          <w:p>
            <w:pPr>
              <w:jc w:val="right"/>
              <w:ind w:right="90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434,224</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455,578</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(21,354)</w:t>
            </w:r>
          </w:p>
        </w:tc>
        <w:tc>
          <w:tcPr>
            <w:tcW w:w="0" w:type="dxa"/>
            <w:vAlign w:val="bottom"/>
          </w:tcPr>
          <w:p>
            <w:pPr>
              <w:spacing w:after="0"/>
              <w:rPr>
                <w:sz w:val="1"/>
                <w:szCs w:val="1"/>
                <w:color w:val="auto"/>
              </w:rPr>
            </w:pPr>
          </w:p>
        </w:tc>
      </w:tr>
      <w:tr>
        <w:trPr>
          <w:trHeight w:val="225"/>
        </w:trPr>
        <w:tc>
          <w:tcPr>
            <w:tcW w:w="580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98,517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114,765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(16,248)</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18,370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17,850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520</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08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15,730</w:t>
            </w:r>
          </w:p>
        </w:tc>
        <w:tc>
          <w:tcPr>
            <w:tcW w:w="100" w:type="dxa"/>
            <w:vAlign w:val="bottom"/>
            <w:shd w:val="clear" w:color="auto" w:fill="DBDBDB"/>
          </w:tcPr>
          <w:p>
            <w:pPr>
              <w:spacing w:after="0"/>
              <w:rPr>
                <w:sz w:val="20"/>
                <w:szCs w:val="20"/>
                <w:color w:val="auto"/>
              </w:rPr>
            </w:pPr>
          </w:p>
        </w:tc>
        <w:tc>
          <w:tcPr>
            <w:tcW w:w="400" w:type="dxa"/>
            <w:vAlign w:val="bottom"/>
            <w:tcBorders>
              <w:bottom w:val="single" w:sz="8" w:color="auto"/>
            </w:tcBorders>
            <w:shd w:val="clear" w:color="auto" w:fill="DBDBDB"/>
          </w:tcPr>
          <w:p>
            <w:pPr>
              <w:spacing w:after="0"/>
              <w:rPr>
                <w:sz w:val="20"/>
                <w:szCs w:val="20"/>
                <w:color w:val="auto"/>
              </w:rPr>
            </w:pPr>
          </w:p>
        </w:tc>
        <w:tc>
          <w:tcPr>
            <w:tcW w:w="13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13,239</w:t>
            </w:r>
          </w:p>
        </w:tc>
        <w:tc>
          <w:tcPr>
            <w:tcW w:w="80" w:type="dxa"/>
            <w:vAlign w:val="bottom"/>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2,491</w:t>
            </w:r>
          </w:p>
        </w:tc>
        <w:tc>
          <w:tcPr>
            <w:tcW w:w="0" w:type="dxa"/>
            <w:vAlign w:val="bottom"/>
          </w:tcPr>
          <w:p>
            <w:pPr>
              <w:spacing w:after="0"/>
              <w:rPr>
                <w:sz w:val="1"/>
                <w:szCs w:val="1"/>
                <w:color w:val="auto"/>
              </w:rPr>
            </w:pPr>
          </w:p>
        </w:tc>
      </w:tr>
      <w:tr>
        <w:trPr>
          <w:trHeight w:val="218"/>
        </w:trPr>
        <w:tc>
          <w:tcPr>
            <w:tcW w:w="580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566,841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601,432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(34,591)</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97,551</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96,050</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1,501</w:t>
            </w:r>
          </w:p>
        </w:tc>
        <w:tc>
          <w:tcPr>
            <w:tcW w:w="0" w:type="dxa"/>
            <w:vAlign w:val="bottom"/>
          </w:tcPr>
          <w:p>
            <w:pPr>
              <w:spacing w:after="0"/>
              <w:rPr>
                <w:sz w:val="1"/>
                <w:szCs w:val="1"/>
                <w:color w:val="auto"/>
              </w:rPr>
            </w:pPr>
          </w:p>
        </w:tc>
      </w:tr>
      <w:tr>
        <w:trPr>
          <w:trHeight w:val="225"/>
        </w:trPr>
        <w:tc>
          <w:tcPr>
            <w:tcW w:w="580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82,058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91,775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(9,717)</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13,806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9,665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4,141</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8,174</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6,246</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1,928</w:t>
            </w:r>
          </w:p>
        </w:tc>
        <w:tc>
          <w:tcPr>
            <w:tcW w:w="0" w:type="dxa"/>
            <w:vAlign w:val="bottom"/>
          </w:tcPr>
          <w:p>
            <w:pPr>
              <w:spacing w:after="0"/>
              <w:rPr>
                <w:sz w:val="1"/>
                <w:szCs w:val="1"/>
                <w:color w:val="auto"/>
              </w:rPr>
            </w:pPr>
          </w:p>
        </w:tc>
      </w:tr>
      <w:tr>
        <w:trPr>
          <w:trHeight w:val="225"/>
        </w:trPr>
        <w:tc>
          <w:tcPr>
            <w:tcW w:w="58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83,634</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76,212</w:t>
            </w:r>
          </w:p>
        </w:tc>
        <w:tc>
          <w:tcPr>
            <w:tcW w:w="8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7,422</w:t>
            </w:r>
          </w:p>
        </w:tc>
        <w:tc>
          <w:tcPr>
            <w:tcW w:w="0" w:type="dxa"/>
            <w:vAlign w:val="bottom"/>
          </w:tcPr>
          <w:p>
            <w:pPr>
              <w:spacing w:after="0"/>
              <w:rPr>
                <w:sz w:val="1"/>
                <w:szCs w:val="1"/>
                <w:color w:val="auto"/>
              </w:rPr>
            </w:pPr>
          </w:p>
        </w:tc>
      </w:tr>
      <w:tr>
        <w:trPr>
          <w:trHeight w:val="232"/>
        </w:trPr>
        <w:tc>
          <w:tcPr>
            <w:tcW w:w="58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281,618</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321,484</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(39,866)</w:t>
            </w:r>
          </w:p>
        </w:tc>
        <w:tc>
          <w:tcPr>
            <w:tcW w:w="0" w:type="dxa"/>
            <w:vAlign w:val="bottom"/>
          </w:tcPr>
          <w:p>
            <w:pPr>
              <w:spacing w:after="0"/>
              <w:rPr>
                <w:sz w:val="1"/>
                <w:szCs w:val="1"/>
                <w:color w:val="auto"/>
              </w:rPr>
            </w:pPr>
          </w:p>
        </w:tc>
      </w:tr>
      <w:tr>
        <w:trPr>
          <w:trHeight w:val="225"/>
        </w:trPr>
        <w:tc>
          <w:tcPr>
            <w:tcW w:w="580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137,699</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153,343</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(15,644)</w:t>
            </w:r>
          </w:p>
        </w:tc>
        <w:tc>
          <w:tcPr>
            <w:tcW w:w="0" w:type="dxa"/>
            <w:vAlign w:val="bottom"/>
          </w:tcPr>
          <w:p>
            <w:pPr>
              <w:spacing w:after="0"/>
              <w:rPr>
                <w:sz w:val="1"/>
                <w:szCs w:val="1"/>
                <w:color w:val="auto"/>
              </w:rPr>
            </w:pPr>
          </w:p>
        </w:tc>
      </w:tr>
      <w:tr>
        <w:trPr>
          <w:trHeight w:val="225"/>
        </w:trPr>
        <w:tc>
          <w:tcPr>
            <w:tcW w:w="580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24,424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23,108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1,316</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Termination fee</w:t>
            </w:r>
          </w:p>
        </w:tc>
        <w:tc>
          <w:tcPr>
            <w:tcW w:w="1080" w:type="dxa"/>
            <w:vAlign w:val="bottom"/>
            <w:shd w:val="clear" w:color="auto" w:fill="DBDBDB"/>
          </w:tcPr>
          <w:p>
            <w:pPr>
              <w:spacing w:after="0"/>
              <w:rPr>
                <w:sz w:val="20"/>
                <w:szCs w:val="20"/>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180,000</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0" w:type="dxa"/>
            <w:vAlign w:val="bottom"/>
          </w:tcPr>
          <w:p>
            <w:pPr>
              <w:spacing w:after="0"/>
              <w:rPr>
                <w:sz w:val="1"/>
                <w:szCs w:val="1"/>
                <w:color w:val="auto"/>
              </w:rPr>
            </w:pPr>
          </w:p>
        </w:tc>
      </w:tr>
      <w:tr>
        <w:trPr>
          <w:trHeight w:val="225"/>
        </w:trPr>
        <w:tc>
          <w:tcPr>
            <w:tcW w:w="5800" w:type="dxa"/>
            <w:vAlign w:val="bottom"/>
          </w:tcPr>
          <w:p>
            <w:pPr>
              <w:ind w:left="220"/>
              <w:spacing w:after="0"/>
              <w:rPr>
                <w:sz w:val="20"/>
                <w:szCs w:val="20"/>
                <w:color w:val="auto"/>
              </w:rPr>
            </w:pPr>
            <w:r>
              <w:rPr>
                <w:rFonts w:ascii="Arial" w:cs="Arial" w:eastAsia="Arial" w:hAnsi="Arial"/>
                <w:sz w:val="15"/>
                <w:szCs w:val="15"/>
                <w:color w:val="auto"/>
              </w:rPr>
              <w:t>Currency gains, net</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net</w:t>
            </w:r>
          </w:p>
        </w:tc>
        <w:tc>
          <w:tcPr>
            <w:tcW w:w="108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589</w:t>
            </w:r>
          </w:p>
        </w:tc>
        <w:tc>
          <w:tcPr>
            <w:tcW w:w="100" w:type="dxa"/>
            <w:vAlign w:val="bottom"/>
            <w:shd w:val="clear" w:color="auto" w:fill="DBDBDB"/>
          </w:tcPr>
          <w:p>
            <w:pPr>
              <w:spacing w:after="0"/>
              <w:rPr>
                <w:sz w:val="20"/>
                <w:szCs w:val="20"/>
                <w:color w:val="auto"/>
              </w:rPr>
            </w:pPr>
          </w:p>
        </w:tc>
        <w:tc>
          <w:tcPr>
            <w:tcW w:w="400" w:type="dxa"/>
            <w:vAlign w:val="bottom"/>
            <w:tcBorders>
              <w:bottom w:val="single" w:sz="8" w:color="auto"/>
            </w:tcBorders>
            <w:shd w:val="clear" w:color="auto" w:fill="DBDBDB"/>
          </w:tcPr>
          <w:p>
            <w:pPr>
              <w:spacing w:after="0"/>
              <w:rPr>
                <w:sz w:val="20"/>
                <w:szCs w:val="20"/>
                <w:color w:val="auto"/>
              </w:rPr>
            </w:pPr>
          </w:p>
        </w:tc>
        <w:tc>
          <w:tcPr>
            <w:tcW w:w="13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380</w:t>
            </w:r>
          </w:p>
        </w:tc>
        <w:tc>
          <w:tcPr>
            <w:tcW w:w="80" w:type="dxa"/>
            <w:vAlign w:val="bottom"/>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209</w:t>
            </w:r>
          </w:p>
        </w:tc>
        <w:tc>
          <w:tcPr>
            <w:tcW w:w="0" w:type="dxa"/>
            <w:vAlign w:val="bottom"/>
          </w:tcPr>
          <w:p>
            <w:pPr>
              <w:spacing w:after="0"/>
              <w:rPr>
                <w:sz w:val="1"/>
                <w:szCs w:val="1"/>
                <w:color w:val="auto"/>
              </w:rPr>
            </w:pPr>
          </w:p>
        </w:tc>
      </w:tr>
      <w:tr>
        <w:trPr>
          <w:trHeight w:val="218"/>
        </w:trPr>
        <w:tc>
          <w:tcPr>
            <w:tcW w:w="5800" w:type="dxa"/>
            <w:vAlign w:val="bottom"/>
          </w:tcPr>
          <w:p>
            <w:pPr>
              <w:ind w:left="440"/>
              <w:spacing w:after="0"/>
              <w:rPr>
                <w:sz w:val="20"/>
                <w:szCs w:val="20"/>
                <w:color w:val="auto"/>
              </w:rPr>
            </w:pPr>
            <w:r>
              <w:rPr>
                <w:rFonts w:ascii="Arial" w:cs="Arial" w:eastAsia="Arial" w:hAnsi="Arial"/>
                <w:sz w:val="15"/>
                <w:szCs w:val="15"/>
                <w:color w:val="auto"/>
              </w:rPr>
              <w:t>Operating income (loss)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118,806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(35,218)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154,024</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108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58,466</w:t>
            </w:r>
          </w:p>
        </w:tc>
        <w:tc>
          <w:tcPr>
            <w:tcW w:w="100" w:type="dxa"/>
            <w:vAlign w:val="bottom"/>
            <w:shd w:val="clear" w:color="auto" w:fill="DBDBDB"/>
          </w:tcPr>
          <w:p>
            <w:pPr>
              <w:spacing w:after="0"/>
              <w:rPr>
                <w:sz w:val="20"/>
                <w:szCs w:val="20"/>
                <w:color w:val="auto"/>
              </w:rPr>
            </w:pPr>
          </w:p>
        </w:tc>
        <w:tc>
          <w:tcPr>
            <w:tcW w:w="400" w:type="dxa"/>
            <w:vAlign w:val="bottom"/>
            <w:tcBorders>
              <w:bottom w:val="single" w:sz="8" w:color="auto"/>
            </w:tcBorders>
            <w:shd w:val="clear" w:color="auto" w:fill="DBDBDB"/>
          </w:tcPr>
          <w:p>
            <w:pPr>
              <w:spacing w:after="0"/>
              <w:rPr>
                <w:sz w:val="20"/>
                <w:szCs w:val="20"/>
                <w:color w:val="auto"/>
              </w:rPr>
            </w:pPr>
          </w:p>
        </w:tc>
        <w:tc>
          <w:tcPr>
            <w:tcW w:w="13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55,823</w:t>
            </w:r>
          </w:p>
        </w:tc>
        <w:tc>
          <w:tcPr>
            <w:tcW w:w="80" w:type="dxa"/>
            <w:vAlign w:val="bottom"/>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2,643</w:t>
            </w:r>
          </w:p>
        </w:tc>
        <w:tc>
          <w:tcPr>
            <w:tcW w:w="0" w:type="dxa"/>
            <w:vAlign w:val="bottom"/>
          </w:tcPr>
          <w:p>
            <w:pPr>
              <w:spacing w:after="0"/>
              <w:rPr>
                <w:sz w:val="1"/>
                <w:szCs w:val="1"/>
                <w:color w:val="auto"/>
              </w:rPr>
            </w:pPr>
          </w:p>
        </w:tc>
      </w:tr>
      <w:tr>
        <w:trPr>
          <w:trHeight w:val="218"/>
        </w:trPr>
        <w:tc>
          <w:tcPr>
            <w:tcW w:w="5800" w:type="dxa"/>
            <w:vAlign w:val="bottom"/>
          </w:tcPr>
          <w:p>
            <w:pPr>
              <w:ind w:left="20"/>
              <w:spacing w:after="0"/>
              <w:rPr>
                <w:sz w:val="20"/>
                <w:szCs w:val="20"/>
                <w:color w:val="auto"/>
              </w:rPr>
            </w:pPr>
            <w:r>
              <w:rPr>
                <w:rFonts w:ascii="Arial" w:cs="Arial" w:eastAsia="Arial" w:hAnsi="Arial"/>
                <w:sz w:val="15"/>
                <w:szCs w:val="15"/>
                <w:color w:val="auto"/>
              </w:rPr>
              <w:t>Income (loss) before income tax</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60,340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(91,041)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151,381</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(benefit)</w:t>
            </w:r>
          </w:p>
        </w:tc>
        <w:tc>
          <w:tcPr>
            <w:tcW w:w="108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17,008</w:t>
            </w:r>
          </w:p>
        </w:tc>
        <w:tc>
          <w:tcPr>
            <w:tcW w:w="100" w:type="dxa"/>
            <w:vAlign w:val="bottom"/>
            <w:shd w:val="clear" w:color="auto" w:fill="DBDBDB"/>
          </w:tcPr>
          <w:p>
            <w:pPr>
              <w:spacing w:after="0"/>
              <w:rPr>
                <w:sz w:val="20"/>
                <w:szCs w:val="20"/>
                <w:color w:val="auto"/>
              </w:rPr>
            </w:pPr>
          </w:p>
        </w:tc>
        <w:tc>
          <w:tcPr>
            <w:tcW w:w="400" w:type="dxa"/>
            <w:vAlign w:val="bottom"/>
            <w:tcBorders>
              <w:bottom w:val="single" w:sz="8" w:color="auto"/>
            </w:tcBorders>
            <w:shd w:val="clear" w:color="auto" w:fill="DBDBDB"/>
          </w:tcPr>
          <w:p>
            <w:pPr>
              <w:spacing w:after="0"/>
              <w:rPr>
                <w:sz w:val="20"/>
                <w:szCs w:val="20"/>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(20,566)</w:t>
            </w:r>
          </w:p>
        </w:tc>
        <w:tc>
          <w:tcPr>
            <w:tcW w:w="80" w:type="dxa"/>
            <w:vAlign w:val="bottom"/>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37,574</w:t>
            </w:r>
          </w:p>
        </w:tc>
        <w:tc>
          <w:tcPr>
            <w:tcW w:w="0" w:type="dxa"/>
            <w:vAlign w:val="bottom"/>
          </w:tcPr>
          <w:p>
            <w:pPr>
              <w:spacing w:after="0"/>
              <w:rPr>
                <w:sz w:val="1"/>
                <w:szCs w:val="1"/>
                <w:color w:val="auto"/>
              </w:rPr>
            </w:pPr>
          </w:p>
        </w:tc>
      </w:tr>
      <w:tr>
        <w:trPr>
          <w:trHeight w:val="218"/>
        </w:trPr>
        <w:tc>
          <w:tcPr>
            <w:tcW w:w="580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1080" w:type="dxa"/>
            <w:vAlign w:val="bottom"/>
            <w:tcBorders>
              <w:bottom w:val="single" w:sz="8" w:color="auto"/>
            </w:tcBorders>
          </w:tcPr>
          <w:p>
            <w:pPr>
              <w:jc w:val="right"/>
              <w:ind w:right="90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43,332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(70,475)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113,807</w:t>
            </w:r>
          </w:p>
        </w:tc>
        <w:tc>
          <w:tcPr>
            <w:tcW w:w="0" w:type="dxa"/>
            <w:vAlign w:val="bottom"/>
          </w:tcPr>
          <w:p>
            <w:pPr>
              <w:spacing w:after="0"/>
              <w:rPr>
                <w:sz w:val="1"/>
                <w:szCs w:val="1"/>
                <w:color w:val="auto"/>
              </w:rPr>
            </w:pPr>
          </w:p>
        </w:tc>
      </w:tr>
      <w:tr>
        <w:trPr>
          <w:trHeight w:val="26"/>
        </w:trPr>
        <w:tc>
          <w:tcPr>
            <w:tcW w:w="5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5460" w:type="dxa"/>
            <w:vAlign w:val="bottom"/>
            <w:shd w:val="clear" w:color="auto" w:fill="1D2758"/>
          </w:tcPr>
          <w:p>
            <w:pPr>
              <w:spacing w:after="0"/>
              <w:rPr>
                <w:sz w:val="20"/>
                <w:szCs w:val="20"/>
                <w:color w:val="auto"/>
              </w:rPr>
            </w:pPr>
          </w:p>
        </w:tc>
        <w:tc>
          <w:tcPr>
            <w:tcW w:w="320" w:type="dxa"/>
            <w:vAlign w:val="bottom"/>
            <w:shd w:val="clear" w:color="auto" w:fill="1D2758"/>
          </w:tcPr>
          <w:p>
            <w:pPr>
              <w:spacing w:after="0"/>
              <w:rPr>
                <w:sz w:val="20"/>
                <w:szCs w:val="20"/>
                <w:color w:val="auto"/>
              </w:rPr>
            </w:pPr>
          </w:p>
        </w:tc>
        <w:tc>
          <w:tcPr>
            <w:tcW w:w="3460" w:type="dxa"/>
            <w:vAlign w:val="bottom"/>
            <w:gridSpan w:val="3"/>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Three Months Ended September 30,</w:t>
            </w:r>
          </w:p>
        </w:tc>
        <w:tc>
          <w:tcPr>
            <w:tcW w:w="160" w:type="dxa"/>
            <w:vAlign w:val="bottom"/>
            <w:shd w:val="clear" w:color="auto" w:fill="1D2758"/>
          </w:tcPr>
          <w:p>
            <w:pPr>
              <w:spacing w:after="0"/>
              <w:rPr>
                <w:sz w:val="20"/>
                <w:szCs w:val="20"/>
                <w:color w:val="auto"/>
              </w:rPr>
            </w:pPr>
          </w:p>
        </w:tc>
        <w:tc>
          <w:tcPr>
            <w:tcW w:w="1820" w:type="dxa"/>
            <w:vAlign w:val="bottom"/>
            <w:gridSpan w:val="2"/>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2025 vs. 2024 Change</w:t>
            </w:r>
          </w:p>
        </w:tc>
        <w:tc>
          <w:tcPr>
            <w:tcW w:w="0" w:type="dxa"/>
            <w:vAlign w:val="bottom"/>
          </w:tcPr>
          <w:p>
            <w:pPr>
              <w:spacing w:after="0"/>
              <w:rPr>
                <w:sz w:val="1"/>
                <w:szCs w:val="1"/>
                <w:color w:val="auto"/>
              </w:rPr>
            </w:pPr>
          </w:p>
        </w:tc>
      </w:tr>
      <w:tr>
        <w:trPr>
          <w:trHeight w:val="155"/>
        </w:trPr>
        <w:tc>
          <w:tcPr>
            <w:tcW w:w="54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units on rent and monthly rental rate)</w:t>
            </w:r>
          </w:p>
        </w:tc>
        <w:tc>
          <w:tcPr>
            <w:tcW w:w="320" w:type="dxa"/>
            <w:vAlign w:val="bottom"/>
            <w:shd w:val="clear" w:color="auto" w:fill="1D2758"/>
          </w:tcPr>
          <w:p>
            <w:pPr>
              <w:spacing w:after="0"/>
              <w:rPr>
                <w:sz w:val="13"/>
                <w:szCs w:val="13"/>
                <w:color w:val="auto"/>
              </w:rPr>
            </w:pPr>
          </w:p>
        </w:tc>
        <w:tc>
          <w:tcPr>
            <w:tcW w:w="1520" w:type="dxa"/>
            <w:vAlign w:val="bottom"/>
            <w:vMerge w:val="restart"/>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2025</w:t>
            </w:r>
          </w:p>
        </w:tc>
        <w:tc>
          <w:tcPr>
            <w:tcW w:w="460" w:type="dxa"/>
            <w:vAlign w:val="bottom"/>
            <w:shd w:val="clear" w:color="auto" w:fill="1D2758"/>
          </w:tcPr>
          <w:p>
            <w:pPr>
              <w:spacing w:after="0"/>
              <w:rPr>
                <w:sz w:val="13"/>
                <w:szCs w:val="13"/>
                <w:color w:val="auto"/>
              </w:rPr>
            </w:pPr>
          </w:p>
        </w:tc>
        <w:tc>
          <w:tcPr>
            <w:tcW w:w="148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2024</w:t>
            </w:r>
          </w:p>
        </w:tc>
        <w:tc>
          <w:tcPr>
            <w:tcW w:w="160" w:type="dxa"/>
            <w:vAlign w:val="bottom"/>
            <w:shd w:val="clear" w:color="auto" w:fill="1D2758"/>
          </w:tcPr>
          <w:p>
            <w:pPr>
              <w:spacing w:after="0"/>
              <w:rPr>
                <w:sz w:val="13"/>
                <w:szCs w:val="13"/>
                <w:color w:val="auto"/>
              </w:rPr>
            </w:pPr>
          </w:p>
        </w:tc>
        <w:tc>
          <w:tcPr>
            <w:tcW w:w="1820" w:type="dxa"/>
            <w:vAlign w:val="bottom"/>
            <w:gridSpan w:val="2"/>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5460" w:type="dxa"/>
            <w:vAlign w:val="bottom"/>
            <w:vMerge w:val="continue"/>
            <w:shd w:val="clear" w:color="auto" w:fill="1D2758"/>
          </w:tcPr>
          <w:p>
            <w:pPr>
              <w:spacing w:after="0"/>
              <w:rPr>
                <w:sz w:val="8"/>
                <w:szCs w:val="8"/>
                <w:color w:val="auto"/>
              </w:rPr>
            </w:pPr>
          </w:p>
        </w:tc>
        <w:tc>
          <w:tcPr>
            <w:tcW w:w="320" w:type="dxa"/>
            <w:vAlign w:val="bottom"/>
            <w:shd w:val="clear" w:color="auto" w:fill="1D2758"/>
          </w:tcPr>
          <w:p>
            <w:pPr>
              <w:spacing w:after="0"/>
              <w:rPr>
                <w:sz w:val="8"/>
                <w:szCs w:val="8"/>
                <w:color w:val="auto"/>
              </w:rPr>
            </w:pPr>
          </w:p>
        </w:tc>
        <w:tc>
          <w:tcPr>
            <w:tcW w:w="1520" w:type="dxa"/>
            <w:vAlign w:val="bottom"/>
            <w:vMerge w:val="continue"/>
            <w:shd w:val="clear" w:color="auto" w:fill="1D2758"/>
          </w:tcPr>
          <w:p>
            <w:pPr>
              <w:spacing w:after="0"/>
              <w:rPr>
                <w:sz w:val="8"/>
                <w:szCs w:val="8"/>
                <w:color w:val="auto"/>
              </w:rPr>
            </w:pPr>
          </w:p>
        </w:tc>
        <w:tc>
          <w:tcPr>
            <w:tcW w:w="460" w:type="dxa"/>
            <w:vAlign w:val="bottom"/>
            <w:shd w:val="clear" w:color="auto" w:fill="1D2758"/>
          </w:tcPr>
          <w:p>
            <w:pPr>
              <w:spacing w:after="0"/>
              <w:rPr>
                <w:sz w:val="8"/>
                <w:szCs w:val="8"/>
                <w:color w:val="auto"/>
              </w:rPr>
            </w:pPr>
          </w:p>
        </w:tc>
        <w:tc>
          <w:tcPr>
            <w:tcW w:w="1480" w:type="dxa"/>
            <w:vAlign w:val="bottom"/>
            <w:vMerge w:val="continue"/>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520" w:type="dxa"/>
            <w:vAlign w:val="bottom"/>
            <w:shd w:val="clear" w:color="auto" w:fill="1D2758"/>
          </w:tcPr>
          <w:p>
            <w:pPr>
              <w:spacing w:after="0"/>
              <w:rPr>
                <w:sz w:val="8"/>
                <w:szCs w:val="8"/>
                <w:color w:val="auto"/>
              </w:rPr>
            </w:pPr>
          </w:p>
        </w:tc>
        <w:tc>
          <w:tcPr>
            <w:tcW w:w="30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243,307</w:t>
            </w:r>
          </w:p>
        </w:tc>
        <w:tc>
          <w:tcPr>
            <w:tcW w:w="4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266,863</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(23,556)</w:t>
            </w:r>
          </w:p>
        </w:tc>
        <w:tc>
          <w:tcPr>
            <w:tcW w:w="3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163"/>
              <w:spacing w:after="0"/>
              <w:rPr>
                <w:sz w:val="20"/>
                <w:szCs w:val="20"/>
                <w:color w:val="auto"/>
              </w:rPr>
            </w:pPr>
            <w:r>
              <w:rPr>
                <w:rFonts w:ascii="Arial" w:cs="Arial" w:eastAsia="Arial" w:hAnsi="Arial"/>
                <w:sz w:val="15"/>
                <w:szCs w:val="15"/>
                <w:color w:val="auto"/>
              </w:rPr>
              <w:t>81,018</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03"/>
              <w:spacing w:after="0"/>
              <w:rPr>
                <w:sz w:val="20"/>
                <w:szCs w:val="20"/>
                <w:color w:val="auto"/>
              </w:rPr>
            </w:pPr>
            <w:r>
              <w:rPr>
                <w:rFonts w:ascii="Arial" w:cs="Arial" w:eastAsia="Arial" w:hAnsi="Arial"/>
                <w:sz w:val="15"/>
                <w:szCs w:val="15"/>
                <w:color w:val="auto"/>
              </w:rPr>
              <w:t>69,398</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11,620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CAPEX</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68,939</w:t>
            </w:r>
          </w:p>
        </w:tc>
        <w:tc>
          <w:tcPr>
            <w:tcW w:w="4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58,560</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10,379</w:t>
            </w:r>
          </w:p>
        </w:tc>
        <w:tc>
          <w:tcPr>
            <w:tcW w:w="3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320" w:type="dxa"/>
            <w:vAlign w:val="bottom"/>
          </w:tcPr>
          <w:p>
            <w:pPr>
              <w:spacing w:after="0"/>
              <w:rPr>
                <w:sz w:val="19"/>
                <w:szCs w:val="19"/>
                <w:color w:val="auto"/>
              </w:rPr>
            </w:pPr>
          </w:p>
        </w:tc>
        <w:tc>
          <w:tcPr>
            <w:tcW w:w="1520" w:type="dxa"/>
            <w:vAlign w:val="bottom"/>
          </w:tcPr>
          <w:p>
            <w:pPr>
              <w:jc w:val="right"/>
              <w:ind w:right="163"/>
              <w:spacing w:after="0"/>
              <w:rPr>
                <w:sz w:val="20"/>
                <w:szCs w:val="20"/>
                <w:color w:val="auto"/>
              </w:rPr>
            </w:pPr>
            <w:r>
              <w:rPr>
                <w:rFonts w:ascii="Arial" w:cs="Arial" w:eastAsia="Arial" w:hAnsi="Arial"/>
                <w:sz w:val="15"/>
                <w:szCs w:val="15"/>
                <w:color w:val="auto"/>
              </w:rPr>
              <w:t>89,390</w:t>
            </w:r>
          </w:p>
        </w:tc>
        <w:tc>
          <w:tcPr>
            <w:tcW w:w="460" w:type="dxa"/>
            <w:vAlign w:val="bottom"/>
          </w:tcPr>
          <w:p>
            <w:pPr>
              <w:spacing w:after="0"/>
              <w:rPr>
                <w:sz w:val="19"/>
                <w:szCs w:val="19"/>
                <w:color w:val="auto"/>
              </w:rPr>
            </w:pPr>
          </w:p>
        </w:tc>
        <w:tc>
          <w:tcPr>
            <w:tcW w:w="1480" w:type="dxa"/>
            <w:vAlign w:val="bottom"/>
          </w:tcPr>
          <w:p>
            <w:pPr>
              <w:jc w:val="right"/>
              <w:ind w:right="203"/>
              <w:spacing w:after="0"/>
              <w:rPr>
                <w:sz w:val="20"/>
                <w:szCs w:val="20"/>
                <w:color w:val="auto"/>
              </w:rPr>
            </w:pPr>
            <w:r>
              <w:rPr>
                <w:rFonts w:ascii="Arial" w:cs="Arial" w:eastAsia="Arial" w:hAnsi="Arial"/>
                <w:sz w:val="15"/>
                <w:szCs w:val="15"/>
                <w:color w:val="auto"/>
              </w:rPr>
              <w:t>94,911</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(5,521)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2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59.3 %</w:t>
            </w:r>
          </w:p>
        </w:tc>
        <w:tc>
          <w:tcPr>
            <w:tcW w:w="460" w:type="dxa"/>
            <w:vAlign w:val="bottom"/>
            <w:shd w:val="clear" w:color="auto" w:fill="DBDBDB"/>
          </w:tcPr>
          <w:p>
            <w:pPr>
              <w:spacing w:after="0"/>
              <w:rPr>
                <w:sz w:val="20"/>
                <w:szCs w:val="20"/>
                <w:color w:val="auto"/>
              </w:rPr>
            </w:pPr>
          </w:p>
        </w:tc>
        <w:tc>
          <w:tcPr>
            <w:tcW w:w="148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62.1 %</w:t>
            </w:r>
          </w:p>
        </w:tc>
        <w:tc>
          <w:tcPr>
            <w:tcW w:w="160" w:type="dxa"/>
            <w:vAlign w:val="bottom"/>
            <w:shd w:val="clear" w:color="auto" w:fill="DBDBDB"/>
          </w:tcPr>
          <w:p>
            <w:pPr>
              <w:spacing w:after="0"/>
              <w:rPr>
                <w:sz w:val="20"/>
                <w:szCs w:val="20"/>
                <w:color w:val="auto"/>
              </w:rPr>
            </w:pPr>
          </w:p>
        </w:tc>
        <w:tc>
          <w:tcPr>
            <w:tcW w:w="18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(280) bps</w:t>
            </w: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163"/>
              <w:spacing w:after="0"/>
              <w:rPr>
                <w:sz w:val="20"/>
                <w:szCs w:val="20"/>
                <w:color w:val="auto"/>
              </w:rPr>
            </w:pPr>
            <w:r>
              <w:rPr>
                <w:rFonts w:ascii="Arial" w:cs="Arial" w:eastAsia="Arial" w:hAnsi="Arial"/>
                <w:sz w:val="15"/>
                <w:szCs w:val="15"/>
                <w:color w:val="auto"/>
              </w:rPr>
              <w:t>1,254</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03"/>
              <w:spacing w:after="0"/>
              <w:rPr>
                <w:sz w:val="20"/>
                <w:szCs w:val="20"/>
                <w:color w:val="auto"/>
              </w:rPr>
            </w:pPr>
            <w:r>
              <w:rPr>
                <w:rFonts w:ascii="Arial" w:cs="Arial" w:eastAsia="Arial" w:hAnsi="Arial"/>
                <w:sz w:val="15"/>
                <w:szCs w:val="15"/>
                <w:color w:val="auto"/>
              </w:rPr>
              <w:t>1,199</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55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units on rent</w:t>
            </w:r>
          </w:p>
        </w:tc>
        <w:tc>
          <w:tcPr>
            <w:tcW w:w="320" w:type="dxa"/>
            <w:vAlign w:val="bottom"/>
            <w:shd w:val="clear" w:color="auto" w:fill="DBDBDB"/>
          </w:tcPr>
          <w:p>
            <w:pPr>
              <w:spacing w:after="0"/>
              <w:rPr>
                <w:sz w:val="20"/>
                <w:szCs w:val="20"/>
                <w:color w:val="auto"/>
              </w:rPr>
            </w:pPr>
          </w:p>
        </w:tc>
        <w:tc>
          <w:tcPr>
            <w:tcW w:w="15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105,792</w:t>
            </w:r>
          </w:p>
        </w:tc>
        <w:tc>
          <w:tcPr>
            <w:tcW w:w="460" w:type="dxa"/>
            <w:vAlign w:val="bottom"/>
            <w:shd w:val="clear" w:color="auto" w:fill="DBDBDB"/>
          </w:tcPr>
          <w:p>
            <w:pPr>
              <w:spacing w:after="0"/>
              <w:rPr>
                <w:sz w:val="20"/>
                <w:szCs w:val="20"/>
                <w:color w:val="auto"/>
              </w:rPr>
            </w:pPr>
          </w:p>
        </w:tc>
        <w:tc>
          <w:tcPr>
            <w:tcW w:w="14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122,732</w:t>
            </w:r>
          </w:p>
        </w:tc>
        <w:tc>
          <w:tcPr>
            <w:tcW w:w="16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(16,940)</w:t>
            </w:r>
          </w:p>
        </w:tc>
        <w:tc>
          <w:tcPr>
            <w:tcW w:w="3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50.3 %</w:t>
            </w:r>
          </w:p>
        </w:tc>
        <w:tc>
          <w:tcPr>
            <w:tcW w:w="460" w:type="dxa"/>
            <w:vAlign w:val="bottom"/>
          </w:tcPr>
          <w:p>
            <w:pPr>
              <w:spacing w:after="0"/>
              <w:rPr>
                <w:sz w:val="19"/>
                <w:szCs w:val="19"/>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58.1 %</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(780)</w:t>
            </w:r>
          </w:p>
        </w:tc>
        <w:tc>
          <w:tcPr>
            <w:tcW w:w="300" w:type="dxa"/>
            <w:vAlign w:val="bottom"/>
          </w:tcPr>
          <w:p>
            <w:pPr>
              <w:jc w:val="right"/>
              <w:spacing w:after="0"/>
              <w:rPr>
                <w:sz w:val="20"/>
                <w:szCs w:val="20"/>
                <w:color w:val="auto"/>
              </w:rPr>
            </w:pPr>
            <w:r>
              <w:rPr>
                <w:rFonts w:ascii="Arial" w:cs="Arial" w:eastAsia="Arial" w:hAnsi="Arial"/>
                <w:sz w:val="15"/>
                <w:szCs w:val="15"/>
                <w:color w:val="auto"/>
              </w:rPr>
              <w:t>bps</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290</w:t>
            </w:r>
          </w:p>
        </w:tc>
        <w:tc>
          <w:tcPr>
            <w:tcW w:w="4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265</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w:t>
            </w:r>
          </w:p>
        </w:tc>
        <w:tc>
          <w:tcPr>
            <w:tcW w:w="3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September 30, 2025 and 2024</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decreased $34.6 million, or 5.8%, to $566.8 million for the three months ended September 30, 2025 from $601.4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2024. The decline in revenue was driven by a decrease in units on rent and a $20.0 million increase in accounts receivable write-offs recorded as a reduction to revenue compared to the same period in 2024. The increased write-offs were primarily driven by accounts receivables that we deemed uncollectible as our central operations team progresses our initiative to improve our order-to-cash process and reduce our days sales outstanding. However, write-offs to receivables recorded as a reduction to revenue result in a corresponding reduction to the provision for credit losses recorded in SG&amp;A to the extent that the related receivables are already reserved. See further discussion below of the net impact to Adjusted EBITDA.</w:t>
      </w:r>
    </w:p>
    <w:p>
      <w:pPr>
        <w:spacing w:after="0" w:line="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Leasing revenue decreased $21.4 million, or 4.7%, as compared to the same period in 2024, driven by a decrease of 22,461 total average units on rent and the increase in accounts receivable write-offs, which drove $15.5 million of the decrease. Increases in average monthly rental rates offset some of these decreases. Delivery and installation revenue decreased $16.2 million, or 14.2%, due to the decline in activations and returns, as well as a large project in the prior year of approximately $18.0 million. Rental unit sales increased $2.5 million, or 18.8%, and new unit sales increased $0.5 million, or 2.9%.</w:t>
      </w:r>
    </w:p>
    <w:p>
      <w:pPr>
        <w:spacing w:after="0" w:line="20"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5"/>
          <w:szCs w:val="15"/>
          <w:color w:val="auto"/>
        </w:rPr>
        <w:t>Total average units on rent for the three months ended September 30, 2025 and 2024 were 195,182 and 217,643, respectively, representing a decrease of 22,461 units, or 10.3%. Lower demand was driven by reduced non-residential construction project starts due to higher interest rates and increased economic uncertainty.</w:t>
      </w:r>
    </w:p>
    <w:p>
      <w:pPr>
        <w:spacing w:after="0" w:line="198"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Modular space average units on rent decreased 5,521 units, or 5.8%, for the three months ended September 30, 2025 as compared to the three months ended September 30, 2024. The average modular space utilization rate during the three months ended September 30, 2025 was 59.3% as compared to 62.1% during the same period in 2024. The decline in modular space units on rent was primarily driven by weaker non-residential construction starts.</w:t>
      </w:r>
    </w:p>
    <w:p>
      <w:pPr>
        <w:jc w:val="both"/>
        <w:ind w:firstLine="619"/>
        <w:spacing w:after="0" w:line="281" w:lineRule="auto"/>
        <w:rPr>
          <w:sz w:val="20"/>
          <w:szCs w:val="20"/>
          <w:color w:val="auto"/>
        </w:rPr>
      </w:pPr>
      <w:r>
        <w:rPr>
          <w:rFonts w:ascii="Arial" w:cs="Arial" w:eastAsia="Arial" w:hAnsi="Arial"/>
          <w:sz w:val="15"/>
          <w:szCs w:val="15"/>
          <w:color w:val="auto"/>
        </w:rPr>
        <w:t>Portable storage average units on rent decreased by 16,940 units, or 13.8%, for the three months ended September 30, 2025 driven by lower demand in 2025, as well as lower orders related to seasonal retail business that typically occurs in the third and fourth quarters. The average portable storage unit utilization rate during the three months ended September 30, 2025 was 50.3% as compared to 58.1% during the same period in 2024.</w:t>
      </w:r>
    </w:p>
    <w:p>
      <w:pPr>
        <w:jc w:val="both"/>
        <w:ind w:firstLine="619"/>
        <w:spacing w:after="0" w:line="271" w:lineRule="auto"/>
        <w:rPr>
          <w:sz w:val="20"/>
          <w:szCs w:val="20"/>
          <w:color w:val="auto"/>
        </w:rPr>
      </w:pPr>
      <w:r>
        <w:rPr>
          <w:rFonts w:ascii="Arial" w:cs="Arial" w:eastAsia="Arial" w:hAnsi="Arial"/>
          <w:sz w:val="15"/>
          <w:szCs w:val="15"/>
          <w:color w:val="auto"/>
        </w:rPr>
        <w:t>Modular space average monthly rental rates increased 4.6% year over year to $1,254 for the three months ended September 30, 2025, driven by our long-term price optimization strategies and VAPS penetration opportunities. Average portable storage monthly rental rates increased 9.6% year over year to $290 for the three months ended September 30, 2025 as a result of the mix effects from higher rates on climate-controlled containers and trailers. Total VAPS revenues, which were included in leasing revenue, were $100.2 million for both the three months ended September 30, 2025 and 2024.</w:t>
      </w:r>
    </w:p>
    <w:p>
      <w:pPr>
        <w:spacing w:after="0" w:line="7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decreased $39.9 million, or 12.4%, to $281.6 million for the three months ended September 30, 2025 from $321.5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2024. The decrease in gross profit was a result of a $22.9 million decrease in leasing gross profit, decreased delivery and installation gross profit of $6.5 million, a $3.1 million decrease in new and rental unit sales gross profit, and a $7.4 million increase in depreciation of rental equipment. The decrease in leasing gross profit was primarily driven by lower demand in 2025 and the increased accounts receivable write-offs. A $7.3 million increase in depreciation of rental equipment was driven by incremental depreciation recorded for rental equipment identified for disposal as part of the Company's network optimization initiative.</w:t>
      </w:r>
    </w:p>
    <w:p>
      <w:pPr>
        <w:spacing w:after="0" w:line="19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Cost of leasing and services decreased by $8.2 million, or 4.4%, for the three months ended September 30, 2025 as compared to the three months ended September 30, 2024, driven primarily by a decrease in subcontractor costs of $17.0 million, or 22.8%, as we continued our insourcing initiatives and reduced variable costs to match demand, partially offset by an increase in materials costs of $1.3 million, or 5.9%, and an increase in labor costs of $4.2 million, or 6.3%. Increased material costs and labor costs were driven by increased sitework expense associated with an increased mix of large, complex projects. We expect to continue adjusting variable costs where appropriate to match demand in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8" w:name="page29"/>
    <w:bookmarkEnd w:id="28"/>
    <w:p>
      <w:pPr>
        <w:jc w:val="both"/>
        <w:ind w:firstLine="619"/>
        <w:spacing w:after="0" w:line="294" w:lineRule="auto"/>
        <w:rPr>
          <w:sz w:val="20"/>
          <w:szCs w:val="20"/>
          <w:color w:val="auto"/>
        </w:rPr>
      </w:pPr>
      <w:r>
        <w:rPr>
          <w:rFonts w:ascii="Arial" w:cs="Arial" w:eastAsia="Arial" w:hAnsi="Arial"/>
          <w:sz w:val="15"/>
          <w:szCs w:val="15"/>
          <w:color w:val="auto"/>
        </w:rPr>
        <w:t>Cost of sales increased by $6.1 million, or 38.1%, driven by an increased mix of sales of higher value new units. Our resulting gross profit percentage was 49.7% and 53.5% for the three months ended September 30, 2025 and 2024, respectively.</w:t>
      </w:r>
    </w:p>
    <w:p>
      <w:pPr>
        <w:spacing w:after="0" w:line="5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Selling, general and administrative expense: </w:t>
      </w:r>
      <w:r>
        <w:rPr>
          <w:rFonts w:ascii="Arial" w:cs="Arial" w:eastAsia="Arial" w:hAnsi="Arial"/>
          <w:sz w:val="15"/>
          <w:szCs w:val="15"/>
          <w:color w:val="auto"/>
        </w:rPr>
        <w:t>SG&amp;A decreased $15.6 million, or 10.2%, to $137.7 million for the three months ended September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2025, as compared to $153.3 million for the three months ended September 30, 2024. The decrease was driven by a $6.8 million decrease in legal and professional fees primarily related to our terminated acquisition of McGrath in 2024, a $23.1 million decrease in the provision for credit losses, and a $2.5 million decrease in restructuring costs. These decreased costs were partially offset by a $13.7 million increase in employee SG&amp;A excluding stock compensation, which was primarily related to variable compensation and higher employee insurance costs, as well as an increase of approximately 100 incremental sales headcount, a $2.3 million increase in real estate and occupancy costs, and a $1.3 million increase in service agreements and professional fees</w:t>
      </w:r>
    </w:p>
    <w:p>
      <w:pPr>
        <w:spacing w:after="0" w:line="6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decreased $23.6 million, or 9%, to $243.3 million for the three months ended September 30, 2025 from $266.9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September 30, 2024. The decrease was driven by a $22.9 million decrease in leasing gross profit, decreased delivery and installation gross profit of $6.5 million, and a $3.1 million decrease in new and used sales gross profit. The decrease was partially offset by decreased SG&amp;A, excluding discrete costs, of $7.5 million. The net impact to Adjusted EBITDA of accounts receivable write-offs recorded as a reduction to revenue and the provision for credit losses recorded in SG&amp;A was a $17.8 million and $22.1 million reduction to Adjusted EBITDA for the three months ended September 30, 2025 and the three months ended September 30, 2024, respectively, thus resulting in a $4.3 million positive impact to Adjusted EBITDA year over year.</w:t>
      </w:r>
    </w:p>
    <w:p>
      <w:pPr>
        <w:spacing w:after="0" w:line="6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$1.3 million to $24.4 million for the three months ended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2025 as compared to $23.1 million for the three months ended September 30, 2024.</w:t>
      </w:r>
    </w:p>
    <w:p>
      <w:pPr>
        <w:spacing w:after="0" w:line="2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Termination fee: </w:t>
      </w:r>
      <w:r>
        <w:rPr>
          <w:rFonts w:ascii="Arial" w:cs="Arial" w:eastAsia="Arial" w:hAnsi="Arial"/>
          <w:sz w:val="15"/>
          <w:szCs w:val="15"/>
          <w:color w:val="auto"/>
        </w:rPr>
        <w:t>We paid a termination fee of $180.0 million to McGrath related to the termination of a merger agreement during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2024. This charge did not occur in the third quarter of 2025.</w:t>
      </w:r>
    </w:p>
    <w:p>
      <w:pPr>
        <w:spacing w:after="0" w:line="16"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net increased $2.6 million, or 4.7%, to $58.5 million for the three months ended September 30, 2025 from $55.8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September 30, 2024. The increase in net interest expense was driven by a decrease in amounts received from the Company’s interest rate swap agreements as a result of decreased benchmark rates.</w:t>
      </w:r>
    </w:p>
    <w:p>
      <w:pPr>
        <w:spacing w:after="0" w:line="6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Income tax expense (benefit): </w:t>
      </w:r>
      <w:r>
        <w:rPr>
          <w:rFonts w:ascii="Arial" w:cs="Arial" w:eastAsia="Arial" w:hAnsi="Arial"/>
          <w:sz w:val="15"/>
          <w:szCs w:val="15"/>
          <w:color w:val="auto"/>
        </w:rPr>
        <w:t>Income tax expense was $17.0 million for the three months ended September 30, 2025 compared to income tax benefit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$20.6 million for the three months ended September 30, 2024, an increase in expense of $37.6 million. The increase in expense was primarily driven by an increase in income before income tax for the three months ended September 30, 2025.</w:t>
      </w:r>
    </w:p>
    <w:p>
      <w:pPr>
        <w:spacing w:after="0" w:line="6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Capital expenditures for rental equipment increased $11.6 million, to $81.0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2025 from $69.4 million for the three months ended September 30, 2024. Net CAPEX increased $10.4 million, or 18%, to $68.9 million for the three months ended September 30, 2025 from $58.6 million for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Nine Months Ended September 30, 2025 Compared to the Nine Months Ended September 30,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40" w:type="dxa"/>
            <w:vAlign w:val="bottom"/>
            <w:gridSpan w:val="8"/>
          </w:tcPr>
          <w:p>
            <w:pPr>
              <w:ind w:left="620"/>
              <w:spacing w:after="0"/>
              <w:rPr>
                <w:sz w:val="20"/>
                <w:szCs w:val="20"/>
                <w:color w:val="auto"/>
              </w:rPr>
            </w:pPr>
            <w:r>
              <w:rPr>
                <w:rFonts w:ascii="Arial" w:cs="Arial" w:eastAsia="Arial" w:hAnsi="Arial"/>
                <w:sz w:val="15"/>
                <w:szCs w:val="15"/>
                <w:color w:val="auto"/>
              </w:rPr>
              <w:t>Certain consolidated results of operations for the nine months ended September 30, 2025 and 2024 are presented below.</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80" w:type="dxa"/>
            <w:vAlign w:val="bottom"/>
            <w:gridSpan w:val="2"/>
          </w:tcPr>
          <w:p>
            <w:pPr>
              <w:spacing w:after="0"/>
              <w:rPr>
                <w:sz w:val="5"/>
                <w:szCs w:val="5"/>
                <w:color w:val="auto"/>
              </w:rPr>
            </w:pPr>
          </w:p>
        </w:tc>
        <w:tc>
          <w:tcPr>
            <w:tcW w:w="1700" w:type="dxa"/>
            <w:vAlign w:val="bottom"/>
            <w:gridSpan w:val="3"/>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4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22"/>
                <w:szCs w:val="22"/>
                <w:color w:val="auto"/>
              </w:rPr>
            </w:pPr>
          </w:p>
        </w:tc>
        <w:tc>
          <w:tcPr>
            <w:tcW w:w="160" w:type="dxa"/>
            <w:vAlign w:val="bottom"/>
            <w:shd w:val="clear" w:color="auto" w:fill="1D2758"/>
          </w:tcPr>
          <w:p>
            <w:pPr>
              <w:spacing w:after="0"/>
              <w:rPr>
                <w:sz w:val="22"/>
                <w:szCs w:val="22"/>
                <w:color w:val="auto"/>
              </w:rPr>
            </w:pPr>
          </w:p>
        </w:tc>
        <w:tc>
          <w:tcPr>
            <w:tcW w:w="3280" w:type="dxa"/>
            <w:vAlign w:val="bottom"/>
            <w:gridSpan w:val="5"/>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Nine Months Ended September 30,</w:t>
            </w:r>
          </w:p>
        </w:tc>
        <w:tc>
          <w:tcPr>
            <w:tcW w:w="140" w:type="dxa"/>
            <w:vAlign w:val="bottom"/>
            <w:shd w:val="clear" w:color="auto" w:fill="1D2758"/>
          </w:tcPr>
          <w:p>
            <w:pPr>
              <w:spacing w:after="0"/>
              <w:rPr>
                <w:sz w:val="22"/>
                <w:szCs w:val="22"/>
                <w:color w:val="auto"/>
              </w:rPr>
            </w:pPr>
          </w:p>
        </w:tc>
        <w:tc>
          <w:tcPr>
            <w:tcW w:w="80" w:type="dxa"/>
            <w:vAlign w:val="bottom"/>
            <w:shd w:val="clear" w:color="auto" w:fill="1D2758"/>
          </w:tcPr>
          <w:p>
            <w:pPr>
              <w:spacing w:after="0"/>
              <w:rPr>
                <w:sz w:val="22"/>
                <w:szCs w:val="22"/>
                <w:color w:val="auto"/>
              </w:rPr>
            </w:pPr>
          </w:p>
        </w:tc>
        <w:tc>
          <w:tcPr>
            <w:tcW w:w="220" w:type="dxa"/>
            <w:vAlign w:val="bottom"/>
            <w:shd w:val="clear" w:color="auto" w:fill="1D2758"/>
          </w:tcPr>
          <w:p>
            <w:pPr>
              <w:spacing w:after="0"/>
              <w:rPr>
                <w:sz w:val="22"/>
                <w:szCs w:val="22"/>
                <w:color w:val="auto"/>
              </w:rPr>
            </w:pPr>
          </w:p>
        </w:tc>
        <w:tc>
          <w:tcPr>
            <w:tcW w:w="154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2025 vs. 2024 $</w:t>
            </w:r>
          </w:p>
        </w:tc>
        <w:tc>
          <w:tcPr>
            <w:tcW w:w="0" w:type="dxa"/>
            <w:vAlign w:val="bottom"/>
          </w:tcPr>
          <w:p>
            <w:pPr>
              <w:spacing w:after="0"/>
              <w:rPr>
                <w:sz w:val="1"/>
                <w:szCs w:val="1"/>
                <w:color w:val="auto"/>
              </w:rPr>
            </w:pPr>
          </w:p>
        </w:tc>
      </w:tr>
      <w:tr>
        <w:trPr>
          <w:trHeight w:val="238"/>
        </w:trPr>
        <w:tc>
          <w:tcPr>
            <w:tcW w:w="5460" w:type="dxa"/>
            <w:vAlign w:val="bottom"/>
            <w:vMerge w:val="continue"/>
            <w:shd w:val="clear" w:color="auto" w:fill="1D2758"/>
          </w:tcPr>
          <w:p>
            <w:pPr>
              <w:spacing w:after="0"/>
              <w:rPr>
                <w:sz w:val="20"/>
                <w:szCs w:val="20"/>
                <w:color w:val="auto"/>
              </w:rPr>
            </w:pPr>
          </w:p>
        </w:tc>
        <w:tc>
          <w:tcPr>
            <w:tcW w:w="34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1100" w:type="dxa"/>
            <w:vAlign w:val="bottom"/>
            <w:vMerge w:val="restart"/>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2025</w:t>
            </w:r>
          </w:p>
        </w:tc>
        <w:tc>
          <w:tcPr>
            <w:tcW w:w="48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280" w:type="dxa"/>
            <w:vAlign w:val="bottom"/>
            <w:shd w:val="clear" w:color="auto" w:fill="1D2758"/>
          </w:tcPr>
          <w:p>
            <w:pPr>
              <w:spacing w:after="0"/>
              <w:rPr>
                <w:sz w:val="20"/>
                <w:szCs w:val="20"/>
                <w:color w:val="auto"/>
              </w:rPr>
            </w:pPr>
          </w:p>
        </w:tc>
        <w:tc>
          <w:tcPr>
            <w:tcW w:w="1340" w:type="dxa"/>
            <w:vAlign w:val="bottom"/>
            <w:vMerge w:val="restart"/>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2024</w:t>
            </w:r>
          </w:p>
        </w:tc>
        <w:tc>
          <w:tcPr>
            <w:tcW w:w="14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154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Change</w:t>
            </w:r>
          </w:p>
        </w:tc>
        <w:tc>
          <w:tcPr>
            <w:tcW w:w="0" w:type="dxa"/>
            <w:vAlign w:val="bottom"/>
          </w:tcPr>
          <w:p>
            <w:pPr>
              <w:spacing w:after="0"/>
              <w:rPr>
                <w:sz w:val="1"/>
                <w:szCs w:val="1"/>
                <w:color w:val="auto"/>
              </w:rPr>
            </w:pPr>
          </w:p>
        </w:tc>
      </w:tr>
      <w:tr>
        <w:trPr>
          <w:trHeight w:val="84"/>
        </w:trPr>
        <w:tc>
          <w:tcPr>
            <w:tcW w:w="5460" w:type="dxa"/>
            <w:vAlign w:val="bottom"/>
            <w:shd w:val="clear" w:color="auto" w:fill="1D2758"/>
          </w:tcPr>
          <w:p>
            <w:pPr>
              <w:spacing w:after="0"/>
              <w:rPr>
                <w:sz w:val="7"/>
                <w:szCs w:val="7"/>
                <w:color w:val="auto"/>
              </w:rPr>
            </w:pPr>
          </w:p>
        </w:tc>
        <w:tc>
          <w:tcPr>
            <w:tcW w:w="340" w:type="dxa"/>
            <w:vAlign w:val="bottom"/>
            <w:shd w:val="clear" w:color="auto" w:fill="1D2758"/>
          </w:tcPr>
          <w:p>
            <w:pPr>
              <w:spacing w:after="0"/>
              <w:rPr>
                <w:sz w:val="7"/>
                <w:szCs w:val="7"/>
                <w:color w:val="auto"/>
              </w:rPr>
            </w:pPr>
          </w:p>
        </w:tc>
        <w:tc>
          <w:tcPr>
            <w:tcW w:w="160" w:type="dxa"/>
            <w:vAlign w:val="bottom"/>
            <w:shd w:val="clear" w:color="auto" w:fill="1D2758"/>
          </w:tcPr>
          <w:p>
            <w:pPr>
              <w:spacing w:after="0"/>
              <w:rPr>
                <w:sz w:val="7"/>
                <w:szCs w:val="7"/>
                <w:color w:val="auto"/>
              </w:rPr>
            </w:pPr>
          </w:p>
        </w:tc>
        <w:tc>
          <w:tcPr>
            <w:tcW w:w="1100" w:type="dxa"/>
            <w:vAlign w:val="bottom"/>
            <w:vMerge w:val="continue"/>
            <w:shd w:val="clear" w:color="auto" w:fill="1D2758"/>
          </w:tcPr>
          <w:p>
            <w:pPr>
              <w:spacing w:after="0"/>
              <w:rPr>
                <w:sz w:val="7"/>
                <w:szCs w:val="7"/>
                <w:color w:val="auto"/>
              </w:rPr>
            </w:pPr>
          </w:p>
        </w:tc>
        <w:tc>
          <w:tcPr>
            <w:tcW w:w="480" w:type="dxa"/>
            <w:vAlign w:val="bottom"/>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280" w:type="dxa"/>
            <w:vAlign w:val="bottom"/>
            <w:shd w:val="clear" w:color="auto" w:fill="1D2758"/>
          </w:tcPr>
          <w:p>
            <w:pPr>
              <w:spacing w:after="0"/>
              <w:rPr>
                <w:sz w:val="7"/>
                <w:szCs w:val="7"/>
                <w:color w:val="auto"/>
              </w:rPr>
            </w:pPr>
          </w:p>
        </w:tc>
        <w:tc>
          <w:tcPr>
            <w:tcW w:w="1340" w:type="dxa"/>
            <w:vAlign w:val="bottom"/>
            <w:vMerge w:val="continue"/>
            <w:shd w:val="clear" w:color="auto" w:fill="1D2758"/>
          </w:tcPr>
          <w:p>
            <w:pPr>
              <w:spacing w:after="0"/>
              <w:rPr>
                <w:sz w:val="7"/>
                <w:szCs w:val="7"/>
                <w:color w:val="auto"/>
              </w:rPr>
            </w:pPr>
          </w:p>
        </w:tc>
        <w:tc>
          <w:tcPr>
            <w:tcW w:w="140" w:type="dxa"/>
            <w:vAlign w:val="bottom"/>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54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5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1,311,530</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4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1,374,771</w:t>
            </w:r>
          </w:p>
        </w:tc>
        <w:tc>
          <w:tcPr>
            <w:tcW w:w="300" w:type="dxa"/>
            <w:vAlign w:val="bottom"/>
            <w:gridSpan w:val="2"/>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(63,241)</w:t>
            </w:r>
          </w:p>
        </w:tc>
        <w:tc>
          <w:tcPr>
            <w:tcW w:w="0" w:type="dxa"/>
            <w:vAlign w:val="bottom"/>
          </w:tcPr>
          <w:p>
            <w:pPr>
              <w:spacing w:after="0"/>
              <w:rPr>
                <w:sz w:val="1"/>
                <w:szCs w:val="1"/>
                <w:color w:val="auto"/>
              </w:rPr>
            </w:pPr>
          </w:p>
        </w:tc>
      </w:tr>
      <w:tr>
        <w:trPr>
          <w:trHeight w:val="225"/>
        </w:trPr>
        <w:tc>
          <w:tcPr>
            <w:tcW w:w="546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3"/>
              <w:spacing w:after="0"/>
              <w:rPr>
                <w:sz w:val="20"/>
                <w:szCs w:val="20"/>
                <w:color w:val="auto"/>
              </w:rPr>
            </w:pPr>
            <w:r>
              <w:rPr>
                <w:rFonts w:ascii="Arial" w:cs="Arial" w:eastAsia="Arial" w:hAnsi="Arial"/>
                <w:sz w:val="15"/>
                <w:szCs w:val="15"/>
                <w:color w:val="auto"/>
              </w:rPr>
              <w:t>295,630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3"/>
              <w:spacing w:after="0"/>
              <w:rPr>
                <w:sz w:val="20"/>
                <w:szCs w:val="20"/>
                <w:color w:val="auto"/>
              </w:rPr>
            </w:pPr>
            <w:r>
              <w:rPr>
                <w:rFonts w:ascii="Arial" w:cs="Arial" w:eastAsia="Arial" w:hAnsi="Arial"/>
                <w:sz w:val="15"/>
                <w:szCs w:val="15"/>
                <w:color w:val="auto"/>
              </w:rPr>
              <w:t>323,274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(27,644)</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3"/>
              <w:spacing w:after="0"/>
              <w:rPr>
                <w:sz w:val="20"/>
                <w:szCs w:val="20"/>
                <w:color w:val="auto"/>
              </w:rPr>
            </w:pPr>
            <w:r>
              <w:rPr>
                <w:rFonts w:ascii="Arial" w:cs="Arial" w:eastAsia="Arial" w:hAnsi="Arial"/>
                <w:sz w:val="15"/>
                <w:szCs w:val="15"/>
                <w:color w:val="auto"/>
              </w:rPr>
              <w:t>62,427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3"/>
              <w:spacing w:after="0"/>
              <w:rPr>
                <w:sz w:val="20"/>
                <w:szCs w:val="20"/>
                <w:color w:val="auto"/>
              </w:rPr>
            </w:pPr>
            <w:r>
              <w:rPr>
                <w:rFonts w:ascii="Arial" w:cs="Arial" w:eastAsia="Arial" w:hAnsi="Arial"/>
                <w:sz w:val="15"/>
                <w:szCs w:val="15"/>
                <w:color w:val="auto"/>
              </w:rPr>
              <w:t>52,727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9,700</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4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580" w:type="dxa"/>
            <w:vAlign w:val="bottom"/>
            <w:tcBorders>
              <w:bottom w:val="single" w:sz="8" w:color="auto"/>
            </w:tcBorders>
            <w:gridSpan w:val="2"/>
            <w:shd w:val="clear" w:color="auto" w:fill="DBDBDB"/>
          </w:tcPr>
          <w:p>
            <w:pPr>
              <w:jc w:val="right"/>
              <w:ind w:right="3"/>
              <w:spacing w:after="0"/>
              <w:rPr>
                <w:sz w:val="20"/>
                <w:szCs w:val="20"/>
                <w:color w:val="auto"/>
              </w:rPr>
            </w:pPr>
            <w:r>
              <w:rPr>
                <w:rFonts w:ascii="Arial" w:cs="Arial" w:eastAsia="Arial" w:hAnsi="Arial"/>
                <w:sz w:val="15"/>
                <w:szCs w:val="15"/>
                <w:color w:val="auto"/>
              </w:rPr>
              <w:t>45,888</w:t>
            </w:r>
          </w:p>
        </w:tc>
        <w:tc>
          <w:tcPr>
            <w:tcW w:w="80" w:type="dxa"/>
            <w:vAlign w:val="bottom"/>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spacing w:after="0"/>
              <w:rPr>
                <w:sz w:val="20"/>
                <w:szCs w:val="20"/>
                <w:color w:val="auto"/>
              </w:rPr>
            </w:pPr>
          </w:p>
        </w:tc>
        <w:tc>
          <w:tcPr>
            <w:tcW w:w="1480" w:type="dxa"/>
            <w:vAlign w:val="bottom"/>
            <w:tcBorders>
              <w:bottom w:val="single" w:sz="8" w:color="auto"/>
            </w:tcBorders>
            <w:gridSpan w:val="2"/>
            <w:shd w:val="clear" w:color="auto" w:fill="DBDBDB"/>
          </w:tcPr>
          <w:p>
            <w:pPr>
              <w:jc w:val="right"/>
              <w:ind w:right="3"/>
              <w:spacing w:after="0"/>
              <w:rPr>
                <w:sz w:val="20"/>
                <w:szCs w:val="20"/>
                <w:color w:val="auto"/>
              </w:rPr>
            </w:pPr>
            <w:r>
              <w:rPr>
                <w:rFonts w:ascii="Arial" w:cs="Arial" w:eastAsia="Arial" w:hAnsi="Arial"/>
                <w:sz w:val="15"/>
                <w:szCs w:val="15"/>
                <w:color w:val="auto"/>
              </w:rPr>
              <w:t>42,431</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3,457</w:t>
            </w:r>
          </w:p>
        </w:tc>
        <w:tc>
          <w:tcPr>
            <w:tcW w:w="0" w:type="dxa"/>
            <w:vAlign w:val="bottom"/>
          </w:tcPr>
          <w:p>
            <w:pPr>
              <w:spacing w:after="0"/>
              <w:rPr>
                <w:sz w:val="1"/>
                <w:szCs w:val="1"/>
                <w:color w:val="auto"/>
              </w:rPr>
            </w:pPr>
          </w:p>
        </w:tc>
      </w:tr>
      <w:tr>
        <w:trPr>
          <w:trHeight w:val="218"/>
        </w:trPr>
        <w:tc>
          <w:tcPr>
            <w:tcW w:w="546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3"/>
              <w:spacing w:after="0"/>
              <w:rPr>
                <w:sz w:val="20"/>
                <w:szCs w:val="20"/>
                <w:color w:val="auto"/>
              </w:rPr>
            </w:pPr>
            <w:r>
              <w:rPr>
                <w:rFonts w:ascii="Arial" w:cs="Arial" w:eastAsia="Arial" w:hAnsi="Arial"/>
                <w:sz w:val="15"/>
                <w:szCs w:val="15"/>
                <w:color w:val="auto"/>
              </w:rPr>
              <w:t>1,715,475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3"/>
              <w:spacing w:after="0"/>
              <w:rPr>
                <w:sz w:val="20"/>
                <w:szCs w:val="20"/>
                <w:color w:val="auto"/>
              </w:rPr>
            </w:pPr>
            <w:r>
              <w:rPr>
                <w:rFonts w:ascii="Arial" w:cs="Arial" w:eastAsia="Arial" w:hAnsi="Arial"/>
                <w:sz w:val="15"/>
                <w:szCs w:val="15"/>
                <w:color w:val="auto"/>
              </w:rPr>
              <w:t>1,793,203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(77,728)</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280,959</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296,692</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(15,733)</w:t>
            </w:r>
          </w:p>
        </w:tc>
        <w:tc>
          <w:tcPr>
            <w:tcW w:w="0" w:type="dxa"/>
            <w:vAlign w:val="bottom"/>
          </w:tcPr>
          <w:p>
            <w:pPr>
              <w:spacing w:after="0"/>
              <w:rPr>
                <w:sz w:val="1"/>
                <w:szCs w:val="1"/>
                <w:color w:val="auto"/>
              </w:rPr>
            </w:pPr>
          </w:p>
        </w:tc>
      </w:tr>
      <w:tr>
        <w:trPr>
          <w:trHeight w:val="225"/>
        </w:trPr>
        <w:tc>
          <w:tcPr>
            <w:tcW w:w="546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3"/>
              <w:spacing w:after="0"/>
              <w:rPr>
                <w:sz w:val="20"/>
                <w:szCs w:val="20"/>
                <w:color w:val="auto"/>
              </w:rPr>
            </w:pPr>
            <w:r>
              <w:rPr>
                <w:rFonts w:ascii="Arial" w:cs="Arial" w:eastAsia="Arial" w:hAnsi="Arial"/>
                <w:sz w:val="15"/>
                <w:szCs w:val="15"/>
                <w:color w:val="auto"/>
              </w:rPr>
              <w:t>244,008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3"/>
              <w:spacing w:after="0"/>
              <w:rPr>
                <w:sz w:val="20"/>
                <w:szCs w:val="20"/>
                <w:color w:val="auto"/>
              </w:rPr>
            </w:pPr>
            <w:r>
              <w:rPr>
                <w:rFonts w:ascii="Arial" w:cs="Arial" w:eastAsia="Arial" w:hAnsi="Arial"/>
                <w:sz w:val="15"/>
                <w:szCs w:val="15"/>
                <w:color w:val="auto"/>
              </w:rPr>
              <w:t>250,787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(6,779)</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3"/>
              <w:spacing w:after="0"/>
              <w:rPr>
                <w:sz w:val="20"/>
                <w:szCs w:val="20"/>
                <w:color w:val="auto"/>
              </w:rPr>
            </w:pPr>
            <w:r>
              <w:rPr>
                <w:rFonts w:ascii="Arial" w:cs="Arial" w:eastAsia="Arial" w:hAnsi="Arial"/>
                <w:sz w:val="15"/>
                <w:szCs w:val="15"/>
                <w:color w:val="auto"/>
              </w:rPr>
              <w:t>42,556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3"/>
              <w:spacing w:after="0"/>
              <w:rPr>
                <w:sz w:val="20"/>
                <w:szCs w:val="20"/>
                <w:color w:val="auto"/>
              </w:rPr>
            </w:pPr>
            <w:r>
              <w:rPr>
                <w:rFonts w:ascii="Arial" w:cs="Arial" w:eastAsia="Arial" w:hAnsi="Arial"/>
                <w:sz w:val="15"/>
                <w:szCs w:val="15"/>
                <w:color w:val="auto"/>
              </w:rPr>
              <w:t>31,296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11,260</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23,868</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22,207</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1,661</w:t>
            </w:r>
          </w:p>
        </w:tc>
        <w:tc>
          <w:tcPr>
            <w:tcW w:w="0" w:type="dxa"/>
            <w:vAlign w:val="bottom"/>
          </w:tcPr>
          <w:p>
            <w:pPr>
              <w:spacing w:after="0"/>
              <w:rPr>
                <w:sz w:val="1"/>
                <w:szCs w:val="1"/>
                <w:color w:val="auto"/>
              </w:rPr>
            </w:pPr>
          </w:p>
        </w:tc>
      </w:tr>
      <w:tr>
        <w:trPr>
          <w:trHeight w:val="225"/>
        </w:trPr>
        <w:tc>
          <w:tcPr>
            <w:tcW w:w="54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34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246,030</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226,731</w:t>
            </w:r>
          </w:p>
        </w:tc>
        <w:tc>
          <w:tcPr>
            <w:tcW w:w="8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19,299</w:t>
            </w:r>
          </w:p>
        </w:tc>
        <w:tc>
          <w:tcPr>
            <w:tcW w:w="0" w:type="dxa"/>
            <w:vAlign w:val="bottom"/>
          </w:tcPr>
          <w:p>
            <w:pPr>
              <w:spacing w:after="0"/>
              <w:rPr>
                <w:sz w:val="1"/>
                <w:szCs w:val="1"/>
                <w:color w:val="auto"/>
              </w:rPr>
            </w:pPr>
          </w:p>
        </w:tc>
      </w:tr>
      <w:tr>
        <w:trPr>
          <w:trHeight w:val="232"/>
        </w:trPr>
        <w:tc>
          <w:tcPr>
            <w:tcW w:w="54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878,054</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965,490</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(87,436)</w:t>
            </w: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439,868</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502,450</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(62,582)</w:t>
            </w:r>
          </w:p>
        </w:tc>
        <w:tc>
          <w:tcPr>
            <w:tcW w:w="0" w:type="dxa"/>
            <w:vAlign w:val="bottom"/>
          </w:tcPr>
          <w:p>
            <w:pPr>
              <w:spacing w:after="0"/>
              <w:rPr>
                <w:sz w:val="1"/>
                <w:szCs w:val="1"/>
                <w:color w:val="auto"/>
              </w:rPr>
            </w:pPr>
          </w:p>
        </w:tc>
      </w:tr>
      <w:tr>
        <w:trPr>
          <w:trHeight w:val="225"/>
        </w:trPr>
        <w:tc>
          <w:tcPr>
            <w:tcW w:w="546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3"/>
              <w:spacing w:after="0"/>
              <w:rPr>
                <w:sz w:val="20"/>
                <w:szCs w:val="20"/>
                <w:color w:val="auto"/>
              </w:rPr>
            </w:pPr>
            <w:r>
              <w:rPr>
                <w:rFonts w:ascii="Arial" w:cs="Arial" w:eastAsia="Arial" w:hAnsi="Arial"/>
                <w:sz w:val="15"/>
                <w:szCs w:val="15"/>
                <w:color w:val="auto"/>
              </w:rPr>
              <w:t>71,752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3"/>
              <w:spacing w:after="0"/>
              <w:rPr>
                <w:sz w:val="20"/>
                <w:szCs w:val="20"/>
                <w:color w:val="auto"/>
              </w:rPr>
            </w:pPr>
            <w:r>
              <w:rPr>
                <w:rFonts w:ascii="Arial" w:cs="Arial" w:eastAsia="Arial" w:hAnsi="Arial"/>
                <w:sz w:val="15"/>
                <w:szCs w:val="15"/>
                <w:color w:val="auto"/>
              </w:rPr>
              <w:t>59,163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12,589</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Termination fee</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5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180,000</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0" w:type="dxa"/>
            <w:vAlign w:val="bottom"/>
          </w:tcPr>
          <w:p>
            <w:pPr>
              <w:spacing w:after="0"/>
              <w:rPr>
                <w:sz w:val="1"/>
                <w:szCs w:val="1"/>
                <w:color w:val="auto"/>
              </w:rPr>
            </w:pPr>
          </w:p>
        </w:tc>
      </w:tr>
      <w:tr>
        <w:trPr>
          <w:trHeight w:val="225"/>
        </w:trPr>
        <w:tc>
          <w:tcPr>
            <w:tcW w:w="5460" w:type="dxa"/>
            <w:vAlign w:val="bottom"/>
          </w:tcPr>
          <w:p>
            <w:pPr>
              <w:ind w:left="220"/>
              <w:spacing w:after="0"/>
              <w:rPr>
                <w:sz w:val="20"/>
                <w:szCs w:val="20"/>
                <w:color w:val="auto"/>
              </w:rPr>
            </w:pPr>
            <w:r>
              <w:rPr>
                <w:rFonts w:ascii="Arial" w:cs="Arial" w:eastAsia="Arial" w:hAnsi="Arial"/>
                <w:sz w:val="15"/>
                <w:szCs w:val="15"/>
                <w:color w:val="auto"/>
              </w:rPr>
              <w:t>Impairment loss on intangible asset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1480" w:type="dxa"/>
            <w:vAlign w:val="bottom"/>
            <w:gridSpan w:val="2"/>
          </w:tcPr>
          <w:p>
            <w:pPr>
              <w:jc w:val="right"/>
              <w:ind w:right="3"/>
              <w:spacing w:after="0"/>
              <w:rPr>
                <w:sz w:val="20"/>
                <w:szCs w:val="20"/>
                <w:color w:val="auto"/>
              </w:rPr>
            </w:pPr>
            <w:r>
              <w:rPr>
                <w:rFonts w:ascii="Arial" w:cs="Arial" w:eastAsia="Arial" w:hAnsi="Arial"/>
                <w:sz w:val="15"/>
                <w:szCs w:val="15"/>
                <w:color w:val="auto"/>
              </w:rPr>
              <w:t>132,540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(132,540)</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(gains), net</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244</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(94)</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225"/>
        </w:trPr>
        <w:tc>
          <w:tcPr>
            <w:tcW w:w="54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net</w:t>
            </w:r>
          </w:p>
        </w:tc>
        <w:tc>
          <w:tcPr>
            <w:tcW w:w="34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1,050</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1,935</w:t>
            </w:r>
          </w:p>
        </w:tc>
        <w:tc>
          <w:tcPr>
            <w:tcW w:w="8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(885)</w:t>
            </w:r>
          </w:p>
        </w:tc>
        <w:tc>
          <w:tcPr>
            <w:tcW w:w="0" w:type="dxa"/>
            <w:vAlign w:val="bottom"/>
          </w:tcPr>
          <w:p>
            <w:pPr>
              <w:spacing w:after="0"/>
              <w:rPr>
                <w:sz w:val="1"/>
                <w:szCs w:val="1"/>
                <w:color w:val="auto"/>
              </w:rPr>
            </w:pPr>
          </w:p>
        </w:tc>
      </w:tr>
      <w:tr>
        <w:trPr>
          <w:trHeight w:val="232"/>
        </w:trPr>
        <w:tc>
          <w:tcPr>
            <w:tcW w:w="54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365,140</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89,496</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275,644</w:t>
            </w:r>
          </w:p>
        </w:tc>
        <w:tc>
          <w:tcPr>
            <w:tcW w:w="0" w:type="dxa"/>
            <w:vAlign w:val="bottom"/>
          </w:tcPr>
          <w:p>
            <w:pPr>
              <w:spacing w:after="0"/>
              <w:rPr>
                <w:sz w:val="1"/>
                <w:szCs w:val="1"/>
                <w:color w:val="auto"/>
              </w:rPr>
            </w:pPr>
          </w:p>
        </w:tc>
      </w:tr>
      <w:tr>
        <w:trPr>
          <w:trHeight w:val="225"/>
        </w:trPr>
        <w:tc>
          <w:tcPr>
            <w:tcW w:w="54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 net</w:t>
            </w:r>
          </w:p>
        </w:tc>
        <w:tc>
          <w:tcPr>
            <w:tcW w:w="34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175,912</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167,959</w:t>
            </w:r>
          </w:p>
        </w:tc>
        <w:tc>
          <w:tcPr>
            <w:tcW w:w="8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0" w:type="dxa"/>
            <w:vAlign w:val="bottom"/>
          </w:tcPr>
          <w:p>
            <w:pPr>
              <w:spacing w:after="0"/>
              <w:rPr>
                <w:sz w:val="1"/>
                <w:szCs w:val="1"/>
                <w:color w:val="auto"/>
              </w:rPr>
            </w:pPr>
          </w:p>
        </w:tc>
      </w:tr>
      <w:tr>
        <w:trPr>
          <w:trHeight w:val="232"/>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before income tax</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8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189,228</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(78,463)</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267,691</w:t>
            </w:r>
          </w:p>
        </w:tc>
        <w:tc>
          <w:tcPr>
            <w:tcW w:w="0" w:type="dxa"/>
            <w:vAlign w:val="bottom"/>
          </w:tcPr>
          <w:p>
            <w:pPr>
              <w:spacing w:after="0"/>
              <w:rPr>
                <w:sz w:val="1"/>
                <w:szCs w:val="1"/>
                <w:color w:val="auto"/>
              </w:rPr>
            </w:pPr>
          </w:p>
        </w:tc>
      </w:tr>
      <w:tr>
        <w:trPr>
          <w:trHeight w:val="225"/>
        </w:trPr>
        <w:tc>
          <w:tcPr>
            <w:tcW w:w="54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w:t>
            </w:r>
          </w:p>
        </w:tc>
        <w:tc>
          <w:tcPr>
            <w:tcW w:w="34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54,902</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(17,377)</w:t>
            </w:r>
          </w:p>
        </w:tc>
        <w:tc>
          <w:tcPr>
            <w:tcW w:w="8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72,279</w:t>
            </w:r>
          </w:p>
        </w:tc>
        <w:tc>
          <w:tcPr>
            <w:tcW w:w="0" w:type="dxa"/>
            <w:vAlign w:val="bottom"/>
          </w:tcPr>
          <w:p>
            <w:pPr>
              <w:spacing w:after="0"/>
              <w:rPr>
                <w:sz w:val="1"/>
                <w:szCs w:val="1"/>
                <w:color w:val="auto"/>
              </w:rPr>
            </w:pPr>
          </w:p>
        </w:tc>
      </w:tr>
      <w:tr>
        <w:trPr>
          <w:trHeight w:val="245"/>
        </w:trPr>
        <w:tc>
          <w:tcPr>
            <w:tcW w:w="5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34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134,326</w:t>
            </w:r>
          </w:p>
        </w:tc>
        <w:tc>
          <w:tcPr>
            <w:tcW w:w="8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5"/>
                <w:szCs w:val="15"/>
                <w:color w:val="auto"/>
              </w:rPr>
              <w:t>(61,086)</w:t>
            </w:r>
          </w:p>
        </w:tc>
        <w:tc>
          <w:tcPr>
            <w:tcW w:w="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195,412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60" w:type="dxa"/>
            <w:vAlign w:val="bottom"/>
            <w:shd w:val="clear" w:color="auto" w:fill="1D2758"/>
          </w:tcPr>
          <w:p>
            <w:pPr>
              <w:spacing w:after="0"/>
              <w:rPr>
                <w:sz w:val="20"/>
                <w:szCs w:val="20"/>
                <w:color w:val="auto"/>
              </w:rPr>
            </w:pPr>
          </w:p>
        </w:tc>
        <w:tc>
          <w:tcPr>
            <w:tcW w:w="34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3280" w:type="dxa"/>
            <w:vAlign w:val="bottom"/>
            <w:gridSpan w:val="5"/>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Nine Months Ended September 30,</w:t>
            </w:r>
          </w:p>
        </w:tc>
        <w:tc>
          <w:tcPr>
            <w:tcW w:w="140" w:type="dxa"/>
            <w:vAlign w:val="bottom"/>
            <w:shd w:val="clear" w:color="auto" w:fill="1D2758"/>
          </w:tcPr>
          <w:p>
            <w:pPr>
              <w:spacing w:after="0"/>
              <w:rPr>
                <w:sz w:val="20"/>
                <w:szCs w:val="20"/>
                <w:color w:val="auto"/>
              </w:rPr>
            </w:pPr>
          </w:p>
        </w:tc>
        <w:tc>
          <w:tcPr>
            <w:tcW w:w="1840" w:type="dxa"/>
            <w:vAlign w:val="bottom"/>
            <w:gridSpan w:val="3"/>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2025 vs. 2024 Change</w:t>
            </w:r>
          </w:p>
        </w:tc>
        <w:tc>
          <w:tcPr>
            <w:tcW w:w="0" w:type="dxa"/>
            <w:vAlign w:val="bottom"/>
          </w:tcPr>
          <w:p>
            <w:pPr>
              <w:spacing w:after="0"/>
              <w:rPr>
                <w:sz w:val="1"/>
                <w:szCs w:val="1"/>
                <w:color w:val="auto"/>
              </w:rPr>
            </w:pPr>
          </w:p>
        </w:tc>
      </w:tr>
      <w:tr>
        <w:trPr>
          <w:trHeight w:val="155"/>
        </w:trPr>
        <w:tc>
          <w:tcPr>
            <w:tcW w:w="54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units on rent and monthly rental rate)</w:t>
            </w:r>
          </w:p>
        </w:tc>
        <w:tc>
          <w:tcPr>
            <w:tcW w:w="34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100" w:type="dxa"/>
            <w:vAlign w:val="bottom"/>
            <w:vMerge w:val="restart"/>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2025</w:t>
            </w:r>
          </w:p>
        </w:tc>
        <w:tc>
          <w:tcPr>
            <w:tcW w:w="48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28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2024</w:t>
            </w:r>
          </w:p>
        </w:tc>
        <w:tc>
          <w:tcPr>
            <w:tcW w:w="140" w:type="dxa"/>
            <w:vAlign w:val="bottom"/>
            <w:shd w:val="clear" w:color="auto" w:fill="1D2758"/>
          </w:tcPr>
          <w:p>
            <w:pPr>
              <w:spacing w:after="0"/>
              <w:rPr>
                <w:sz w:val="13"/>
                <w:szCs w:val="13"/>
                <w:color w:val="auto"/>
              </w:rPr>
            </w:pPr>
          </w:p>
        </w:tc>
        <w:tc>
          <w:tcPr>
            <w:tcW w:w="1840" w:type="dxa"/>
            <w:vAlign w:val="bottom"/>
            <w:gridSpan w:val="3"/>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5460" w:type="dxa"/>
            <w:vAlign w:val="bottom"/>
            <w:vMerge w:val="continue"/>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100" w:type="dxa"/>
            <w:vAlign w:val="bottom"/>
            <w:vMerge w:val="continue"/>
            <w:shd w:val="clear" w:color="auto" w:fill="1D2758"/>
          </w:tcPr>
          <w:p>
            <w:pPr>
              <w:spacing w:after="0"/>
              <w:rPr>
                <w:sz w:val="8"/>
                <w:szCs w:val="8"/>
                <w:color w:val="auto"/>
              </w:rPr>
            </w:pPr>
          </w:p>
        </w:tc>
        <w:tc>
          <w:tcPr>
            <w:tcW w:w="480" w:type="dxa"/>
            <w:vAlign w:val="bottom"/>
            <w:shd w:val="clear" w:color="auto" w:fill="1D2758"/>
          </w:tcPr>
          <w:p>
            <w:pPr>
              <w:spacing w:after="0"/>
              <w:rPr>
                <w:sz w:val="8"/>
                <w:szCs w:val="8"/>
                <w:color w:val="auto"/>
              </w:rPr>
            </w:pPr>
          </w:p>
        </w:tc>
        <w:tc>
          <w:tcPr>
            <w:tcW w:w="80" w:type="dxa"/>
            <w:vAlign w:val="bottom"/>
            <w:shd w:val="clear" w:color="auto" w:fill="1D2758"/>
          </w:tcPr>
          <w:p>
            <w:pPr>
              <w:spacing w:after="0"/>
              <w:rPr>
                <w:sz w:val="8"/>
                <w:szCs w:val="8"/>
                <w:color w:val="auto"/>
              </w:rPr>
            </w:pPr>
          </w:p>
        </w:tc>
        <w:tc>
          <w:tcPr>
            <w:tcW w:w="280" w:type="dxa"/>
            <w:vAlign w:val="bottom"/>
            <w:shd w:val="clear" w:color="auto" w:fill="1D2758"/>
          </w:tcPr>
          <w:p>
            <w:pPr>
              <w:spacing w:after="0"/>
              <w:rPr>
                <w:sz w:val="8"/>
                <w:szCs w:val="8"/>
                <w:color w:val="auto"/>
              </w:rPr>
            </w:pPr>
          </w:p>
        </w:tc>
        <w:tc>
          <w:tcPr>
            <w:tcW w:w="1340" w:type="dxa"/>
            <w:vAlign w:val="bottom"/>
            <w:vMerge w:val="continue"/>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80" w:type="dxa"/>
            <w:vAlign w:val="bottom"/>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54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721,005</w:t>
            </w:r>
          </w:p>
        </w:tc>
        <w:tc>
          <w:tcPr>
            <w:tcW w:w="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778,448</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(57,443)</w:t>
            </w: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238,839</w:t>
            </w: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203"/>
              <w:spacing w:after="0"/>
              <w:rPr>
                <w:sz w:val="20"/>
                <w:szCs w:val="20"/>
                <w:color w:val="auto"/>
              </w:rPr>
            </w:pPr>
            <w:r>
              <w:rPr>
                <w:rFonts w:ascii="Arial" w:cs="Arial" w:eastAsia="Arial" w:hAnsi="Arial"/>
                <w:sz w:val="15"/>
                <w:szCs w:val="15"/>
                <w:color w:val="auto"/>
              </w:rPr>
              <w:t>206,989</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283"/>
              <w:spacing w:after="0"/>
              <w:rPr>
                <w:sz w:val="20"/>
                <w:szCs w:val="20"/>
                <w:color w:val="auto"/>
              </w:rPr>
            </w:pPr>
            <w:r>
              <w:rPr>
                <w:rFonts w:ascii="Arial" w:cs="Arial" w:eastAsia="Arial" w:hAnsi="Arial"/>
                <w:sz w:val="15"/>
                <w:szCs w:val="15"/>
                <w:color w:val="auto"/>
              </w:rPr>
              <w:t>31,850</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CAPEX</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205,755</w:t>
            </w:r>
          </w:p>
        </w:tc>
        <w:tc>
          <w:tcPr>
            <w:tcW w:w="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178,069</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27,686</w:t>
            </w: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90,063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203"/>
              <w:spacing w:after="0"/>
              <w:rPr>
                <w:sz w:val="20"/>
                <w:szCs w:val="20"/>
                <w:color w:val="auto"/>
              </w:rPr>
            </w:pPr>
            <w:r>
              <w:rPr>
                <w:rFonts w:ascii="Arial" w:cs="Arial" w:eastAsia="Arial" w:hAnsi="Arial"/>
                <w:sz w:val="15"/>
                <w:szCs w:val="15"/>
                <w:color w:val="auto"/>
              </w:rPr>
              <w:t>95,458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243"/>
              <w:spacing w:after="0"/>
              <w:rPr>
                <w:sz w:val="20"/>
                <w:szCs w:val="20"/>
                <w:color w:val="auto"/>
              </w:rPr>
            </w:pPr>
            <w:r>
              <w:rPr>
                <w:rFonts w:ascii="Arial" w:cs="Arial" w:eastAsia="Arial" w:hAnsi="Arial"/>
                <w:sz w:val="15"/>
                <w:szCs w:val="15"/>
                <w:color w:val="auto"/>
              </w:rPr>
              <w:t>(5,395)</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80" w:type="dxa"/>
            <w:vAlign w:val="bottom"/>
            <w:gridSpan w:val="2"/>
            <w:shd w:val="clear" w:color="auto" w:fill="DBDBDB"/>
          </w:tcPr>
          <w:p>
            <w:pPr>
              <w:jc w:val="right"/>
              <w:ind w:right="223"/>
              <w:spacing w:after="0"/>
              <w:rPr>
                <w:sz w:val="20"/>
                <w:szCs w:val="20"/>
                <w:color w:val="auto"/>
              </w:rPr>
            </w:pPr>
            <w:r>
              <w:rPr>
                <w:rFonts w:ascii="Arial" w:cs="Arial" w:eastAsia="Arial" w:hAnsi="Arial"/>
                <w:sz w:val="15"/>
                <w:szCs w:val="15"/>
                <w:color w:val="auto"/>
              </w:rPr>
              <w:t>59.4 %</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62.3 %</w:t>
            </w:r>
          </w:p>
        </w:tc>
        <w:tc>
          <w:tcPr>
            <w:tcW w:w="1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 bps</w:t>
            </w: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1,232</w:t>
            </w: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203"/>
              <w:spacing w:after="0"/>
              <w:rPr>
                <w:sz w:val="20"/>
                <w:szCs w:val="20"/>
                <w:color w:val="auto"/>
              </w:rPr>
            </w:pPr>
            <w:r>
              <w:rPr>
                <w:rFonts w:ascii="Arial" w:cs="Arial" w:eastAsia="Arial" w:hAnsi="Arial"/>
                <w:sz w:val="15"/>
                <w:szCs w:val="15"/>
                <w:color w:val="auto"/>
              </w:rPr>
              <w:t>1,175</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283"/>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units on rent</w:t>
            </w:r>
          </w:p>
        </w:tc>
        <w:tc>
          <w:tcPr>
            <w:tcW w:w="3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107,842</w:t>
            </w:r>
          </w:p>
        </w:tc>
        <w:tc>
          <w:tcPr>
            <w:tcW w:w="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126,316</w:t>
            </w:r>
          </w:p>
        </w:tc>
        <w:tc>
          <w:tcPr>
            <w:tcW w:w="1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(18,474)</w:t>
            </w: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3"/>
              <w:spacing w:after="0"/>
              <w:rPr>
                <w:sz w:val="20"/>
                <w:szCs w:val="20"/>
                <w:color w:val="auto"/>
              </w:rPr>
            </w:pPr>
            <w:r>
              <w:rPr>
                <w:rFonts w:ascii="Arial" w:cs="Arial" w:eastAsia="Arial" w:hAnsi="Arial"/>
                <w:sz w:val="15"/>
                <w:szCs w:val="15"/>
                <w:color w:val="auto"/>
              </w:rPr>
              <w:t>52.9 %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61.0 %</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(810) bps</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279</w:t>
            </w:r>
          </w:p>
        </w:tc>
        <w:tc>
          <w:tcPr>
            <w:tcW w:w="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263</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4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0"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Comparison of Nine Months Ended September 30, 2025 and 2024</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decreased $77.7 million, or 4.3%, to $1,715.5 million for the nine months ended September 30, 2025 from $1,793.2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2024. The decline in revenue was driven by a decrease in units on rent and a $37.6 million increase in accounts receivable write-offs recorded as a reduction to revenue compared to the same period in 2024. The increased write-offs were primarily driven by accounts receivables that we deemed uncollectible as our central operations team progresses our initiative to improve our order-to-cash process and reduce our days sales outstanding. However, write-offs to receivables recorded as a reduction to revenue result in a corresponding reduction to the provision for credit losses recorded in SG&amp;A to the extent that the related receivables are already reserved. See further discussion below of the net impact to Adjusted EBITDA.</w:t>
      </w:r>
    </w:p>
    <w:p>
      <w:pPr>
        <w:spacing w:after="0" w:line="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Leasing revenue decreased $63.2 million, or 4.6%, as compared to the same period in 2024, driven by a decrease of 23,869 total average units on rent and the increase in accounts receivable write-offs, which drove $29.2 million of the decrease. Increases in average monthly rental rates offset some of these decreases. Delivery and installation revenues decreased $27.6 million, or 8.6%, due to the decline in activations and returns. Rental unit sales increased $3.5 million, or 8.1%, and new unit sales increased $9.7 million, or 18.4%.</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Total average units on rent for the nine months ended September 30, 2025 and 2024 were 197,905 and 221,774, respectively. Lower demand was driven by reduced non-residential construction project starts due to higher interest rates and increased economic uncertainty.</w:t>
      </w:r>
    </w:p>
    <w:p>
      <w:pPr>
        <w:spacing w:after="0" w:line="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Modular space average units on rent decreased 5,395 units, or 5.7%, for the nine months ended September 30, 2025 as compared to the nine months ended September 30, 2024. The average modular space utilization rate during the nine months ended September 30, 2025 was 59.4% as compared to 62.3% during the same period in 2024.</w:t>
      </w:r>
    </w:p>
    <w:p>
      <w:pPr>
        <w:spacing w:after="0" w:line="17"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Portable storage average units on rent decreased by 18,474 units, or 14.6%, for the nine months ended September 30, 2025 driven by lower demand in 2025, as well as lower orders related to seasonal retail business that typically occurs in the third and fourth quarters. The average portable storage utilization rate during the nine months ended September 30, 2025 was 52.9% as compared to 61.0% during the same period in 2024.</w:t>
      </w:r>
    </w:p>
    <w:p>
      <w:pPr>
        <w:jc w:val="both"/>
        <w:ind w:firstLine="619"/>
        <w:spacing w:after="0" w:line="271" w:lineRule="auto"/>
        <w:rPr>
          <w:sz w:val="20"/>
          <w:szCs w:val="20"/>
          <w:color w:val="auto"/>
        </w:rPr>
      </w:pPr>
      <w:r>
        <w:rPr>
          <w:rFonts w:ascii="Arial" w:cs="Arial" w:eastAsia="Arial" w:hAnsi="Arial"/>
          <w:sz w:val="15"/>
          <w:szCs w:val="15"/>
          <w:color w:val="auto"/>
        </w:rPr>
        <w:t>Modular space average monthly rental rates increased 4.9% to $1,232 for the nine months ended September 30, 2025, driven by our long-term price optimization strategies and VAPS penetration opportunities. Average portable storage monthly rental rates increased 6.1% to $279 for the nine months ended September 30, 2025 as a result of the mix effects from higher rates on climate-controlled containers and trailers. Total VAPS revenues, which are included in leasing revenues, were $296.6 million for both the nine months ended September 30, 2025 and 2024.</w:t>
      </w:r>
    </w:p>
    <w:p>
      <w:pPr>
        <w:spacing w:after="0" w:line="7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decreased $87.4 million, or 9.1%, to $878.1 million for the nine months ended September 30, 2025 from $965.5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2024. The decrease in gross profit was a result of a $47.5 million decrease in leasing gross profit, decreased delivery and installation gross profit of $20.9 million, and a $19.3 million increase in depreciation of rental equipment. The decrease was partially offset by a $0.2 million increase in new and rental unit sales gross profit. The decrease in leasing gross profit was primarily driven by lower demand in 2025 and the increased accounts receivable write-offs. The increase in depreciation of rental equipment was driven by incremental depreciation of $26.6 million recorded for rental equipment identified for disposal as part of the network optimization initiative.</w:t>
      </w:r>
    </w:p>
    <w:p>
      <w:pPr>
        <w:spacing w:after="0" w:line="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Cost of leasing and services decreased by $22.5 million, or 4.1%, for the nine months ended September 30, 2025 as compared to the nine months ended September 30, 2024, driven primarily by a decrease in subcontractor costs of $16.7 million, or 8.8%, as we continued our insourcing initiatives and reduced variable costs to match demand, a decrease in labor cost of $4.3 million, or 2.0%, and a decrease in material costs of $2.4 million, or 3.4%, as we reduced variable costs to match demand.</w:t>
      </w:r>
    </w:p>
    <w:p>
      <w:pPr>
        <w:spacing w:after="0" w:line="2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Cost of sales increased by $12.9 million, or 24.2%, driven by an increased mix of sales of higher value new units. Our resulting gross profit percentage was 51.2% and 53.8% for the nine months ended September 30, 2025 and 2024, respectively.</w:t>
      </w:r>
    </w:p>
    <w:p>
      <w:pPr>
        <w:spacing w:after="0" w:line="4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SG&amp;A decreased $62.6 million, or 12.5%, to $439.9 million for the nine months ended September 30, 2025, as compared to $502.5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2024. The decrease was primarily driven by a $40.2 million decrease in legal and professional fees primarily related to our terminated acquisition of McGrath in 2024, a $8.5 million decrease in restructuring costs, and a $39.7 million, or 243.6%, decrease in the provision for credit losses. These decreased costs were partially offset by an increase of employee SG&amp;A excluding stock compensation of $11.6 million, or 6.1%, primarily relating to variable compensation and higher employee insurance costs, as well as an increase of approximately 100 incremental sales headcount, $5.7 million increase in travel costs associated with our bi-annual Company meeting, a $5.4 million, or 9.9%, increase in service agreements and professional fees, excluding discrete expenses for certain one-time projects, a $5.9 million increase in real estate and occupancy costs, and a $2.3 million increase in marketing and advertising expense.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1" w:name="page32"/>
    <w:bookmarkEnd w:id="31"/>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decreased $57.4 million, or 7%, to $721.0 million for the nine months ended September 30, 2025 from $778.4</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months ended September 30, 2024. The decrease was driven by a $47.5 million decrease in leasing gross profit and decreased delivery and installation gross profit of $20.9 million for the nine months ended September 30, 2025 as compared to the nine months ended September 30, 2024. The decrease was partially offset by decreased SG&amp;A, excluding discrete costs, of $8.8 million. The net impact to Adjusted EBITDA of write-offs recorded as a reduction to revenue and the provision for credit losses recorded in SG&amp;A was a $37.6 million and $45.3 million reduction to Adjusted EBITDA for the nine months ended September 30, 2025 and the nine months ended September 30, 2024, respectively, thus resulting in a $7.7 million positive impact to Adjusted EBITDA year over year.</w:t>
      </w:r>
    </w:p>
    <w:p>
      <w:pPr>
        <w:spacing w:after="0" w:line="26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$12.6 million to $71.8 million for the nine months ended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2025 as compared to $59.2 million for the nine months ended September 30, 2024, primarily related to the amortization of the Mobile Mini trade name beginning in the third quarter of 2024.</w:t>
      </w:r>
    </w:p>
    <w:p>
      <w:pPr>
        <w:spacing w:after="0" w:line="4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Termination fee: </w:t>
      </w:r>
      <w:r>
        <w:rPr>
          <w:rFonts w:ascii="Arial" w:cs="Arial" w:eastAsia="Arial" w:hAnsi="Arial"/>
          <w:sz w:val="15"/>
          <w:szCs w:val="15"/>
          <w:color w:val="auto"/>
        </w:rPr>
        <w:t>We paid a termination fee of $180.0 million to McGrath related to the termination of a merger agreement during the nine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2024. This charge did not occur in 2025.</w:t>
      </w:r>
    </w:p>
    <w:p>
      <w:pPr>
        <w:spacing w:after="0" w:line="5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Impairment loss on intangible asset: </w:t>
      </w:r>
      <w:r>
        <w:rPr>
          <w:rFonts w:ascii="Arial" w:cs="Arial" w:eastAsia="Arial" w:hAnsi="Arial"/>
          <w:sz w:val="15"/>
          <w:szCs w:val="15"/>
          <w:color w:val="auto"/>
        </w:rPr>
        <w:t>Impairment loss on intangible asset was $132.5 million for the nine months ended September 30, 2024 related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impairment of the Mobile Mini trade name based on the Company's plan to rebrand under a single WillScot brand name and discontinue the use of the Mobile Mini trade name.</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increased $8.0 million to $175.9 million for the nine months ended September 30, 2025 from $168.0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2024. The increase in net interest expense was driven by a decrease in amounts received from the Company’s interest rate swap agreements as a result of decreased benchmark rates.</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Income tax expense (benefit): </w:t>
      </w:r>
      <w:r>
        <w:rPr>
          <w:rFonts w:ascii="Arial" w:cs="Arial" w:eastAsia="Arial" w:hAnsi="Arial"/>
          <w:sz w:val="15"/>
          <w:szCs w:val="15"/>
          <w:color w:val="auto"/>
        </w:rPr>
        <w:t>Income tax expense increased $72.3 million to expense of $54.9 million for the nine months ended September 30, 2025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a benefit of $17.4 million for the nine months ended September 30, 2024. The increase in expense was driven by an increase in income before income tax for the nine months ended September 30, 2025 as compared to the nine months ended September 30, 2024.</w:t>
      </w:r>
    </w:p>
    <w:p>
      <w:pPr>
        <w:spacing w:after="0" w:line="4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Capital expenditures for rental equipment increased $31.9 million, or 15%, to $238.8 million for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2025 from $207.0 million for the nine months ended September 30, 2024. Net CAPEX increased $27.7 million, or 16%, to $205.8 million for the nine months ended September 30, 2025 from $178.1 million for the nine months ended September 30, 2024 primarily driven by the increase in capital expenditures for rental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1D2758"/>
        </w:rPr>
        <w:t>Reconciliation of Non-GAAP Financial Measures</w:t>
      </w:r>
    </w:p>
    <w:p>
      <w:pPr>
        <w:spacing w:after="0" w:line="7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As such, we include in this Quarterly Report on Form 10-Q reconciliations of non-GAAP financial measures to their most directly comparable GAAP financial measures. Set forth below are definitions and reconciliations to the nearest comparable GAAP measure of certain non-GAAP financial measures used in this Quarterly Report on Form 10-Q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define EBITDA as net income (loss) plus net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ind w:left="1240" w:hanging="309"/>
        <w:spacing w:after="0"/>
        <w:tabs>
          <w:tab w:leader="none" w:pos="1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w:t>
      </w:r>
    </w:p>
    <w:p>
      <w:pPr>
        <w:spacing w:after="0" w:line="72" w:lineRule="exact"/>
        <w:rPr>
          <w:rFonts w:ascii="Arial" w:cs="Arial" w:eastAsia="Arial" w:hAnsi="Arial"/>
          <w:sz w:val="15"/>
          <w:szCs w:val="15"/>
          <w:color w:val="auto"/>
        </w:rPr>
      </w:pPr>
    </w:p>
    <w:p>
      <w:pPr>
        <w:ind w:left="1240" w:hanging="309"/>
        <w:spacing w:after="0" w:line="287" w:lineRule="auto"/>
        <w:tabs>
          <w:tab w:leader="none" w:pos="1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ind w:left="1240" w:hanging="309"/>
        <w:spacing w:after="0" w:line="295" w:lineRule="auto"/>
        <w:tabs>
          <w:tab w:leader="none" w:pos="1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spacing w:after="0" w:line="1"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relocation and training costs, and other costs required to realize cost or revenue synergies.</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72" w:lineRule="exact"/>
        <w:rPr>
          <w:rFonts w:ascii="Arial" w:cs="Arial" w:eastAsia="Arial" w:hAnsi="Arial"/>
          <w:sz w:val="15"/>
          <w:szCs w:val="15"/>
          <w:color w:val="auto"/>
        </w:rPr>
      </w:pPr>
    </w:p>
    <w:p>
      <w:pPr>
        <w:jc w:val="both"/>
        <w:ind w:left="1240" w:hanging="309"/>
        <w:spacing w:after="0" w:line="281" w:lineRule="auto"/>
        <w:tabs>
          <w:tab w:leader="none" w:pos="1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Other expense, including consulting expenses related to certain one-time projects, financing costs not classified as interest expense, gains and losses on disposals of property, plant, and equipment, costs to implement a network optimization initiative, non-equity executive transition costs, and unrealized gains and losses on investments.</w:t>
      </w:r>
    </w:p>
    <w:p>
      <w:pPr>
        <w:jc w:val="both"/>
        <w:ind w:firstLine="619"/>
        <w:spacing w:after="0" w:line="281" w:lineRule="auto"/>
        <w:rPr>
          <w:sz w:val="20"/>
          <w:szCs w:val="20"/>
          <w:color w:val="auto"/>
        </w:rPr>
      </w:pPr>
      <w:r>
        <w:rPr>
          <w:rFonts w:ascii="Arial" w:cs="Arial" w:eastAsia="Arial" w:hAnsi="Arial"/>
          <w:sz w:val="15"/>
          <w:szCs w:val="15"/>
          <w:color w:val="auto"/>
        </w:rPr>
        <w:t>Our Chief Operating Decision Maker evaluates business performance utilizing Adjusted EBITDA as shown in the reconciliation of the Company’s consolidated net income to Adjusted EBITDA below. Management believes that evaluating performance excluding such items is meaningful because it provides insight with respect to the intrinsic and ongoing operating results of the Company and captures the business performance inclusive of indirect costs.</w:t>
      </w:r>
    </w:p>
    <w:p>
      <w:pPr>
        <w:jc w:val="both"/>
        <w:ind w:firstLine="619"/>
        <w:spacing w:after="0" w:line="295"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(loss), cash flow from operations or other methods of analyzing WillScot’s results as reported under GAAP. Some of these limitations are:</w:t>
      </w:r>
    </w:p>
    <w:p>
      <w:pPr>
        <w:spacing w:after="0" w:line="1" w:lineRule="exact"/>
        <w:rPr>
          <w:sz w:val="20"/>
          <w:szCs w:val="20"/>
          <w:color w:val="auto"/>
        </w:rPr>
      </w:pPr>
    </w:p>
    <w:p>
      <w:pPr>
        <w:ind w:left="1240" w:hanging="309"/>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59"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72" w:lineRule="exact"/>
        <w:rPr>
          <w:rFonts w:ascii="Arial" w:cs="Arial" w:eastAsia="Arial" w:hAnsi="Arial"/>
          <w:sz w:val="15"/>
          <w:szCs w:val="15"/>
          <w:color w:val="auto"/>
        </w:rPr>
      </w:pPr>
    </w:p>
    <w:p>
      <w:pPr>
        <w:ind w:left="1240" w:hanging="309"/>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59"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spacing w:after="0" w:line="2" w:lineRule="exact"/>
        <w:rPr>
          <w:rFonts w:ascii="Arial" w:cs="Arial" w:eastAsia="Arial" w:hAnsi="Arial"/>
          <w:sz w:val="15"/>
          <w:szCs w:val="15"/>
          <w:color w:val="auto"/>
        </w:rPr>
      </w:pPr>
    </w:p>
    <w:p>
      <w:pPr>
        <w:ind w:left="1240" w:hanging="309"/>
        <w:spacing w:after="0" w:line="287" w:lineRule="auto"/>
        <w:tabs>
          <w:tab w:leader="none" w:pos="1229" w:val="left"/>
        </w:tabs>
        <w:numPr>
          <w:ilvl w:val="0"/>
          <w:numId w:val="10"/>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ind w:left="1240" w:hanging="309"/>
        <w:spacing w:after="0"/>
        <w:tabs>
          <w:tab w:leader="none" w:pos="1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72"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a measure of cash that will be available to meet our obligations.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3" w:name="page34"/>
    <w:bookmarkEnd w:id="33"/>
    <w:p>
      <w:pPr>
        <w:ind w:left="620"/>
        <w:spacing w:after="0"/>
        <w:rPr>
          <w:sz w:val="20"/>
          <w:szCs w:val="20"/>
          <w:color w:val="auto"/>
        </w:rPr>
      </w:pPr>
      <w:r>
        <w:rPr>
          <w:rFonts w:ascii="Arial" w:cs="Arial" w:eastAsia="Arial" w:hAnsi="Arial"/>
          <w:sz w:val="15"/>
          <w:szCs w:val="15"/>
          <w:color w:val="auto"/>
        </w:rPr>
        <w:t>The following table provides reconciliations of net income (loss) to Adjusted EBITDA: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7"/>
                <w:szCs w:val="17"/>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14"/>
        </w:trPr>
        <w:tc>
          <w:tcPr>
            <w:tcW w:w="47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8"/>
                <w:szCs w:val="18"/>
                <w:color w:val="auto"/>
              </w:rPr>
            </w:pPr>
          </w:p>
        </w:tc>
      </w:tr>
      <w:tr>
        <w:trPr>
          <w:trHeight w:val="239"/>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560" w:type="dxa"/>
            <w:vAlign w:val="bottom"/>
            <w:shd w:val="clear" w:color="auto" w:fill="1D2758"/>
          </w:tcPr>
          <w:p>
            <w:pPr>
              <w:spacing w:after="0"/>
              <w:rPr>
                <w:sz w:val="20"/>
                <w:szCs w:val="20"/>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560" w:type="dxa"/>
            <w:vAlign w:val="bottom"/>
            <w:shd w:val="clear" w:color="auto" w:fill="1D2758"/>
          </w:tcPr>
          <w:p>
            <w:pPr>
              <w:spacing w:after="0"/>
              <w:rPr>
                <w:sz w:val="20"/>
                <w:szCs w:val="20"/>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(loss)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43,332</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(70,475)</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134,326</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(61,086)</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Income tax expense (benefit)</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17,008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(20,566)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54,902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(17,377)</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58,466</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55,823</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175,912</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167,959</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108,058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99,320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317,782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285,894</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(gains), net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100</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244</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w:t>
            </w:r>
          </w:p>
        </w:tc>
      </w:tr>
      <w:tr>
        <w:trPr>
          <w:trHeight w:val="207"/>
        </w:trPr>
        <w:tc>
          <w:tcPr>
            <w:tcW w:w="474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1"/>
        </w:trPr>
        <w:tc>
          <w:tcPr>
            <w:tcW w:w="4740" w:type="dxa"/>
            <w:vAlign w:val="bottom"/>
          </w:tcPr>
          <w:p>
            <w:pPr>
              <w:ind w:left="220"/>
              <w:spacing w:after="0"/>
              <w:rPr>
                <w:sz w:val="20"/>
                <w:szCs w:val="20"/>
                <w:color w:val="auto"/>
              </w:rPr>
            </w:pPr>
            <w:r>
              <w:rPr>
                <w:rFonts w:ascii="Arial" w:cs="Arial" w:eastAsia="Arial" w:hAnsi="Arial"/>
                <w:sz w:val="15"/>
                <w:szCs w:val="15"/>
                <w:color w:val="auto"/>
              </w:rPr>
              <w:t>charges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886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9,407</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Termination fee</w:t>
            </w:r>
          </w:p>
        </w:tc>
        <w:tc>
          <w:tcPr>
            <w:tcW w:w="360" w:type="dxa"/>
            <w:vAlign w:val="bottom"/>
            <w:shd w:val="clear" w:color="auto" w:fill="DBDBDB"/>
          </w:tcPr>
          <w:p>
            <w:pPr>
              <w:spacing w:after="0"/>
              <w:rPr>
                <w:sz w:val="20"/>
                <w:szCs w:val="20"/>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180,000</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Impairment loss on intangible asset</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132,540</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and transaction costs</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1,149</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1,692</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2,921</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7,675</w:t>
            </w:r>
          </w:p>
        </w:tc>
      </w:tr>
      <w:tr>
        <w:trPr>
          <w:trHeight w:val="225"/>
        </w:trPr>
        <w:tc>
          <w:tcPr>
            <w:tcW w:w="474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9,964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26,678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28,247</w:t>
            </w:r>
          </w:p>
        </w:tc>
      </w:tr>
      <w:tr>
        <w:trPr>
          <w:trHeight w:val="239"/>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(a)</w:t>
            </w: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5,251</w:t>
            </w:r>
          </w:p>
        </w:tc>
        <w:tc>
          <w:tcPr>
            <w:tcW w:w="80" w:type="dxa"/>
            <w:vAlign w:val="bottom"/>
            <w:shd w:val="clear" w:color="auto" w:fill="DBDBDB"/>
          </w:tcPr>
          <w:p>
            <w:pPr>
              <w:spacing w:after="0"/>
              <w:rPr>
                <w:sz w:val="20"/>
                <w:szCs w:val="20"/>
                <w:color w:val="auto"/>
              </w:rPr>
            </w:pPr>
          </w:p>
        </w:tc>
        <w:tc>
          <w:tcPr>
            <w:tcW w:w="560" w:type="dxa"/>
            <w:vAlign w:val="bottom"/>
            <w:tcBorders>
              <w:bottom w:val="single" w:sz="8" w:color="auto"/>
            </w:tcBorders>
            <w:shd w:val="clear" w:color="auto" w:fill="DBDBDB"/>
          </w:tcPr>
          <w:p>
            <w:pPr>
              <w:spacing w:after="0"/>
              <w:rPr>
                <w:sz w:val="20"/>
                <w:szCs w:val="20"/>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9,186</w:t>
            </w: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7,354</w:t>
            </w:r>
          </w:p>
        </w:tc>
        <w:tc>
          <w:tcPr>
            <w:tcW w:w="80" w:type="dxa"/>
            <w:vAlign w:val="bottom"/>
            <w:shd w:val="clear" w:color="auto" w:fill="DBDBDB"/>
          </w:tcPr>
          <w:p>
            <w:pPr>
              <w:spacing w:after="0"/>
              <w:rPr>
                <w:sz w:val="20"/>
                <w:szCs w:val="20"/>
                <w:color w:val="auto"/>
              </w:rPr>
            </w:pPr>
          </w:p>
        </w:tc>
        <w:tc>
          <w:tcPr>
            <w:tcW w:w="560" w:type="dxa"/>
            <w:vAlign w:val="bottom"/>
            <w:tcBorders>
              <w:bottom w:val="single" w:sz="8" w:color="auto"/>
            </w:tcBorders>
            <w:shd w:val="clear" w:color="auto" w:fill="DBDBDB"/>
          </w:tcPr>
          <w:p>
            <w:pPr>
              <w:spacing w:after="0"/>
              <w:rPr>
                <w:sz w:val="20"/>
                <w:szCs w:val="20"/>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45,283</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243,307</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266,863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721,005</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778,448</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firstLine="3"/>
        <w:spacing w:after="0" w:line="278" w:lineRule="auto"/>
        <w:tabs>
          <w:tab w:leader="none" w:pos="2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2024, respectively, other included $8.8 million and $41.3 million in legal and professional fees related to a terminated transaction.</w:t>
      </w:r>
    </w:p>
    <w:p>
      <w:pPr>
        <w:spacing w:after="0" w:line="1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the three and nine months ended September 30, 2025, other included $1.5 million in costs to implement the Company's network optimization initiative and $1.3 million in non-equity executive transition costs.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provides reconciliations of Net CAPEX:</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shd w:val="clear" w:color="auto" w:fill="1D2758"/>
          </w:tcPr>
          <w:p>
            <w:pPr>
              <w:spacing w:after="0"/>
              <w:rPr>
                <w:sz w:val="17"/>
                <w:szCs w:val="17"/>
                <w:color w:val="auto"/>
              </w:rPr>
            </w:pPr>
          </w:p>
        </w:tc>
        <w:tc>
          <w:tcPr>
            <w:tcW w:w="2600" w:type="dxa"/>
            <w:vAlign w:val="bottom"/>
            <w:gridSpan w:val="4"/>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Three Months Ended</w:t>
            </w:r>
          </w:p>
        </w:tc>
        <w:tc>
          <w:tcPr>
            <w:tcW w:w="6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840" w:type="dxa"/>
            <w:vAlign w:val="bottom"/>
            <w:gridSpan w:val="3"/>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14"/>
        </w:trPr>
        <w:tc>
          <w:tcPr>
            <w:tcW w:w="4740" w:type="dxa"/>
            <w:vAlign w:val="bottom"/>
            <w:shd w:val="clear" w:color="auto" w:fill="1D2758"/>
          </w:tcPr>
          <w:p>
            <w:pPr>
              <w:spacing w:after="0"/>
              <w:rPr>
                <w:sz w:val="18"/>
                <w:szCs w:val="18"/>
                <w:color w:val="auto"/>
              </w:rPr>
            </w:pPr>
          </w:p>
        </w:tc>
        <w:tc>
          <w:tcPr>
            <w:tcW w:w="940" w:type="dxa"/>
            <w:vAlign w:val="bottom"/>
            <w:shd w:val="clear" w:color="auto" w:fill="1D2758"/>
          </w:tcPr>
          <w:p>
            <w:pPr>
              <w:spacing w:after="0"/>
              <w:rPr>
                <w:sz w:val="18"/>
                <w:szCs w:val="18"/>
                <w:color w:val="auto"/>
              </w:rPr>
            </w:pPr>
          </w:p>
        </w:tc>
        <w:tc>
          <w:tcPr>
            <w:tcW w:w="1660" w:type="dxa"/>
            <w:vAlign w:val="bottom"/>
            <w:gridSpan w:val="3"/>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September 30,</w:t>
            </w:r>
          </w:p>
        </w:tc>
        <w:tc>
          <w:tcPr>
            <w:tcW w:w="6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2"/>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8"/>
                <w:szCs w:val="18"/>
                <w:color w:val="auto"/>
              </w:rPr>
            </w:pPr>
          </w:p>
        </w:tc>
      </w:tr>
      <w:tr>
        <w:trPr>
          <w:trHeight w:val="239"/>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62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9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60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4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2025</w:t>
            </w:r>
          </w:p>
        </w:tc>
        <w:tc>
          <w:tcPr>
            <w:tcW w:w="600" w:type="dxa"/>
            <w:vAlign w:val="bottom"/>
            <w:shd w:val="clear" w:color="auto" w:fill="1D2758"/>
          </w:tcPr>
          <w:p>
            <w:pPr>
              <w:spacing w:after="0"/>
              <w:rPr>
                <w:sz w:val="20"/>
                <w:szCs w:val="20"/>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940" w:type="dxa"/>
            <w:vAlign w:val="bottom"/>
            <w:shd w:val="clear" w:color="auto" w:fill="DBDBDB"/>
          </w:tcPr>
          <w:p>
            <w:pPr>
              <w:jc w:val="right"/>
              <w:ind w:right="76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(81,018)</w:t>
            </w:r>
          </w:p>
        </w:tc>
        <w:tc>
          <w:tcPr>
            <w:tcW w:w="80" w:type="dxa"/>
            <w:vAlign w:val="bottom"/>
            <w:shd w:val="clear" w:color="auto" w:fill="DBDBDB"/>
          </w:tcPr>
          <w:p>
            <w:pPr>
              <w:spacing w:after="0"/>
              <w:rPr>
                <w:sz w:val="20"/>
                <w:szCs w:val="20"/>
                <w:color w:val="auto"/>
              </w:rPr>
            </w:pPr>
          </w:p>
        </w:tc>
        <w:tc>
          <w:tcPr>
            <w:tcW w:w="960" w:type="dxa"/>
            <w:vAlign w:val="bottom"/>
            <w:shd w:val="clear" w:color="auto" w:fill="DBDBDB"/>
          </w:tcPr>
          <w:p>
            <w:pPr>
              <w:jc w:val="right"/>
              <w:ind w:right="78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(69,398)</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(238,839)</w:t>
            </w:r>
          </w:p>
        </w:tc>
        <w:tc>
          <w:tcPr>
            <w:tcW w:w="60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(206,989)</w:t>
            </w:r>
          </w:p>
        </w:tc>
      </w:tr>
      <w:tr>
        <w:trPr>
          <w:trHeight w:val="225"/>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Proceeds from sale of rental equipment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15,713</w:t>
            </w:r>
          </w:p>
        </w:tc>
        <w:tc>
          <w:tcPr>
            <w:tcW w:w="80" w:type="dxa"/>
            <w:vAlign w:val="bottom"/>
            <w:tcBorders>
              <w:bottom w:val="single" w:sz="8" w:color="DBDBDB"/>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13,238</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46,045</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43,906</w:t>
            </w:r>
          </w:p>
        </w:tc>
      </w:tr>
      <w:tr>
        <w:trPr>
          <w:trHeight w:val="232"/>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940" w:type="dxa"/>
            <w:vAlign w:val="bottom"/>
            <w:shd w:val="clear" w:color="auto" w:fill="DBDBDB"/>
          </w:tcPr>
          <w:p>
            <w:pPr>
              <w:spacing w:after="0"/>
              <w:rPr>
                <w:sz w:val="20"/>
                <w:szCs w:val="20"/>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(65,305)</w:t>
            </w:r>
          </w:p>
        </w:tc>
        <w:tc>
          <w:tcPr>
            <w:tcW w:w="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(56,160)</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(192,794)</w:t>
            </w:r>
          </w:p>
        </w:tc>
        <w:tc>
          <w:tcPr>
            <w:tcW w:w="60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(163,083)</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(4,244)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(15,164)</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(16,119)</w:t>
            </w: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940" w:type="dxa"/>
            <w:vAlign w:val="bottom"/>
            <w:tcBorders>
              <w:bottom w:val="single" w:sz="8" w:color="auto"/>
            </w:tcBorders>
            <w:shd w:val="clear" w:color="auto" w:fill="DBDBDB"/>
          </w:tcPr>
          <w:p>
            <w:pPr>
              <w:spacing w:after="0"/>
              <w:rPr>
                <w:sz w:val="20"/>
                <w:szCs w:val="20"/>
                <w:color w:val="auto"/>
              </w:rPr>
            </w:pPr>
          </w:p>
        </w:tc>
        <w:tc>
          <w:tcPr>
            <w:tcW w:w="6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610</w:t>
            </w:r>
          </w:p>
        </w:tc>
        <w:tc>
          <w:tcPr>
            <w:tcW w:w="80" w:type="dxa"/>
            <w:vAlign w:val="bottom"/>
            <w:shd w:val="clear" w:color="auto" w:fill="DBDBDB"/>
          </w:tcPr>
          <w:p>
            <w:pPr>
              <w:spacing w:after="0"/>
              <w:rPr>
                <w:sz w:val="20"/>
                <w:szCs w:val="20"/>
                <w:color w:val="auto"/>
              </w:rPr>
            </w:pPr>
          </w:p>
        </w:tc>
        <w:tc>
          <w:tcPr>
            <w:tcW w:w="960" w:type="dxa"/>
            <w:vAlign w:val="bottom"/>
            <w:tcBorders>
              <w:bottom w:val="single" w:sz="8" w:color="auto"/>
            </w:tcBorders>
            <w:shd w:val="clear" w:color="auto" w:fill="DBDBDB"/>
          </w:tcPr>
          <w:p>
            <w:pPr>
              <w:spacing w:after="0"/>
              <w:rPr>
                <w:sz w:val="20"/>
                <w:szCs w:val="20"/>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918</w:t>
            </w: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2,203</w:t>
            </w:r>
          </w:p>
        </w:tc>
        <w:tc>
          <w:tcPr>
            <w:tcW w:w="600" w:type="dxa"/>
            <w:vAlign w:val="bottom"/>
            <w:tcBorders>
              <w:bottom w:val="single" w:sz="8" w:color="auto"/>
            </w:tcBorders>
            <w:shd w:val="clear" w:color="auto" w:fill="DBDBDB"/>
          </w:tcPr>
          <w:p>
            <w:pPr>
              <w:spacing w:after="0"/>
              <w:rPr>
                <w:sz w:val="20"/>
                <w:szCs w:val="20"/>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1,133</w:t>
            </w:r>
          </w:p>
        </w:tc>
      </w:tr>
      <w:tr>
        <w:trPr>
          <w:trHeight w:val="218"/>
        </w:trPr>
        <w:tc>
          <w:tcPr>
            <w:tcW w:w="474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(68,939)</w:t>
            </w: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(58,560)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(205,755)</w:t>
            </w:r>
          </w:p>
        </w:tc>
        <w:tc>
          <w:tcPr>
            <w:tcW w:w="6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(178,069)</w:t>
            </w:r>
          </w:p>
        </w:tc>
      </w:tr>
      <w:tr>
        <w:trPr>
          <w:trHeight w:val="26"/>
        </w:trPr>
        <w:tc>
          <w:tcPr>
            <w:tcW w:w="4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Adjusted Free Cash Flow</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define Adjusted Free Cash Flow as net cash provided by operating activities; less purchases of rental equipment and property, plant and equipment and plus proceeds from sale of rental equipment and property, plant and equipment, which are all included in cash flows from investing activities; excluding one-time, nonrecurring payments for transaction costs from terminated acquisitions. Management believes that the presentation of Adjusted Free Cash Flow provides useful additional information concerning cash flow available to fund our capital allocation alternatives.</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provides a reconciliation of net cash provided by operating activities to Adjusted Free Cash Flow.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2940" w:type="dxa"/>
            <w:vAlign w:val="bottom"/>
            <w:gridSpan w:val="5"/>
            <w:shd w:val="clear" w:color="auto" w:fill="1D2758"/>
          </w:tcPr>
          <w:p>
            <w:pPr>
              <w:ind w:left="480"/>
              <w:spacing w:after="0"/>
              <w:rPr>
                <w:sz w:val="20"/>
                <w:szCs w:val="20"/>
                <w:color w:val="auto"/>
              </w:rPr>
            </w:pPr>
            <w:r>
              <w:rPr>
                <w:rFonts w:ascii="Arial" w:cs="Arial" w:eastAsia="Arial" w:hAnsi="Arial"/>
                <w:sz w:val="15"/>
                <w:szCs w:val="15"/>
                <w:b w:val="1"/>
                <w:bCs w:val="1"/>
                <w:color w:val="FFFFFF"/>
              </w:rPr>
              <w:t>Three Months Ended</w:t>
            </w:r>
          </w:p>
        </w:tc>
        <w:tc>
          <w:tcPr>
            <w:tcW w:w="360" w:type="dxa"/>
            <w:vAlign w:val="bottom"/>
            <w:shd w:val="clear" w:color="auto" w:fill="1D2758"/>
          </w:tcPr>
          <w:p>
            <w:pPr>
              <w:spacing w:after="0"/>
              <w:rPr>
                <w:sz w:val="16"/>
                <w:szCs w:val="16"/>
                <w:color w:val="auto"/>
              </w:rPr>
            </w:pPr>
          </w:p>
        </w:tc>
        <w:tc>
          <w:tcPr>
            <w:tcW w:w="28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Nine Months Ended</w:t>
            </w:r>
          </w:p>
        </w:tc>
      </w:tr>
      <w:tr>
        <w:trPr>
          <w:trHeight w:val="214"/>
        </w:trPr>
        <w:tc>
          <w:tcPr>
            <w:tcW w:w="47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00" w:type="dxa"/>
            <w:vAlign w:val="bottom"/>
            <w:shd w:val="clear" w:color="auto" w:fill="1D2758"/>
          </w:tcPr>
          <w:p>
            <w:pPr>
              <w:spacing w:after="0"/>
              <w:rPr>
                <w:sz w:val="18"/>
                <w:szCs w:val="18"/>
                <w:color w:val="auto"/>
              </w:rPr>
            </w:pPr>
          </w:p>
        </w:tc>
      </w:tr>
      <w:tr>
        <w:trPr>
          <w:trHeight w:val="251"/>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1"/>
                <w:szCs w:val="21"/>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560" w:type="dxa"/>
            <w:vAlign w:val="bottom"/>
            <w:shd w:val="clear" w:color="auto" w:fill="1D2758"/>
          </w:tcPr>
          <w:p>
            <w:pPr>
              <w:spacing w:after="0"/>
              <w:rPr>
                <w:sz w:val="21"/>
                <w:szCs w:val="21"/>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c>
          <w:tcPr>
            <w:tcW w:w="100" w:type="dxa"/>
            <w:vAlign w:val="bottom"/>
            <w:shd w:val="clear" w:color="auto" w:fill="1D2758"/>
          </w:tcPr>
          <w:p>
            <w:pPr>
              <w:spacing w:after="0"/>
              <w:rPr>
                <w:sz w:val="21"/>
                <w:szCs w:val="21"/>
                <w:color w:val="auto"/>
              </w:rPr>
            </w:pPr>
          </w:p>
        </w:tc>
        <w:tc>
          <w:tcPr>
            <w:tcW w:w="360" w:type="dxa"/>
            <w:vAlign w:val="bottom"/>
            <w:shd w:val="clear" w:color="auto" w:fill="1D2758"/>
          </w:tcPr>
          <w:p>
            <w:pPr>
              <w:spacing w:after="0"/>
              <w:rPr>
                <w:sz w:val="21"/>
                <w:szCs w:val="21"/>
                <w:color w:val="auto"/>
              </w:rPr>
            </w:pPr>
          </w:p>
        </w:tc>
        <w:tc>
          <w:tcPr>
            <w:tcW w:w="120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560" w:type="dxa"/>
            <w:vAlign w:val="bottom"/>
            <w:shd w:val="clear" w:color="auto" w:fill="1D2758"/>
          </w:tcPr>
          <w:p>
            <w:pPr>
              <w:spacing w:after="0"/>
              <w:rPr>
                <w:sz w:val="21"/>
                <w:szCs w:val="21"/>
                <w:color w:val="auto"/>
              </w:rPr>
            </w:pPr>
          </w:p>
        </w:tc>
        <w:tc>
          <w:tcPr>
            <w:tcW w:w="10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191,151</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(1,562)</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603,089</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382,725</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(81,018)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(69,398)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(238,839)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(206,989)</w:t>
            </w: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15,713</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13,238</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46,045</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43,906</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(4,244)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(15,164)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(16,119)</w:t>
            </w:r>
          </w:p>
        </w:tc>
      </w:tr>
      <w:tr>
        <w:trPr>
          <w:trHeight w:val="23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610</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918</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2,203</w:t>
            </w: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1,133</w:t>
            </w:r>
          </w:p>
        </w:tc>
      </w:tr>
      <w:tr>
        <w:trPr>
          <w:trHeight w:val="225"/>
        </w:trPr>
        <w:tc>
          <w:tcPr>
            <w:tcW w:w="4740" w:type="dxa"/>
            <w:vAlign w:val="bottom"/>
          </w:tcPr>
          <w:p>
            <w:pPr>
              <w:ind w:left="20"/>
              <w:spacing w:after="0"/>
              <w:rPr>
                <w:sz w:val="20"/>
                <w:szCs w:val="20"/>
                <w:color w:val="auto"/>
              </w:rPr>
            </w:pPr>
            <w:r>
              <w:rPr>
                <w:rFonts w:ascii="Arial" w:cs="Arial" w:eastAsia="Arial" w:hAnsi="Arial"/>
                <w:sz w:val="15"/>
                <w:szCs w:val="15"/>
                <w:color w:val="auto"/>
              </w:rPr>
              <w:t>Cash paid for termination fee</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180,000</w:t>
            </w:r>
          </w:p>
        </w:tc>
      </w:tr>
      <w:tr>
        <w:trPr>
          <w:trHeight w:val="232"/>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transaction costs from terminated acquisitions</w:t>
            </w:r>
          </w:p>
        </w:tc>
        <w:tc>
          <w:tcPr>
            <w:tcW w:w="360" w:type="dxa"/>
            <w:vAlign w:val="bottom"/>
            <w:shd w:val="clear" w:color="auto" w:fill="DBDBDB"/>
          </w:tcPr>
          <w:p>
            <w:pPr>
              <w:spacing w:after="0"/>
              <w:rPr>
                <w:sz w:val="20"/>
                <w:szCs w:val="20"/>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23,266</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spacing w:after="0"/>
              <w:rPr>
                <w:sz w:val="20"/>
                <w:szCs w:val="2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32,451</w:t>
            </w:r>
          </w:p>
        </w:tc>
      </w:tr>
      <w:tr>
        <w:trPr>
          <w:trHeight w:val="232"/>
        </w:trPr>
        <w:tc>
          <w:tcPr>
            <w:tcW w:w="4740" w:type="dxa"/>
            <w:vAlign w:val="bottom"/>
          </w:tcPr>
          <w:p>
            <w:pPr>
              <w:ind w:left="220"/>
              <w:spacing w:after="0"/>
              <w:rPr>
                <w:sz w:val="20"/>
                <w:szCs w:val="20"/>
                <w:color w:val="auto"/>
              </w:rPr>
            </w:pPr>
            <w:r>
              <w:rPr>
                <w:rFonts w:ascii="Arial" w:cs="Arial" w:eastAsia="Arial" w:hAnsi="Arial"/>
                <w:sz w:val="15"/>
                <w:szCs w:val="15"/>
                <w:color w:val="auto"/>
              </w:rPr>
              <w:t>Adjusted Free Cash Flow</w:t>
            </w: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122,212</w:t>
            </w: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143,144</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397,334</w:t>
            </w: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417,107</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1D2758"/>
        </w:rPr>
        <w:t>Liquidity and Capital Resources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WillScot is a holding company that derives its operating cash flow from its operating subsidiaries. Our principal sources of liquidity include cash flows generated from operating activities of our subsidiaries, borrowings under our ABL Facility, and issuance of debt securities. 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Adjusted Free Cash Flow, which together support both organic operations and other capital allocation priorities. We believe that our liquidity sources are sufficient to satisfy our anticipated operating, debt service, and capital cash requirements over the next twelve months and thereafter for the foreseeable future.</w:t>
      </w:r>
    </w:p>
    <w:p>
      <w:pPr>
        <w:spacing w:after="0" w:line="2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We continuously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2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Borrowing availability under our Amended ABL Facility is equal to the lesser of $3.0 billion and the applicable borrowing bases. The borrowing bases are a function of, among other considerations, the value of the assets in the relevant collateral pool, of which our rental equipment represents the largest component. At September 30, 2025, we had $1.5 billion of available borrowing capacity under the Amended ABL Facility.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Cash Flows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summarizes our change in cash and cash equivalents for the periods presented: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60" w:type="dxa"/>
            <w:vAlign w:val="bottom"/>
            <w:shd w:val="clear" w:color="auto" w:fill="1D2758"/>
          </w:tcPr>
          <w:p>
            <w:pPr>
              <w:spacing w:after="0"/>
              <w:rPr>
                <w:sz w:val="17"/>
                <w:szCs w:val="17"/>
                <w:color w:val="auto"/>
              </w:rPr>
            </w:pPr>
          </w:p>
        </w:tc>
        <w:tc>
          <w:tcPr>
            <w:tcW w:w="460" w:type="dxa"/>
            <w:vAlign w:val="bottom"/>
            <w:shd w:val="clear" w:color="auto" w:fill="1D2758"/>
          </w:tcPr>
          <w:p>
            <w:pPr>
              <w:spacing w:after="0"/>
              <w:rPr>
                <w:sz w:val="17"/>
                <w:szCs w:val="17"/>
                <w:color w:val="auto"/>
              </w:rPr>
            </w:pPr>
          </w:p>
        </w:tc>
        <w:tc>
          <w:tcPr>
            <w:tcW w:w="236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12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6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2360" w:type="dxa"/>
            <w:vAlign w:val="bottom"/>
            <w:gridSpan w:val="3"/>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September 30,</w:t>
            </w:r>
          </w:p>
        </w:tc>
        <w:tc>
          <w:tcPr>
            <w:tcW w:w="12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60" w:type="dxa"/>
            <w:vAlign w:val="bottom"/>
            <w:shd w:val="clear" w:color="auto" w:fill="1D2758"/>
          </w:tcPr>
          <w:p>
            <w:pPr>
              <w:spacing w:after="0"/>
              <w:rPr>
                <w:sz w:val="20"/>
                <w:szCs w:val="20"/>
                <w:color w:val="auto"/>
              </w:rPr>
            </w:pPr>
          </w:p>
        </w:tc>
        <w:tc>
          <w:tcPr>
            <w:tcW w:w="152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20"/>
                <w:szCs w:val="20"/>
                <w:color w:val="auto"/>
              </w:rPr>
            </w:pPr>
          </w:p>
        </w:tc>
        <w:tc>
          <w:tcPr>
            <w:tcW w:w="740" w:type="dxa"/>
            <w:vAlign w:val="bottom"/>
            <w:shd w:val="clear" w:color="auto" w:fill="1D2758"/>
          </w:tcPr>
          <w:p>
            <w:pPr>
              <w:spacing w:after="0"/>
              <w:rPr>
                <w:sz w:val="20"/>
                <w:szCs w:val="20"/>
                <w:color w:val="auto"/>
              </w:rPr>
            </w:pPr>
          </w:p>
        </w:tc>
        <w:tc>
          <w:tcPr>
            <w:tcW w:w="124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2024</w:t>
            </w:r>
          </w:p>
        </w:tc>
        <w:tc>
          <w:tcPr>
            <w:tcW w:w="0" w:type="dxa"/>
            <w:vAlign w:val="bottom"/>
          </w:tcPr>
          <w:p>
            <w:pPr>
              <w:spacing w:after="0"/>
              <w:rPr>
                <w:sz w:val="1"/>
                <w:szCs w:val="1"/>
                <w:color w:val="auto"/>
              </w:rPr>
            </w:pPr>
          </w:p>
        </w:tc>
      </w:tr>
      <w:tr>
        <w:trPr>
          <w:trHeight w:val="97"/>
        </w:trPr>
        <w:tc>
          <w:tcPr>
            <w:tcW w:w="7160" w:type="dxa"/>
            <w:vAlign w:val="bottom"/>
            <w:shd w:val="clear" w:color="auto" w:fill="1D2758"/>
          </w:tcPr>
          <w:p>
            <w:pPr>
              <w:spacing w:after="0"/>
              <w:rPr>
                <w:sz w:val="8"/>
                <w:szCs w:val="8"/>
                <w:color w:val="auto"/>
              </w:rPr>
            </w:pPr>
          </w:p>
        </w:tc>
        <w:tc>
          <w:tcPr>
            <w:tcW w:w="460" w:type="dxa"/>
            <w:vAlign w:val="bottom"/>
            <w:shd w:val="clear" w:color="auto" w:fill="1D2758"/>
          </w:tcPr>
          <w:p>
            <w:pPr>
              <w:spacing w:after="0"/>
              <w:rPr>
                <w:sz w:val="8"/>
                <w:szCs w:val="8"/>
                <w:color w:val="auto"/>
              </w:rPr>
            </w:pPr>
          </w:p>
        </w:tc>
        <w:tc>
          <w:tcPr>
            <w:tcW w:w="152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740" w:type="dxa"/>
            <w:vAlign w:val="bottom"/>
            <w:shd w:val="clear" w:color="auto" w:fill="1D2758"/>
          </w:tcPr>
          <w:p>
            <w:pPr>
              <w:spacing w:after="0"/>
              <w:rPr>
                <w:sz w:val="8"/>
                <w:szCs w:val="8"/>
                <w:color w:val="auto"/>
              </w:rPr>
            </w:pPr>
          </w:p>
        </w:tc>
        <w:tc>
          <w:tcPr>
            <w:tcW w:w="124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7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603,089</w:t>
            </w:r>
          </w:p>
        </w:tc>
        <w:tc>
          <w:tcPr>
            <w:tcW w:w="100" w:type="dxa"/>
            <w:vAlign w:val="bottom"/>
            <w:shd w:val="clear" w:color="auto" w:fill="DBDBDB"/>
          </w:tcPr>
          <w:p>
            <w:pPr>
              <w:spacing w:after="0"/>
              <w:rPr>
                <w:sz w:val="20"/>
                <w:szCs w:val="20"/>
                <w:color w:val="auto"/>
              </w:rPr>
            </w:pPr>
          </w:p>
        </w:tc>
        <w:tc>
          <w:tcPr>
            <w:tcW w:w="740" w:type="dxa"/>
            <w:vAlign w:val="bottom"/>
            <w:shd w:val="clear" w:color="auto" w:fill="DBDBDB"/>
          </w:tcPr>
          <w:p>
            <w:pPr>
              <w:jc w:val="right"/>
              <w:ind w:right="56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382,725</w:t>
            </w:r>
          </w:p>
        </w:tc>
        <w:tc>
          <w:tcPr>
            <w:tcW w:w="0" w:type="dxa"/>
            <w:vAlign w:val="bottom"/>
          </w:tcPr>
          <w:p>
            <w:pPr>
              <w:spacing w:after="0"/>
              <w:rPr>
                <w:sz w:val="1"/>
                <w:szCs w:val="1"/>
                <w:color w:val="auto"/>
              </w:rPr>
            </w:pPr>
          </w:p>
        </w:tc>
      </w:tr>
      <w:tr>
        <w:trPr>
          <w:trHeight w:val="225"/>
        </w:trPr>
        <w:tc>
          <w:tcPr>
            <w:tcW w:w="71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(349,666)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(268,668)</w:t>
            </w:r>
          </w:p>
        </w:tc>
        <w:tc>
          <w:tcPr>
            <w:tcW w:w="0" w:type="dxa"/>
            <w:vAlign w:val="bottom"/>
          </w:tcPr>
          <w:p>
            <w:pPr>
              <w:spacing w:after="0"/>
              <w:rPr>
                <w:sz w:val="1"/>
                <w:szCs w:val="1"/>
                <w:color w:val="auto"/>
              </w:rPr>
            </w:pPr>
          </w:p>
        </w:tc>
      </w:tr>
      <w:tr>
        <w:trPr>
          <w:trHeight w:val="239"/>
        </w:trPr>
        <w:tc>
          <w:tcPr>
            <w:tcW w:w="7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used in financing activities</w:t>
            </w:r>
          </w:p>
        </w:tc>
        <w:tc>
          <w:tcPr>
            <w:tcW w:w="46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(248,841)</w:t>
            </w:r>
          </w:p>
        </w:tc>
        <w:tc>
          <w:tcPr>
            <w:tcW w:w="100" w:type="dxa"/>
            <w:vAlign w:val="bottom"/>
            <w:shd w:val="clear" w:color="auto" w:fill="DBDBDB"/>
          </w:tcPr>
          <w:p>
            <w:pPr>
              <w:spacing w:after="0"/>
              <w:rPr>
                <w:sz w:val="20"/>
                <w:szCs w:val="20"/>
                <w:color w:val="auto"/>
              </w:rPr>
            </w:pPr>
          </w:p>
        </w:tc>
        <w:tc>
          <w:tcPr>
            <w:tcW w:w="740" w:type="dxa"/>
            <w:vAlign w:val="bottom"/>
            <w:shd w:val="clear" w:color="auto" w:fill="DBDBDB"/>
          </w:tcPr>
          <w:p>
            <w:pPr>
              <w:spacing w:after="0"/>
              <w:rPr>
                <w:sz w:val="20"/>
                <w:szCs w:val="20"/>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(113,234)</w:t>
            </w:r>
          </w:p>
        </w:tc>
        <w:tc>
          <w:tcPr>
            <w:tcW w:w="0" w:type="dxa"/>
            <w:vAlign w:val="bottom"/>
          </w:tcPr>
          <w:p>
            <w:pPr>
              <w:spacing w:after="0"/>
              <w:rPr>
                <w:sz w:val="1"/>
                <w:szCs w:val="1"/>
                <w:color w:val="auto"/>
              </w:rPr>
            </w:pPr>
          </w:p>
        </w:tc>
      </w:tr>
      <w:tr>
        <w:trPr>
          <w:trHeight w:val="218"/>
        </w:trPr>
        <w:tc>
          <w:tcPr>
            <w:tcW w:w="716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4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1,174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(735)</w:t>
            </w:r>
          </w:p>
        </w:tc>
        <w:tc>
          <w:tcPr>
            <w:tcW w:w="0" w:type="dxa"/>
            <w:vAlign w:val="bottom"/>
          </w:tcPr>
          <w:p>
            <w:pPr>
              <w:spacing w:after="0"/>
              <w:rPr>
                <w:sz w:val="1"/>
                <w:szCs w:val="1"/>
                <w:color w:val="auto"/>
              </w:rPr>
            </w:pPr>
          </w:p>
        </w:tc>
      </w:tr>
      <w:tr>
        <w:trPr>
          <w:trHeight w:val="98"/>
        </w:trPr>
        <w:tc>
          <w:tcPr>
            <w:tcW w:w="7160" w:type="dxa"/>
            <w:vAlign w:val="bottom"/>
            <w:tcBorders>
              <w:bottom w:val="single" w:sz="8" w:color="DBDBDB"/>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DBDBDB"/>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7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460" w:type="dxa"/>
            <w:vAlign w:val="bottom"/>
            <w:vMerge w:val="restart"/>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5,756</w:t>
            </w:r>
          </w:p>
        </w:tc>
        <w:tc>
          <w:tcPr>
            <w:tcW w:w="100" w:type="dxa"/>
            <w:vAlign w:val="bottom"/>
            <w:shd w:val="clear" w:color="auto" w:fill="DBDBDB"/>
          </w:tcPr>
          <w:p>
            <w:pPr>
              <w:spacing w:after="0"/>
              <w:rPr>
                <w:sz w:val="17"/>
                <w:szCs w:val="17"/>
                <w:color w:val="auto"/>
              </w:rPr>
            </w:pPr>
          </w:p>
        </w:tc>
        <w:tc>
          <w:tcPr>
            <w:tcW w:w="740" w:type="dxa"/>
            <w:vAlign w:val="bottom"/>
            <w:vMerge w:val="restart"/>
            <w:shd w:val="clear" w:color="auto" w:fill="DBDBDB"/>
          </w:tcPr>
          <w:p>
            <w:pPr>
              <w:jc w:val="right"/>
              <w:ind w:right="563"/>
              <w:spacing w:after="0"/>
              <w:rPr>
                <w:sz w:val="20"/>
                <w:szCs w:val="20"/>
                <w:color w:val="auto"/>
              </w:rPr>
            </w:pPr>
            <w:r>
              <w:rPr>
                <w:rFonts w:ascii="Arial" w:cs="Arial" w:eastAsia="Arial" w:hAnsi="Arial"/>
                <w:sz w:val="15"/>
                <w:szCs w:val="15"/>
                <w:color w:val="auto"/>
                <w:w w:val="95"/>
              </w:rPr>
              <w:t>$</w:t>
            </w:r>
          </w:p>
        </w:tc>
        <w:tc>
          <w:tcPr>
            <w:tcW w:w="12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92"/>
        </w:trPr>
        <w:tc>
          <w:tcPr>
            <w:tcW w:w="7160" w:type="dxa"/>
            <w:vAlign w:val="bottom"/>
            <w:tcBorders>
              <w:bottom w:val="single" w:sz="8" w:color="DBDBDB"/>
            </w:tcBorders>
            <w:shd w:val="clear" w:color="auto" w:fill="DBDBDB"/>
          </w:tcPr>
          <w:p>
            <w:pPr>
              <w:spacing w:after="0"/>
              <w:rPr>
                <w:sz w:val="7"/>
                <w:szCs w:val="7"/>
                <w:color w:val="auto"/>
              </w:rPr>
            </w:pPr>
          </w:p>
        </w:tc>
        <w:tc>
          <w:tcPr>
            <w:tcW w:w="460" w:type="dxa"/>
            <w:vAlign w:val="bottom"/>
            <w:tcBorders>
              <w:bottom w:val="single" w:sz="8" w:color="auto"/>
            </w:tcBorders>
            <w:vMerge w:val="continue"/>
            <w:shd w:val="clear" w:color="auto" w:fill="DBDBDB"/>
          </w:tcPr>
          <w:p>
            <w:pPr>
              <w:spacing w:after="0"/>
              <w:rPr>
                <w:sz w:val="7"/>
                <w:szCs w:val="7"/>
                <w:color w:val="auto"/>
              </w:rPr>
            </w:pPr>
          </w:p>
        </w:tc>
        <w:tc>
          <w:tcPr>
            <w:tcW w:w="1520" w:type="dxa"/>
            <w:vAlign w:val="bottom"/>
            <w:tcBorders>
              <w:bottom w:val="single" w:sz="8" w:color="auto"/>
            </w:tcBorders>
            <w:vMerge w:val="continue"/>
            <w:shd w:val="clear" w:color="auto" w:fill="DBDBDB"/>
          </w:tcPr>
          <w:p>
            <w:pPr>
              <w:spacing w:after="0"/>
              <w:rPr>
                <w:sz w:val="7"/>
                <w:szCs w:val="7"/>
                <w:color w:val="auto"/>
              </w:rPr>
            </w:pPr>
          </w:p>
        </w:tc>
        <w:tc>
          <w:tcPr>
            <w:tcW w:w="100" w:type="dxa"/>
            <w:vAlign w:val="bottom"/>
            <w:tcBorders>
              <w:bottom w:val="single" w:sz="8" w:color="DBDBDB"/>
            </w:tcBorders>
            <w:shd w:val="clear" w:color="auto" w:fill="DBDBDB"/>
          </w:tcPr>
          <w:p>
            <w:pPr>
              <w:spacing w:after="0"/>
              <w:rPr>
                <w:sz w:val="7"/>
                <w:szCs w:val="7"/>
                <w:color w:val="auto"/>
              </w:rPr>
            </w:pPr>
          </w:p>
        </w:tc>
        <w:tc>
          <w:tcPr>
            <w:tcW w:w="740" w:type="dxa"/>
            <w:vAlign w:val="bottom"/>
            <w:tcBorders>
              <w:bottom w:val="single" w:sz="8" w:color="auto"/>
            </w:tcBorders>
            <w:vMerge w:val="continue"/>
            <w:shd w:val="clear" w:color="auto" w:fill="DBDBDB"/>
          </w:tcPr>
          <w:p>
            <w:pPr>
              <w:spacing w:after="0"/>
              <w:rPr>
                <w:sz w:val="7"/>
                <w:szCs w:val="7"/>
                <w:color w:val="auto"/>
              </w:rPr>
            </w:pPr>
          </w:p>
        </w:tc>
        <w:tc>
          <w:tcPr>
            <w:tcW w:w="1240" w:type="dxa"/>
            <w:vAlign w:val="bottom"/>
            <w:tcBorders>
              <w:bottom w:val="single" w:sz="8" w:color="auto"/>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Nine Months Ended September 30, 2025 and 2024</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provided by operating activities for the nine months ended September 30, 2025 was $603.1 million as compared to $382.7 million for the nine months ended September 30, 2024, an increase of $220.4 million. The increase in net cash provided by operating activities was primarily due to the payment of $212.5 million for the McGrath termination fee and transaction costs from terminated acquisitions during the nine months ended September 30, 2024.</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Net cash used in investing activities for the nine months ended September 30, 2025 was $349.7 million as compared to $268.7 million for the nine months ended September 30, 2024, an $81.0 million increase in net cash used in investing activities. The increase in net cash used in investing activities resulted from a $59.9 million increase in cash used in acquisitions, net of cash acquired, and a $31.9 million increase in the purchase of rental equipment and refurbishments during the nine months ended September 30, 2025.</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Net cash used in financing activities for the nine months ended September 30, 2025 was $248.8 million as compared to $113.2 million for the nine months ended September 30, 2024, an increase of $135.6 million. The increase was primarily due to a $159.6 million increase in repayments of borrowings, net of receipts from borrowings, and a $38.4 million increase in cash used to pay dividends during the nine months ended September 30, 2025. The increase was partially offset by a $47.8 million decrease in cash used for the repurchase and cancellation of common stock and a $9.9 million increase in receipts from issuance of common stock from the exercise of options in the nine months ended September 30, 2025.</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cash requirements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Debt</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has outstanding debt related to its ABL Facility, 2028 Secured Notes, 2029 Secured Notes, 2030 Secured Notes, 2031 Secured Notes, and finance leases totaling $3.6 billion as of September 30, 2025, $27.4 million of which is obligated to be repaid within the next twelve months. Refer to Note 8 for further information regarding outstanding debt and Note 17 for details on financing activities completed subsequent to September 30, 2025 whereby the Company amended its ABL Facility to reduce borrowing costs and extend the maturity date to October 16, 2030. After giving effect to the extension, the Company has no maturities of debt until 2028 other than for finance leases.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Operating leases</w:t>
      </w:r>
    </w:p>
    <w:p>
      <w:pPr>
        <w:spacing w:after="0" w:line="6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real estate. As of September 30, 2025, the Company had lease obligations of $332.8 million, with $88.5 million payable within the next twelve months.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Other</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to the cash requirements described above, the Company has a dividend program subject to quarterly approval and declaration by the Board of Directors as well as a share repurchase program authorized by the Board of Directors, which allows the Company to repurchase up to $1.0 billion of outstanding shares of Common Stock. As of September 30, 2025, $741.7 million of the authorization for future repurchases of our common stock remained available. These programs do not obligate the Company to issue dividends or repurchase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1D2758"/>
        </w:rPr>
        <w:t>Critical Accounting Estimates</w:t>
      </w:r>
    </w:p>
    <w:p>
      <w:pPr>
        <w:spacing w:after="0" w:line="7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Our actual results may differ materially and adversely from our estimates. For a complete discussion of our significant critical accounting estimates, see the “Critical Accounting Estimates” section in Part II, Item 7 of our Annual Report on Form 10-K for the year ended December 31, 2024 (the "2024 Annual Report on Form 10-K"). There were no significant changes to our critical accounting estimates during the nine months ended September 30, 2025.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1D2758"/>
        </w:rPr>
        <w:t>Recently Issued Accounting Standards</w:t>
      </w:r>
    </w:p>
    <w:p>
      <w:pPr>
        <w:spacing w:after="0" w:line="6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Refer to Part I, Item 1, Note 1 of the notes to our condensed consolidated financial statements included in this Quarterly Report on Form 10-Q for our assessment of recently issued accounting standards.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1D2758"/>
        </w:rPr>
        <w:t>Cautionary Note Regarding Forward-Looking Statements</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believes that these forward-looking statements are based on reasonable assumptions, the Company can give no assurance that any such forward-looking statement will materialize. Important factors that may affect actual results or outcomes include, among others:</w:t>
      </w:r>
    </w:p>
    <w:p>
      <w:pPr>
        <w:spacing w:after="0" w:line="201" w:lineRule="exact"/>
        <w:rPr>
          <w:sz w:val="20"/>
          <w:szCs w:val="20"/>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economic conditions and changes therein, including financial market conditions and levels of end market demand;</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and portable storage industries;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w:t>
      </w:r>
    </w:p>
    <w:p>
      <w:pPr>
        <w:spacing w:after="0" w:line="59" w:lineRule="exact"/>
        <w:rPr>
          <w:rFonts w:ascii="Arial" w:cs="Arial" w:eastAsia="Arial" w:hAnsi="Arial"/>
          <w:sz w:val="15"/>
          <w:szCs w:val="15"/>
          <w:color w:val="auto"/>
        </w:rPr>
      </w:pPr>
    </w:p>
    <w:p>
      <w:pPr>
        <w:ind w:left="620" w:hanging="307"/>
        <w:spacing w:after="0" w:line="278"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laws and regulations governing antitrust, climate related disclosures, cybersecurity and information technology, privacy, government contracts, anti-corruption, and the environment;</w:t>
      </w: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actions of activist shareholders;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46" w:lineRule="exact"/>
        <w:rPr>
          <w:rFonts w:ascii="Arial" w:cs="Arial" w:eastAsia="Arial" w:hAnsi="Arial"/>
          <w:sz w:val="15"/>
          <w:szCs w:val="15"/>
          <w:color w:val="auto"/>
        </w:rPr>
      </w:pPr>
    </w:p>
    <w:p>
      <w:pPr>
        <w:ind w:left="620" w:hanging="307"/>
        <w:spacing w:after="0" w:line="278"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risks associated with cybersecurity threats and IT systems disruptions, including our ability to manage the business in the event a cybersecurity incident or a disaster shuts down or materially impacts our management information systems;</w:t>
      </w:r>
    </w:p>
    <w:p>
      <w:pPr>
        <w:ind w:left="620" w:hanging="307"/>
        <w:spacing w:after="0" w:line="287"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and enforcement of tariffs, trade restrictions, and broader economic measures and their consequences;</w:t>
      </w: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46" w:lineRule="exact"/>
        <w:rPr>
          <w:rFonts w:ascii="Arial" w:cs="Arial" w:eastAsia="Arial" w:hAnsi="Arial"/>
          <w:sz w:val="15"/>
          <w:szCs w:val="15"/>
          <w:color w:val="auto"/>
        </w:rPr>
      </w:pPr>
    </w:p>
    <w:p>
      <w:pPr>
        <w:ind w:left="620" w:hanging="307"/>
        <w:spacing w:after="0" w:line="278" w:lineRule="auto"/>
        <w:tabs>
          <w:tab w:leader="none" w:pos="6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customers as a result of the economic climate in which they operate and/or economic or financial disruptions to their industry;</w:t>
      </w: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evolving public disclosure, financial reporting, internal controls, and corporate governance expectations;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achieve our environmental, social, and governance goals;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fluctuations in fuel costs or a reduction in fuel supplies;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7" w:name="page38"/>
    <w:bookmarkEnd w:id="37"/>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tax loss carryforwards, and utilize future tax savings;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a new tax legislation, or exposure to additional income tax liabilities;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service our debt and operate our business;</w:t>
      </w:r>
    </w:p>
    <w:p>
      <w:pPr>
        <w:spacing w:after="0" w:line="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incur significant additional amounts of debt and avoid risks associated with substantial indebtedness;</w:t>
      </w:r>
    </w:p>
    <w:p>
      <w:pPr>
        <w:spacing w:after="0" w:line="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our stock price volatility; and</w:t>
      </w:r>
    </w:p>
    <w:p>
      <w:pPr>
        <w:spacing w:after="0" w:line="46" w:lineRule="exact"/>
        <w:rPr>
          <w:rFonts w:ascii="Times New Roman" w:cs="Times New Roman" w:eastAsia="Times New Roman" w:hAnsi="Times New Roman"/>
          <w:sz w:val="15"/>
          <w:szCs w:val="15"/>
          <w:color w:val="auto"/>
        </w:rPr>
      </w:pPr>
    </w:p>
    <w:p>
      <w:pPr>
        <w:ind w:left="620" w:hanging="307"/>
        <w:spacing w:after="0" w:line="295" w:lineRule="auto"/>
        <w:tabs>
          <w:tab w:leader="none" w:pos="609" w:val="left"/>
        </w:tabs>
        <w:numPr>
          <w:ilvl w:val="0"/>
          <w:numId w:val="13"/>
        </w:numPr>
        <w:rPr>
          <w:rFonts w:ascii="Arial" w:cs="Arial" w:eastAsia="Arial" w:hAnsi="Arial"/>
          <w:sz w:val="15"/>
          <w:szCs w:val="15"/>
          <w:color w:val="auto"/>
        </w:rPr>
      </w:pPr>
      <w:r>
        <w:rPr>
          <w:rFonts w:ascii="Arial" w:cs="Arial" w:eastAsia="Arial" w:hAnsi="Arial"/>
          <w:sz w:val="15"/>
          <w:szCs w:val="15"/>
          <w:color w:val="auto"/>
        </w:rPr>
        <w:t>such other risks and uncertainties described in the periodic reports we file with the SEC from time to time (including our 2024 Annual Report on Form 10-K), which are available through the SEC’s EDGAR system at www.sec.gov and on our website.</w:t>
      </w:r>
    </w:p>
    <w:p>
      <w:pPr>
        <w:spacing w:after="0" w:line="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Any forward-looking statement speaks only at the date which it is made, and WillScot undertakes no obligation, and disclaims any obligation, to update or revise any forward-looking statements, whether as a result of new information, future events or otherwise, except as required by law.</w:t>
      </w:r>
    </w:p>
    <w:p>
      <w:pPr>
        <w:spacing w:after="0" w:line="141" w:lineRule="exact"/>
        <w:rPr>
          <w:sz w:val="20"/>
          <w:szCs w:val="20"/>
          <w:color w:val="auto"/>
        </w:rPr>
      </w:pPr>
    </w:p>
    <w:p>
      <w:pPr>
        <w:spacing w:after="0"/>
        <w:tabs>
          <w:tab w:leader="none" w:pos="1420" w:val="left"/>
        </w:tabs>
        <w:rPr>
          <w:sz w:val="20"/>
          <w:szCs w:val="20"/>
          <w:color w:val="auto"/>
        </w:rPr>
      </w:pPr>
      <w:r>
        <w:rPr>
          <w:rFonts w:ascii="Arial" w:cs="Arial" w:eastAsia="Arial" w:hAnsi="Arial"/>
          <w:sz w:val="31"/>
          <w:szCs w:val="31"/>
          <w:b w:val="1"/>
          <w:bCs w:val="1"/>
          <w:color w:val="auto"/>
        </w:rPr>
        <w:t>ITEM 3.</w:t>
      </w:r>
      <w:r>
        <w:rPr>
          <w:sz w:val="20"/>
          <w:szCs w:val="20"/>
          <w:color w:val="auto"/>
        </w:rPr>
        <w:tab/>
      </w:r>
      <w:r>
        <w:rPr>
          <w:rFonts w:ascii="Arial" w:cs="Arial" w:eastAsia="Arial" w:hAnsi="Arial"/>
          <w:sz w:val="30"/>
          <w:szCs w:val="30"/>
          <w:b w:val="1"/>
          <w:bCs w:val="1"/>
          <w:color w:val="auto"/>
        </w:rPr>
        <w:t>Quantitative and Qualitative Disclosures about Market Risk</w:t>
      </w:r>
    </w:p>
    <w:p>
      <w:pPr>
        <w:spacing w:after="0" w:line="137"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$1.5 billion in outstanding principal under the ABL Facility at September 30, 2025. To manage interest rate risk, in January 2024 and January 2023, respectively, we executed interest rate swap agreements relating to an aggregate of $500.0 million and $750.0 million in notional amount of variable-rate debt under our ABL Facility. The January 2024 and January 2023 swap agreements provide for us to pay effective fixed interest rates of 3.70% and 3.44% per annum, respectively, and receive a variable interest rate equal to one-month term SOFR, with maturity dates of June 30, 2027. After taking into account the impact of the swaps, an increase in interest rates by 100 basis points on our ABL Facility would have increased quarter to date interest expense by approximately $0.6 million based on outstanding borrowings at September 30, 2025.</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currently generate approximately 94%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21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8" w:name="page39"/>
    <w:bookmarkEnd w:id="38"/>
    <w:p>
      <w:pPr>
        <w:spacing w:after="0"/>
        <w:tabs>
          <w:tab w:leader="none" w:pos="1420" w:val="left"/>
        </w:tabs>
        <w:rPr>
          <w:sz w:val="20"/>
          <w:szCs w:val="20"/>
          <w:color w:val="auto"/>
        </w:rPr>
      </w:pPr>
      <w:r>
        <w:rPr>
          <w:rFonts w:ascii="Arial" w:cs="Arial" w:eastAsia="Arial" w:hAnsi="Arial"/>
          <w:sz w:val="31"/>
          <w:szCs w:val="31"/>
          <w:b w:val="1"/>
          <w:bCs w:val="1"/>
          <w:color w:val="auto"/>
        </w:rPr>
        <w:t>ITEM 4.</w:t>
      </w:r>
      <w:r>
        <w:rPr>
          <w:sz w:val="20"/>
          <w:szCs w:val="20"/>
          <w:color w:val="auto"/>
        </w:rPr>
        <w:tab/>
      </w:r>
      <w:r>
        <w:rPr>
          <w:rFonts w:ascii="Arial" w:cs="Arial" w:eastAsia="Arial" w:hAnsi="Arial"/>
          <w:sz w:val="30"/>
          <w:szCs w:val="30"/>
          <w:b w:val="1"/>
          <w:bCs w:val="1"/>
          <w:color w:val="auto"/>
        </w:rPr>
        <w:t>Controls and Procedures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6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September 30, 2025. Based upon that evaluation, our Chief Executive Officer and Chief Financial Officer concluded that our disclosure controls and procedures were effective as of September 30, 2025.</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6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There were no changes in our internal control over financial reporting that occurred during the quarter ended September 30, 2025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9" w:name="page40"/>
    <w:bookmarkEnd w:id="39"/>
    <w:p>
      <w:pPr>
        <w:ind w:right="3640" w:firstLine="3638"/>
        <w:spacing w:after="0" w:line="396" w:lineRule="auto"/>
        <w:rPr>
          <w:sz w:val="20"/>
          <w:szCs w:val="20"/>
          <w:color w:val="auto"/>
        </w:rPr>
      </w:pPr>
      <w:r>
        <w:rPr>
          <w:rFonts w:ascii="Arial" w:cs="Arial" w:eastAsia="Arial" w:hAnsi="Arial"/>
          <w:sz w:val="31"/>
          <w:szCs w:val="31"/>
          <w:b w:val="1"/>
          <w:bCs w:val="1"/>
          <w:color w:val="auto"/>
        </w:rPr>
        <w:t>PART II - Other Information ITEM 1. Legal Proceedings</w:t>
      </w:r>
    </w:p>
    <w:p>
      <w:pPr>
        <w:jc w:val="both"/>
        <w:ind w:firstLine="619"/>
        <w:spacing w:after="0" w:line="273"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September 30, 2025,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ITEM 1A. Risk Factors</w:t>
      </w:r>
    </w:p>
    <w:p>
      <w:pPr>
        <w:spacing w:after="0" w:line="13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2024 Annual Report on Form 10-K, which have not materially changed, except as set forth below:</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5"/>
          <w:szCs w:val="15"/>
          <w:b w:val="1"/>
          <w:bCs w:val="1"/>
          <w:color w:val="auto"/>
        </w:rPr>
        <w:t>Trade policies and changes in trade policies, including the imposition of or increases in tariffs, their enforcement, downstream consequences, including any resulting changes in international trade relations, may materially adversely affect our business, results of operations, and outlook.</w:t>
      </w:r>
    </w:p>
    <w:p>
      <w:pPr>
        <w:spacing w:after="0" w:line="1"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Tariffs and/or other developments with respect to trade policies, trade agreements and government regulations may materially adversely affect our business, financial condition and results of operations. From time to time, the US government has historically imposed and may in the future impose tariffs on steel, aluminum, lumber, and other imports from certain countries or countries generally, which could result in increased costs to us for these materials. Without limitation,</w:t>
      </w:r>
    </w:p>
    <w:p>
      <w:pPr>
        <w:jc w:val="both"/>
        <w:ind w:firstLine="3"/>
        <w:spacing w:after="0" w:line="259" w:lineRule="auto"/>
        <w:tabs>
          <w:tab w:leader="none" w:pos="184" w:val="left"/>
        </w:tabs>
        <w:numPr>
          <w:ilvl w:val="0"/>
          <w:numId w:val="14"/>
        </w:numPr>
        <w:rPr>
          <w:rFonts w:ascii="Arial" w:cs="Arial" w:eastAsia="Arial" w:hAnsi="Arial"/>
          <w:sz w:val="15"/>
          <w:szCs w:val="15"/>
          <w:color w:val="auto"/>
        </w:rPr>
      </w:pPr>
      <w:r>
        <w:rPr>
          <w:rFonts w:ascii="Arial" w:cs="Arial" w:eastAsia="Arial" w:hAnsi="Arial"/>
          <w:sz w:val="15"/>
          <w:szCs w:val="15"/>
          <w:color w:val="auto"/>
        </w:rPr>
        <w:t>tariffs currently in place and (ii) the imposition by the federal government of new tariffs on imports to the US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The current US administration has implemented or increased, or announced plans to implement or increase tariffs, including on products manufactured in China, Canada, and Mexico, though it remains unclear what specific actions will be implemented or be maintained. The implementation or maintenance of tariffs announced to date or announced in the future, or any escalation of trade tensions, additional tariffs, retaliatory measures by foreign governments or shifts in US or international trade policies could increase uncertainty and adversely impact our supply chain, increase costs, and reduce demand for our products, directly or indirectly due to negative effects on our customers, the US economy, the economies of other countries in which we operate or the global economy, any or all of which developments may materially adversely affect our business, financial condition, and results of operations. Further, the duration and scope of these potential effects are unknown. Although we actively monitor our procurement policies and practices to avoid undue reliance on foreign goods subject to tariffs, when practicable, there is no assurance that any actions we implement as a result will allow us to avoid these potential effects.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0" w:name="page41"/>
    <w:bookmarkEnd w:id="40"/>
    <w:p>
      <w:pPr>
        <w:spacing w:after="0"/>
        <w:tabs>
          <w:tab w:leader="none" w:pos="1420" w:val="left"/>
        </w:tabs>
        <w:rPr>
          <w:sz w:val="20"/>
          <w:szCs w:val="20"/>
          <w:color w:val="auto"/>
        </w:rPr>
      </w:pPr>
      <w:r>
        <w:rPr>
          <w:rFonts w:ascii="Arial" w:cs="Arial" w:eastAsia="Arial" w:hAnsi="Arial"/>
          <w:sz w:val="31"/>
          <w:szCs w:val="31"/>
          <w:b w:val="1"/>
          <w:bCs w:val="1"/>
          <w:color w:val="auto"/>
        </w:rPr>
        <w:t>ITEM 2.</w:t>
      </w:r>
      <w:r>
        <w:rPr>
          <w:sz w:val="20"/>
          <w:szCs w:val="20"/>
          <w:color w:val="auto"/>
        </w:rPr>
        <w:tab/>
      </w:r>
      <w:r>
        <w:rPr>
          <w:rFonts w:ascii="Arial" w:cs="Arial" w:eastAsia="Arial" w:hAnsi="Arial"/>
          <w:sz w:val="30"/>
          <w:szCs w:val="30"/>
          <w:b w:val="1"/>
          <w:bCs w:val="1"/>
          <w:color w:val="auto"/>
        </w:rPr>
        <w:t>Unregistered Sales of Equity Securities and Use of Proceeds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our purchase of Common Stock during the third quarter of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960" w:type="dxa"/>
            <w:vAlign w:val="bottom"/>
            <w:shd w:val="clear" w:color="auto" w:fill="1D2758"/>
          </w:tcPr>
          <w:p>
            <w:pPr>
              <w:spacing w:after="0"/>
              <w:rPr>
                <w:sz w:val="17"/>
                <w:szCs w:val="17"/>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w:t>
            </w:r>
          </w:p>
        </w:tc>
        <w:tc>
          <w:tcPr>
            <w:tcW w:w="220" w:type="dxa"/>
            <w:vAlign w:val="bottom"/>
            <w:shd w:val="clear" w:color="auto" w:fill="1D2758"/>
          </w:tcPr>
          <w:p>
            <w:pPr>
              <w:spacing w:after="0"/>
              <w:rPr>
                <w:sz w:val="17"/>
                <w:szCs w:val="17"/>
                <w:color w:val="auto"/>
              </w:rPr>
            </w:pPr>
          </w:p>
        </w:tc>
        <w:tc>
          <w:tcPr>
            <w:tcW w:w="1260" w:type="dxa"/>
            <w:vAlign w:val="bottom"/>
            <w:shd w:val="clear" w:color="auto" w:fill="1D2758"/>
          </w:tcPr>
          <w:p>
            <w:pPr>
              <w:spacing w:after="0"/>
              <w:rPr>
                <w:sz w:val="17"/>
                <w:szCs w:val="17"/>
                <w:color w:val="auto"/>
              </w:rPr>
            </w:pP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220" w:type="dxa"/>
            <w:vAlign w:val="bottom"/>
            <w:shd w:val="clear" w:color="auto" w:fill="1D2758"/>
          </w:tcPr>
          <w:p>
            <w:pPr>
              <w:spacing w:after="0"/>
              <w:rPr>
                <w:sz w:val="17"/>
                <w:szCs w:val="17"/>
                <w:color w:val="auto"/>
              </w:rPr>
            </w:pPr>
          </w:p>
        </w:tc>
        <w:tc>
          <w:tcPr>
            <w:tcW w:w="200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Maximum Dollar Value of</w:t>
            </w:r>
          </w:p>
        </w:tc>
        <w:tc>
          <w:tcPr>
            <w:tcW w:w="0" w:type="dxa"/>
            <w:vAlign w:val="bottom"/>
          </w:tcPr>
          <w:p>
            <w:pPr>
              <w:spacing w:after="0"/>
              <w:rPr>
                <w:sz w:val="1"/>
                <w:szCs w:val="1"/>
                <w:color w:val="auto"/>
              </w:rPr>
            </w:pPr>
          </w:p>
        </w:tc>
      </w:tr>
      <w:tr>
        <w:trPr>
          <w:trHeight w:val="180"/>
        </w:trPr>
        <w:tc>
          <w:tcPr>
            <w:tcW w:w="3960" w:type="dxa"/>
            <w:vAlign w:val="bottom"/>
            <w:shd w:val="clear" w:color="auto" w:fill="1D2758"/>
          </w:tcPr>
          <w:p>
            <w:pPr>
              <w:spacing w:after="0"/>
              <w:rPr>
                <w:sz w:val="15"/>
                <w:szCs w:val="15"/>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Shares and</w:t>
            </w:r>
          </w:p>
        </w:tc>
        <w:tc>
          <w:tcPr>
            <w:tcW w:w="220" w:type="dxa"/>
            <w:vAlign w:val="bottom"/>
            <w:shd w:val="clear" w:color="auto" w:fill="1D2758"/>
          </w:tcPr>
          <w:p>
            <w:pPr>
              <w:spacing w:after="0"/>
              <w:rPr>
                <w:sz w:val="15"/>
                <w:szCs w:val="15"/>
                <w:color w:val="auto"/>
              </w:rPr>
            </w:pPr>
          </w:p>
        </w:tc>
        <w:tc>
          <w:tcPr>
            <w:tcW w:w="1260" w:type="dxa"/>
            <w:vAlign w:val="bottom"/>
            <w:shd w:val="clear" w:color="auto" w:fill="1D2758"/>
          </w:tcPr>
          <w:p>
            <w:pPr>
              <w:spacing w:after="0"/>
              <w:rPr>
                <w:sz w:val="15"/>
                <w:szCs w:val="15"/>
                <w:color w:val="auto"/>
              </w:rPr>
            </w:pPr>
          </w:p>
        </w:tc>
        <w:tc>
          <w:tcPr>
            <w:tcW w:w="2100" w:type="dxa"/>
            <w:vAlign w:val="bottom"/>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20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60" w:type="dxa"/>
            <w:vAlign w:val="bottom"/>
            <w:shd w:val="clear" w:color="auto" w:fill="1D2758"/>
          </w:tcPr>
          <w:p>
            <w:pPr>
              <w:spacing w:after="0"/>
              <w:rPr>
                <w:sz w:val="15"/>
                <w:szCs w:val="15"/>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Equivalents</w:t>
            </w:r>
          </w:p>
        </w:tc>
        <w:tc>
          <w:tcPr>
            <w:tcW w:w="220" w:type="dxa"/>
            <w:vAlign w:val="bottom"/>
            <w:shd w:val="clear" w:color="auto" w:fill="1D2758"/>
          </w:tcPr>
          <w:p>
            <w:pPr>
              <w:spacing w:after="0"/>
              <w:rPr>
                <w:sz w:val="15"/>
                <w:szCs w:val="15"/>
                <w:color w:val="auto"/>
              </w:rPr>
            </w:pPr>
          </w:p>
        </w:tc>
        <w:tc>
          <w:tcPr>
            <w:tcW w:w="126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Average Price</w:t>
            </w:r>
          </w:p>
        </w:tc>
        <w:tc>
          <w:tcPr>
            <w:tcW w:w="21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Equivalents Purchased as</w:t>
            </w:r>
          </w:p>
        </w:tc>
        <w:tc>
          <w:tcPr>
            <w:tcW w:w="222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Shares and Equivalents that</w:t>
            </w:r>
          </w:p>
        </w:tc>
        <w:tc>
          <w:tcPr>
            <w:tcW w:w="0" w:type="dxa"/>
            <w:vAlign w:val="bottom"/>
          </w:tcPr>
          <w:p>
            <w:pPr>
              <w:spacing w:after="0"/>
              <w:rPr>
                <w:sz w:val="1"/>
                <w:szCs w:val="1"/>
                <w:color w:val="auto"/>
              </w:rPr>
            </w:pPr>
          </w:p>
        </w:tc>
      </w:tr>
      <w:tr>
        <w:trPr>
          <w:trHeight w:val="180"/>
        </w:trPr>
        <w:tc>
          <w:tcPr>
            <w:tcW w:w="3960" w:type="dxa"/>
            <w:vAlign w:val="bottom"/>
            <w:vMerge w:val="restart"/>
            <w:shd w:val="clear" w:color="auto" w:fill="1D2758"/>
          </w:tcPr>
          <w:p>
            <w:pPr>
              <w:ind w:left="1740"/>
              <w:spacing w:after="0"/>
              <w:rPr>
                <w:sz w:val="20"/>
                <w:szCs w:val="20"/>
                <w:color w:val="auto"/>
              </w:rPr>
            </w:pPr>
            <w:r>
              <w:rPr>
                <w:rFonts w:ascii="Arial" w:cs="Arial" w:eastAsia="Arial" w:hAnsi="Arial"/>
                <w:sz w:val="15"/>
                <w:szCs w:val="15"/>
                <w:b w:val="1"/>
                <w:bCs w:val="1"/>
                <w:color w:val="FFFFFF"/>
              </w:rPr>
              <w:t>Period</w:t>
            </w: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Purchased (in</w:t>
            </w:r>
          </w:p>
        </w:tc>
        <w:tc>
          <w:tcPr>
            <w:tcW w:w="220" w:type="dxa"/>
            <w:vAlign w:val="bottom"/>
            <w:shd w:val="clear" w:color="auto" w:fill="1D2758"/>
          </w:tcPr>
          <w:p>
            <w:pPr>
              <w:spacing w:after="0"/>
              <w:rPr>
                <w:sz w:val="15"/>
                <w:szCs w:val="15"/>
                <w:color w:val="auto"/>
              </w:rPr>
            </w:pPr>
          </w:p>
        </w:tc>
        <w:tc>
          <w:tcPr>
            <w:tcW w:w="1260" w:type="dxa"/>
            <w:vAlign w:val="bottom"/>
            <w:shd w:val="clear" w:color="auto" w:fill="1D2758"/>
          </w:tcPr>
          <w:p>
            <w:pPr>
              <w:jc w:val="center"/>
              <w:ind w:right="183"/>
              <w:spacing w:after="0"/>
              <w:rPr>
                <w:sz w:val="20"/>
                <w:szCs w:val="20"/>
                <w:color w:val="auto"/>
              </w:rPr>
            </w:pPr>
            <w:r>
              <w:rPr>
                <w:rFonts w:ascii="Arial" w:cs="Arial" w:eastAsia="Arial" w:hAnsi="Arial"/>
                <w:sz w:val="15"/>
                <w:szCs w:val="15"/>
                <w:b w:val="1"/>
                <w:bCs w:val="1"/>
                <w:color w:val="FFFFFF"/>
              </w:rPr>
              <w:t>Paid</w:t>
            </w:r>
          </w:p>
        </w:tc>
        <w:tc>
          <w:tcPr>
            <w:tcW w:w="21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part of Publicly Announced</w:t>
            </w:r>
          </w:p>
        </w:tc>
        <w:tc>
          <w:tcPr>
            <w:tcW w:w="220" w:type="dxa"/>
            <w:vAlign w:val="bottom"/>
            <w:shd w:val="clear" w:color="auto" w:fill="1D2758"/>
          </w:tcPr>
          <w:p>
            <w:pPr>
              <w:spacing w:after="0"/>
              <w:rPr>
                <w:sz w:val="15"/>
                <w:szCs w:val="15"/>
                <w:color w:val="auto"/>
              </w:rPr>
            </w:pPr>
          </w:p>
        </w:tc>
        <w:tc>
          <w:tcPr>
            <w:tcW w:w="2000" w:type="dxa"/>
            <w:vAlign w:val="bottom"/>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May Yet Be Purchased</w:t>
            </w:r>
          </w:p>
        </w:tc>
        <w:tc>
          <w:tcPr>
            <w:tcW w:w="0" w:type="dxa"/>
            <w:vAlign w:val="bottom"/>
          </w:tcPr>
          <w:p>
            <w:pPr>
              <w:spacing w:after="0"/>
              <w:rPr>
                <w:sz w:val="1"/>
                <w:szCs w:val="1"/>
                <w:color w:val="auto"/>
              </w:rPr>
            </w:pPr>
          </w:p>
        </w:tc>
      </w:tr>
      <w:tr>
        <w:trPr>
          <w:trHeight w:val="137"/>
        </w:trPr>
        <w:tc>
          <w:tcPr>
            <w:tcW w:w="3960" w:type="dxa"/>
            <w:vAlign w:val="bottom"/>
            <w:vMerge w:val="continue"/>
            <w:shd w:val="clear" w:color="auto" w:fill="1D2758"/>
          </w:tcPr>
          <w:p>
            <w:pPr>
              <w:spacing w:after="0"/>
              <w:rPr>
                <w:sz w:val="11"/>
                <w:szCs w:val="11"/>
                <w:color w:val="auto"/>
              </w:rPr>
            </w:pPr>
          </w:p>
        </w:tc>
        <w:tc>
          <w:tcPr>
            <w:tcW w:w="148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thousands)</w:t>
            </w:r>
          </w:p>
        </w:tc>
        <w:tc>
          <w:tcPr>
            <w:tcW w:w="220" w:type="dxa"/>
            <w:vAlign w:val="bottom"/>
            <w:shd w:val="clear" w:color="auto" w:fill="1D2758"/>
          </w:tcPr>
          <w:p>
            <w:pPr>
              <w:spacing w:after="0"/>
              <w:rPr>
                <w:sz w:val="11"/>
                <w:szCs w:val="11"/>
                <w:color w:val="auto"/>
              </w:rPr>
            </w:pPr>
          </w:p>
        </w:tc>
        <w:tc>
          <w:tcPr>
            <w:tcW w:w="1260" w:type="dxa"/>
            <w:vAlign w:val="bottom"/>
            <w:vMerge w:val="restart"/>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per Share</w:t>
            </w: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2220" w:type="dxa"/>
            <w:vAlign w:val="bottom"/>
            <w:gridSpan w:val="2"/>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Under the Plans (in millions)</w:t>
            </w:r>
          </w:p>
        </w:tc>
        <w:tc>
          <w:tcPr>
            <w:tcW w:w="0" w:type="dxa"/>
            <w:vAlign w:val="bottom"/>
          </w:tcPr>
          <w:p>
            <w:pPr>
              <w:spacing w:after="0"/>
              <w:rPr>
                <w:sz w:val="1"/>
                <w:szCs w:val="1"/>
                <w:color w:val="auto"/>
              </w:rPr>
            </w:pPr>
          </w:p>
        </w:tc>
      </w:tr>
      <w:tr>
        <w:trPr>
          <w:trHeight w:val="97"/>
        </w:trPr>
        <w:tc>
          <w:tcPr>
            <w:tcW w:w="3960" w:type="dxa"/>
            <w:vAlign w:val="bottom"/>
            <w:shd w:val="clear" w:color="auto" w:fill="1D2758"/>
          </w:tcPr>
          <w:p>
            <w:pPr>
              <w:spacing w:after="0"/>
              <w:rPr>
                <w:sz w:val="8"/>
                <w:szCs w:val="8"/>
                <w:color w:val="auto"/>
              </w:rPr>
            </w:pPr>
          </w:p>
        </w:tc>
        <w:tc>
          <w:tcPr>
            <w:tcW w:w="1480" w:type="dxa"/>
            <w:vAlign w:val="bottom"/>
            <w:vMerge w:val="continue"/>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2100" w:type="dxa"/>
            <w:vAlign w:val="bottom"/>
            <w:vMerge w:val="continue"/>
            <w:shd w:val="clear" w:color="auto" w:fill="1D2758"/>
          </w:tcPr>
          <w:p>
            <w:pPr>
              <w:spacing w:after="0"/>
              <w:rPr>
                <w:sz w:val="8"/>
                <w:szCs w:val="8"/>
                <w:color w:val="auto"/>
              </w:rPr>
            </w:pPr>
          </w:p>
        </w:tc>
        <w:tc>
          <w:tcPr>
            <w:tcW w:w="2220" w:type="dxa"/>
            <w:vAlign w:val="bottom"/>
            <w:gridSpan w:val="2"/>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July 1, 2025 to July 31, 2025</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195.5</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29.18</w:t>
            </w: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195.5</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744.2</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Arial" w:cs="Arial" w:eastAsia="Arial" w:hAnsi="Arial"/>
                <w:sz w:val="15"/>
                <w:szCs w:val="15"/>
                <w:color w:val="auto"/>
              </w:rPr>
              <w:t>August 1, 2025 to August 31, 2025</w:t>
            </w:r>
          </w:p>
        </w:tc>
        <w:tc>
          <w:tcPr>
            <w:tcW w:w="1480" w:type="dxa"/>
            <w:vAlign w:val="bottom"/>
          </w:tcPr>
          <w:p>
            <w:pPr>
              <w:jc w:val="right"/>
              <w:spacing w:after="0"/>
              <w:rPr>
                <w:sz w:val="20"/>
                <w:szCs w:val="20"/>
                <w:color w:val="auto"/>
              </w:rPr>
            </w:pPr>
            <w:r>
              <w:rPr>
                <w:rFonts w:ascii="Arial" w:cs="Arial" w:eastAsia="Arial" w:hAnsi="Arial"/>
                <w:sz w:val="15"/>
                <w:szCs w:val="15"/>
                <w:color w:val="auto"/>
              </w:rPr>
              <w:t>101.3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3"/>
              <w:spacing w:after="0"/>
              <w:rPr>
                <w:sz w:val="20"/>
                <w:szCs w:val="20"/>
                <w:color w:val="auto"/>
              </w:rPr>
            </w:pPr>
            <w:r>
              <w:rPr>
                <w:rFonts w:ascii="Arial" w:cs="Arial" w:eastAsia="Arial" w:hAnsi="Arial"/>
                <w:sz w:val="15"/>
                <w:szCs w:val="15"/>
                <w:color w:val="auto"/>
              </w:rPr>
              <w:t>25.31</w:t>
            </w:r>
          </w:p>
        </w:tc>
        <w:tc>
          <w:tcPr>
            <w:tcW w:w="2100" w:type="dxa"/>
            <w:vAlign w:val="bottom"/>
          </w:tcPr>
          <w:p>
            <w:pPr>
              <w:jc w:val="right"/>
              <w:spacing w:after="0"/>
              <w:rPr>
                <w:sz w:val="20"/>
                <w:szCs w:val="20"/>
                <w:color w:val="auto"/>
              </w:rPr>
            </w:pPr>
            <w:r>
              <w:rPr>
                <w:rFonts w:ascii="Arial" w:cs="Arial" w:eastAsia="Arial" w:hAnsi="Arial"/>
                <w:sz w:val="15"/>
                <w:szCs w:val="15"/>
                <w:color w:val="auto"/>
              </w:rPr>
              <w:t>101.3</w:t>
            </w:r>
          </w:p>
        </w:tc>
        <w:tc>
          <w:tcPr>
            <w:tcW w:w="220" w:type="dxa"/>
            <w:vAlign w:val="bottom"/>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tcPr>
          <w:p>
            <w:pPr>
              <w:jc w:val="right"/>
              <w:spacing w:after="0"/>
              <w:rPr>
                <w:sz w:val="20"/>
                <w:szCs w:val="20"/>
                <w:color w:val="auto"/>
              </w:rPr>
            </w:pPr>
            <w:r>
              <w:rPr>
                <w:rFonts w:ascii="Arial" w:cs="Arial" w:eastAsia="Arial" w:hAnsi="Arial"/>
                <w:sz w:val="15"/>
                <w:szCs w:val="15"/>
                <w:color w:val="auto"/>
              </w:rPr>
              <w:t>741.7</w:t>
            </w:r>
          </w:p>
        </w:tc>
        <w:tc>
          <w:tcPr>
            <w:tcW w:w="0" w:type="dxa"/>
            <w:vAlign w:val="bottom"/>
          </w:tcPr>
          <w:p>
            <w:pPr>
              <w:spacing w:after="0"/>
              <w:rPr>
                <w:sz w:val="1"/>
                <w:szCs w:val="1"/>
                <w:color w:val="auto"/>
              </w:rPr>
            </w:pPr>
          </w:p>
        </w:tc>
      </w:tr>
      <w:tr>
        <w:trPr>
          <w:trHeight w:val="232"/>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September 1, 2025 to September 30, 2025</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741.7</w:t>
            </w:r>
          </w:p>
        </w:tc>
        <w:tc>
          <w:tcPr>
            <w:tcW w:w="0" w:type="dxa"/>
            <w:vAlign w:val="bottom"/>
          </w:tcPr>
          <w:p>
            <w:pPr>
              <w:spacing w:after="0"/>
              <w:rPr>
                <w:sz w:val="1"/>
                <w:szCs w:val="1"/>
                <w:color w:val="auto"/>
              </w:rPr>
            </w:pPr>
          </w:p>
        </w:tc>
      </w:tr>
      <w:tr>
        <w:trPr>
          <w:trHeight w:val="232"/>
        </w:trPr>
        <w:tc>
          <w:tcPr>
            <w:tcW w:w="3960" w:type="dxa"/>
            <w:vAlign w:val="bottom"/>
          </w:tcPr>
          <w:p>
            <w:pPr>
              <w:ind w:left="220"/>
              <w:spacing w:after="0"/>
              <w:rPr>
                <w:sz w:val="20"/>
                <w:szCs w:val="20"/>
                <w:color w:val="auto"/>
              </w:rPr>
            </w:pPr>
            <w:r>
              <w:rPr>
                <w:rFonts w:ascii="Arial" w:cs="Arial" w:eastAsia="Arial" w:hAnsi="Arial"/>
                <w:sz w:val="15"/>
                <w:szCs w:val="15"/>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296.8</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296.8</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 share repurchase program authorizes the Company to repurchase its outstanding shares of Common Stock. In September 2024, the Board of Directors approved a reset of the share repurchase program authorizing the Company to repurchase up to $1.0 billion of its outstanding shares of Common Stock. As of September 30, 2025, $741.7 million of the $1.0 billion share repurchase authorization remained available for use.</w:t>
      </w:r>
    </w:p>
    <w:p>
      <w:pPr>
        <w:spacing w:after="0" w:line="162" w:lineRule="exact"/>
        <w:rPr>
          <w:sz w:val="20"/>
          <w:szCs w:val="20"/>
          <w:color w:val="auto"/>
        </w:rPr>
      </w:pPr>
    </w:p>
    <w:p>
      <w:pPr>
        <w:spacing w:after="0"/>
        <w:tabs>
          <w:tab w:leader="none" w:pos="1420" w:val="left"/>
        </w:tabs>
        <w:rPr>
          <w:sz w:val="20"/>
          <w:szCs w:val="20"/>
          <w:color w:val="auto"/>
        </w:rPr>
      </w:pPr>
      <w:r>
        <w:rPr>
          <w:rFonts w:ascii="Arial" w:cs="Arial" w:eastAsia="Arial" w:hAnsi="Arial"/>
          <w:sz w:val="31"/>
          <w:szCs w:val="31"/>
          <w:b w:val="1"/>
          <w:bCs w:val="1"/>
          <w:color w:val="auto"/>
        </w:rPr>
        <w:t>ITEM 3.</w:t>
      </w:r>
      <w:r>
        <w:rPr>
          <w:sz w:val="20"/>
          <w:szCs w:val="20"/>
          <w:color w:val="auto"/>
        </w:rPr>
        <w:tab/>
      </w:r>
      <w:r>
        <w:rPr>
          <w:rFonts w:ascii="Arial" w:cs="Arial" w:eastAsia="Arial" w:hAnsi="Arial"/>
          <w:sz w:val="30"/>
          <w:szCs w:val="30"/>
          <w:b w:val="1"/>
          <w:bCs w:val="1"/>
          <w:color w:val="auto"/>
        </w:rPr>
        <w:t>Defaults Upon Senior Securities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24" w:lineRule="exact"/>
        <w:rPr>
          <w:sz w:val="20"/>
          <w:szCs w:val="20"/>
          <w:color w:val="auto"/>
        </w:rPr>
      </w:pPr>
    </w:p>
    <w:p>
      <w:pPr>
        <w:spacing w:after="0"/>
        <w:tabs>
          <w:tab w:leader="none" w:pos="1420" w:val="left"/>
        </w:tabs>
        <w:rPr>
          <w:sz w:val="20"/>
          <w:szCs w:val="20"/>
          <w:color w:val="auto"/>
        </w:rPr>
      </w:pPr>
      <w:r>
        <w:rPr>
          <w:rFonts w:ascii="Arial" w:cs="Arial" w:eastAsia="Arial" w:hAnsi="Arial"/>
          <w:sz w:val="31"/>
          <w:szCs w:val="31"/>
          <w:b w:val="1"/>
          <w:bCs w:val="1"/>
          <w:color w:val="auto"/>
        </w:rPr>
        <w:t>ITEM 4.</w:t>
      </w:r>
      <w:r>
        <w:rPr>
          <w:sz w:val="20"/>
          <w:szCs w:val="20"/>
          <w:color w:val="auto"/>
        </w:rPr>
        <w:tab/>
      </w:r>
      <w:r>
        <w:rPr>
          <w:rFonts w:ascii="Arial" w:cs="Arial" w:eastAsia="Arial" w:hAnsi="Arial"/>
          <w:sz w:val="30"/>
          <w:szCs w:val="30"/>
          <w:b w:val="1"/>
          <w:bCs w:val="1"/>
          <w:color w:val="auto"/>
        </w:rPr>
        <w:t>Mine Safety Disclosures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24" w:lineRule="exact"/>
        <w:rPr>
          <w:sz w:val="20"/>
          <w:szCs w:val="20"/>
          <w:color w:val="auto"/>
        </w:rPr>
      </w:pPr>
    </w:p>
    <w:p>
      <w:pPr>
        <w:spacing w:after="0"/>
        <w:tabs>
          <w:tab w:leader="none" w:pos="1420" w:val="left"/>
        </w:tabs>
        <w:rPr>
          <w:sz w:val="20"/>
          <w:szCs w:val="20"/>
          <w:color w:val="auto"/>
        </w:rPr>
      </w:pPr>
      <w:r>
        <w:rPr>
          <w:rFonts w:ascii="Arial" w:cs="Arial" w:eastAsia="Arial" w:hAnsi="Arial"/>
          <w:sz w:val="31"/>
          <w:szCs w:val="31"/>
          <w:b w:val="1"/>
          <w:bCs w:val="1"/>
          <w:color w:val="auto"/>
        </w:rPr>
        <w:t>ITEM 5.</w:t>
      </w:r>
      <w:r>
        <w:rPr>
          <w:sz w:val="20"/>
          <w:szCs w:val="20"/>
          <w:color w:val="auto"/>
        </w:rPr>
        <w:tab/>
      </w:r>
      <w:r>
        <w:rPr>
          <w:rFonts w:ascii="Arial" w:cs="Arial" w:eastAsia="Arial" w:hAnsi="Arial"/>
          <w:sz w:val="30"/>
          <w:szCs w:val="30"/>
          <w:b w:val="1"/>
          <w:bCs w:val="1"/>
          <w:color w:val="auto"/>
        </w:rPr>
        <w:t>Other Information</w:t>
      </w:r>
    </w:p>
    <w:p>
      <w:pPr>
        <w:spacing w:after="0" w:line="13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During the three months ended September 30, 2025,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428"/>
        </w:trPr>
        <w:tc>
          <w:tcPr>
            <w:tcW w:w="1180" w:type="dxa"/>
            <w:vAlign w:val="bottom"/>
          </w:tcPr>
          <w:p>
            <w:pPr>
              <w:spacing w:after="0"/>
              <w:rPr>
                <w:sz w:val="20"/>
                <w:szCs w:val="20"/>
                <w:color w:val="auto"/>
              </w:rPr>
            </w:pPr>
            <w:r>
              <w:rPr>
                <w:rFonts w:ascii="Arial" w:cs="Arial" w:eastAsia="Arial" w:hAnsi="Arial"/>
                <w:sz w:val="31"/>
                <w:szCs w:val="31"/>
                <w:b w:val="1"/>
                <w:bCs w:val="1"/>
                <w:color w:val="auto"/>
              </w:rPr>
              <w:t>ITEM 6.</w:t>
            </w:r>
          </w:p>
        </w:tc>
        <w:tc>
          <w:tcPr>
            <w:tcW w:w="10060" w:type="dxa"/>
            <w:vAlign w:val="bottom"/>
          </w:tcPr>
          <w:p>
            <w:pPr>
              <w:ind w:left="340"/>
              <w:spacing w:after="0"/>
              <w:rPr>
                <w:sz w:val="20"/>
                <w:szCs w:val="20"/>
                <w:color w:val="auto"/>
              </w:rPr>
            </w:pPr>
            <w:r>
              <w:rPr>
                <w:rFonts w:ascii="Arial" w:cs="Arial" w:eastAsia="Arial" w:hAnsi="Arial"/>
                <w:sz w:val="31"/>
                <w:szCs w:val="31"/>
                <w:b w:val="1"/>
                <w:bCs w:val="1"/>
                <w:color w:val="auto"/>
              </w:rPr>
              <w:t>Exhibits</w:t>
            </w:r>
          </w:p>
        </w:tc>
      </w:tr>
      <w:tr>
        <w:trPr>
          <w:trHeight w:val="232"/>
        </w:trPr>
        <w:tc>
          <w:tcPr>
            <w:tcW w:w="11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Exhibit No.</w:t>
            </w:r>
          </w:p>
        </w:tc>
        <w:tc>
          <w:tcPr>
            <w:tcW w:w="10060" w:type="dxa"/>
            <w:vAlign w:val="bottom"/>
            <w:shd w:val="clear" w:color="auto" w:fill="1D2758"/>
          </w:tcPr>
          <w:p>
            <w:pPr>
              <w:ind w:left="4360"/>
              <w:spacing w:after="0"/>
              <w:rPr>
                <w:sz w:val="20"/>
                <w:szCs w:val="20"/>
                <w:color w:val="auto"/>
              </w:rPr>
            </w:pPr>
            <w:r>
              <w:rPr>
                <w:rFonts w:ascii="Arial" w:cs="Arial" w:eastAsia="Arial" w:hAnsi="Arial"/>
                <w:sz w:val="15"/>
                <w:szCs w:val="15"/>
                <w:b w:val="1"/>
                <w:bCs w:val="1"/>
                <w:color w:val="FFFFFF"/>
              </w:rPr>
              <w:t>Exhibit Description</w:t>
            </w:r>
          </w:p>
        </w:tc>
      </w:tr>
      <w:tr>
        <w:trPr>
          <w:trHeight w:val="194"/>
        </w:trPr>
        <w:tc>
          <w:tcPr>
            <w:tcW w:w="1180" w:type="dxa"/>
            <w:vAlign w:val="bottom"/>
            <w:shd w:val="clear" w:color="auto" w:fill="DBDBDB"/>
          </w:tcPr>
          <w:p>
            <w:pPr>
              <w:spacing w:after="0"/>
              <w:rPr>
                <w:sz w:val="16"/>
                <w:szCs w:val="16"/>
                <w:color w:val="auto"/>
              </w:rPr>
            </w:pPr>
          </w:p>
        </w:tc>
        <w:tc>
          <w:tcPr>
            <w:tcW w:w="10060" w:type="dxa"/>
            <w:vAlign w:val="bottom"/>
            <w:shd w:val="clear" w:color="auto" w:fill="DBDBDB"/>
          </w:tcPr>
          <w:p>
            <w:pPr>
              <w:ind w:left="100"/>
              <w:spacing w:after="0"/>
              <w:rPr>
                <w:rFonts w:ascii="Arial" w:cs="Arial" w:eastAsia="Arial" w:hAnsi="Arial"/>
                <w:sz w:val="15"/>
                <w:szCs w:val="15"/>
                <w:color w:val="auto"/>
              </w:rPr>
            </w:pPr>
            <w:hyperlink r:id="rId62">
              <w:r>
                <w:rPr>
                  <w:rFonts w:ascii="Arial" w:cs="Arial" w:eastAsia="Arial" w:hAnsi="Arial"/>
                  <w:sz w:val="15"/>
                  <w:szCs w:val="15"/>
                  <w:color w:val="auto"/>
                </w:rPr>
                <w:t>Amended and Restated Employment Agreement, dated as of September 3, 2025, by and between WillScot Holdings Corporation and Timothy D.</w:t>
              </w:r>
            </w:hyperlink>
          </w:p>
        </w:tc>
      </w:tr>
      <w:tr>
        <w:trPr>
          <w:trHeight w:val="231"/>
        </w:trPr>
        <w:tc>
          <w:tcPr>
            <w:tcW w:w="1180" w:type="dxa"/>
            <w:vAlign w:val="bottom"/>
            <w:shd w:val="clear" w:color="auto" w:fill="DBDBDB"/>
          </w:tcPr>
          <w:p>
            <w:pPr>
              <w:jc w:val="center"/>
              <w:spacing w:after="0"/>
              <w:rPr>
                <w:rFonts w:ascii="Arial" w:cs="Arial" w:eastAsia="Arial" w:hAnsi="Arial"/>
                <w:sz w:val="15"/>
                <w:szCs w:val="15"/>
                <w:color w:val="auto"/>
              </w:rPr>
            </w:pPr>
            <w:hyperlink r:id="rId62">
              <w:r>
                <w:rPr>
                  <w:rFonts w:ascii="Arial" w:cs="Arial" w:eastAsia="Arial" w:hAnsi="Arial"/>
                  <w:sz w:val="15"/>
                  <w:szCs w:val="15"/>
                  <w:color w:val="auto"/>
                </w:rPr>
                <w:t>10.1</w:t>
              </w:r>
            </w:hyperlink>
          </w:p>
        </w:tc>
        <w:tc>
          <w:tcPr>
            <w:tcW w:w="10060" w:type="dxa"/>
            <w:vAlign w:val="bottom"/>
            <w:shd w:val="clear" w:color="auto" w:fill="DBDBDB"/>
          </w:tcPr>
          <w:p>
            <w:pPr>
              <w:ind w:left="100"/>
              <w:spacing w:after="0"/>
              <w:rPr>
                <w:rFonts w:ascii="Arial" w:cs="Arial" w:eastAsia="Arial" w:hAnsi="Arial"/>
                <w:sz w:val="15"/>
                <w:szCs w:val="15"/>
                <w:color w:val="auto"/>
              </w:rPr>
            </w:pPr>
            <w:hyperlink r:id="rId62">
              <w:r>
                <w:rPr>
                  <w:rFonts w:ascii="Arial" w:cs="Arial" w:eastAsia="Arial" w:hAnsi="Arial"/>
                  <w:sz w:val="15"/>
                  <w:szCs w:val="15"/>
                  <w:color w:val="auto"/>
                </w:rPr>
                <w:t>Boswell (incorporated by reference to Exhibit 10.1 of the Company's Current Report on Form 8-K, filed September 3, 2025).</w:t>
              </w:r>
            </w:hyperlink>
          </w:p>
        </w:tc>
      </w:tr>
      <w:tr>
        <w:trPr>
          <w:trHeight w:val="194"/>
        </w:trPr>
        <w:tc>
          <w:tcPr>
            <w:tcW w:w="1180" w:type="dxa"/>
            <w:vAlign w:val="bottom"/>
          </w:tcPr>
          <w:p>
            <w:pPr>
              <w:spacing w:after="0"/>
              <w:rPr>
                <w:sz w:val="16"/>
                <w:szCs w:val="16"/>
                <w:color w:val="auto"/>
              </w:rPr>
            </w:pPr>
          </w:p>
        </w:tc>
        <w:tc>
          <w:tcPr>
            <w:tcW w:w="10060" w:type="dxa"/>
            <w:vAlign w:val="bottom"/>
          </w:tcPr>
          <w:p>
            <w:pPr>
              <w:ind w:left="100"/>
              <w:spacing w:after="0"/>
              <w:rPr>
                <w:rFonts w:ascii="Arial" w:cs="Arial" w:eastAsia="Arial" w:hAnsi="Arial"/>
                <w:sz w:val="15"/>
                <w:szCs w:val="15"/>
                <w:color w:val="auto"/>
              </w:rPr>
            </w:pPr>
            <w:hyperlink r:id="rId63">
              <w:r>
                <w:rPr>
                  <w:rFonts w:ascii="Arial" w:cs="Arial" w:eastAsia="Arial" w:hAnsi="Arial"/>
                  <w:sz w:val="15"/>
                  <w:szCs w:val="15"/>
                  <w:color w:val="auto"/>
                </w:rPr>
                <w:t>Separation Agreement, dated as of September 3, 2025, by and between WillScot Holdings Corporation and Bradley L. Soultz (incorporated by</w:t>
              </w:r>
            </w:hyperlink>
          </w:p>
        </w:tc>
      </w:tr>
      <w:tr>
        <w:trPr>
          <w:trHeight w:val="224"/>
        </w:trPr>
        <w:tc>
          <w:tcPr>
            <w:tcW w:w="1180" w:type="dxa"/>
            <w:vAlign w:val="bottom"/>
          </w:tcPr>
          <w:p>
            <w:pPr>
              <w:jc w:val="center"/>
              <w:spacing w:after="0"/>
              <w:rPr>
                <w:rFonts w:ascii="Arial" w:cs="Arial" w:eastAsia="Arial" w:hAnsi="Arial"/>
                <w:sz w:val="15"/>
                <w:szCs w:val="15"/>
                <w:color w:val="auto"/>
              </w:rPr>
            </w:pPr>
            <w:hyperlink r:id="rId63">
              <w:r>
                <w:rPr>
                  <w:rFonts w:ascii="Arial" w:cs="Arial" w:eastAsia="Arial" w:hAnsi="Arial"/>
                  <w:sz w:val="15"/>
                  <w:szCs w:val="15"/>
                  <w:color w:val="auto"/>
                </w:rPr>
                <w:t>10.2</w:t>
              </w:r>
            </w:hyperlink>
          </w:p>
        </w:tc>
        <w:tc>
          <w:tcPr>
            <w:tcW w:w="10060" w:type="dxa"/>
            <w:vAlign w:val="bottom"/>
          </w:tcPr>
          <w:p>
            <w:pPr>
              <w:ind w:left="100"/>
              <w:spacing w:after="0"/>
              <w:rPr>
                <w:rFonts w:ascii="Arial" w:cs="Arial" w:eastAsia="Arial" w:hAnsi="Arial"/>
                <w:sz w:val="15"/>
                <w:szCs w:val="15"/>
                <w:color w:val="auto"/>
              </w:rPr>
            </w:pPr>
            <w:hyperlink r:id="rId63">
              <w:r>
                <w:rPr>
                  <w:rFonts w:ascii="Arial" w:cs="Arial" w:eastAsia="Arial" w:hAnsi="Arial"/>
                  <w:sz w:val="15"/>
                  <w:szCs w:val="15"/>
                  <w:color w:val="auto"/>
                </w:rPr>
                <w:t>reference to Exhibit 10.2 of the Company's Current Report on Form 8-K, filed September 3, 2025).</w:t>
              </w:r>
            </w:hyperlink>
          </w:p>
        </w:tc>
      </w:tr>
      <w:tr>
        <w:trPr>
          <w:trHeight w:val="201"/>
        </w:trPr>
        <w:tc>
          <w:tcPr>
            <w:tcW w:w="1180" w:type="dxa"/>
            <w:vAlign w:val="bottom"/>
            <w:shd w:val="clear" w:color="auto" w:fill="DBDBDB"/>
          </w:tcPr>
          <w:p>
            <w:pPr>
              <w:spacing w:after="0"/>
              <w:rPr>
                <w:sz w:val="17"/>
                <w:szCs w:val="17"/>
                <w:color w:val="auto"/>
              </w:rPr>
            </w:pPr>
          </w:p>
        </w:tc>
        <w:tc>
          <w:tcPr>
            <w:tcW w:w="10060" w:type="dxa"/>
            <w:vAlign w:val="bottom"/>
            <w:shd w:val="clear" w:color="auto" w:fill="DBDBDB"/>
          </w:tcPr>
          <w:p>
            <w:pPr>
              <w:ind w:left="100"/>
              <w:spacing w:after="0"/>
              <w:rPr>
                <w:rFonts w:ascii="Arial" w:cs="Arial" w:eastAsia="Arial" w:hAnsi="Arial"/>
                <w:sz w:val="15"/>
                <w:szCs w:val="15"/>
                <w:color w:val="auto"/>
              </w:rPr>
            </w:pPr>
            <w:hyperlink r:id="rId64">
              <w:r>
                <w:rPr>
                  <w:rFonts w:ascii="Arial" w:cs="Arial" w:eastAsia="Arial" w:hAnsi="Arial"/>
                  <w:sz w:val="15"/>
                  <w:szCs w:val="15"/>
                  <w:color w:val="auto"/>
                </w:rPr>
                <w:t>Form of Nonqualified Stock Option Award Agreement (incorporated by reference to Exhibit 10.3 of the Company's Current Report on Form 8-K,</w:t>
              </w:r>
            </w:hyperlink>
          </w:p>
        </w:tc>
      </w:tr>
      <w:tr>
        <w:trPr>
          <w:trHeight w:val="231"/>
        </w:trPr>
        <w:tc>
          <w:tcPr>
            <w:tcW w:w="1180" w:type="dxa"/>
            <w:vAlign w:val="bottom"/>
            <w:shd w:val="clear" w:color="auto" w:fill="DBDBDB"/>
          </w:tcPr>
          <w:p>
            <w:pPr>
              <w:jc w:val="center"/>
              <w:spacing w:after="0"/>
              <w:rPr>
                <w:rFonts w:ascii="Arial" w:cs="Arial" w:eastAsia="Arial" w:hAnsi="Arial"/>
                <w:sz w:val="15"/>
                <w:szCs w:val="15"/>
                <w:color w:val="auto"/>
              </w:rPr>
            </w:pPr>
            <w:hyperlink r:id="rId64">
              <w:r>
                <w:rPr>
                  <w:rFonts w:ascii="Arial" w:cs="Arial" w:eastAsia="Arial" w:hAnsi="Arial"/>
                  <w:sz w:val="15"/>
                  <w:szCs w:val="15"/>
                  <w:color w:val="auto"/>
                </w:rPr>
                <w:t>10.3</w:t>
              </w:r>
            </w:hyperlink>
          </w:p>
        </w:tc>
        <w:tc>
          <w:tcPr>
            <w:tcW w:w="10060" w:type="dxa"/>
            <w:vAlign w:val="bottom"/>
            <w:shd w:val="clear" w:color="auto" w:fill="DBDBDB"/>
          </w:tcPr>
          <w:p>
            <w:pPr>
              <w:ind w:left="100"/>
              <w:spacing w:after="0"/>
              <w:rPr>
                <w:rFonts w:ascii="Arial" w:cs="Arial" w:eastAsia="Arial" w:hAnsi="Arial"/>
                <w:sz w:val="15"/>
                <w:szCs w:val="15"/>
                <w:color w:val="auto"/>
              </w:rPr>
            </w:pPr>
            <w:hyperlink r:id="rId64">
              <w:r>
                <w:rPr>
                  <w:rFonts w:ascii="Arial" w:cs="Arial" w:eastAsia="Arial" w:hAnsi="Arial"/>
                  <w:sz w:val="15"/>
                  <w:szCs w:val="15"/>
                  <w:color w:val="auto"/>
                </w:rPr>
                <w:t>filed September 3, 2025).</w:t>
              </w:r>
            </w:hyperlink>
          </w:p>
        </w:tc>
      </w:tr>
      <w:tr>
        <w:trPr>
          <w:trHeight w:val="194"/>
        </w:trPr>
        <w:tc>
          <w:tcPr>
            <w:tcW w:w="1180" w:type="dxa"/>
            <w:vAlign w:val="bottom"/>
          </w:tcPr>
          <w:p>
            <w:pPr>
              <w:spacing w:after="0"/>
              <w:rPr>
                <w:sz w:val="16"/>
                <w:szCs w:val="16"/>
                <w:color w:val="auto"/>
              </w:rPr>
            </w:pPr>
          </w:p>
        </w:tc>
        <w:tc>
          <w:tcPr>
            <w:tcW w:w="10060" w:type="dxa"/>
            <w:vAlign w:val="bottom"/>
          </w:tcPr>
          <w:p>
            <w:pPr>
              <w:ind w:left="100"/>
              <w:spacing w:after="0"/>
              <w:rPr>
                <w:rFonts w:ascii="Arial" w:cs="Arial" w:eastAsia="Arial" w:hAnsi="Arial"/>
                <w:sz w:val="15"/>
                <w:szCs w:val="15"/>
                <w:color w:val="auto"/>
              </w:rPr>
            </w:pPr>
            <w:hyperlink r:id="rId65">
              <w:r>
                <w:rPr>
                  <w:rFonts w:ascii="Arial" w:cs="Arial" w:eastAsia="Arial" w:hAnsi="Arial"/>
                  <w:sz w:val="15"/>
                  <w:szCs w:val="15"/>
                  <w:color w:val="auto"/>
                </w:rPr>
                <w:t>Offer Letter, dated as of September 3, 2025, by and between WillScot Holdings Corporation and Worthing Jackman (incorporated by reference to</w:t>
              </w:r>
            </w:hyperlink>
          </w:p>
        </w:tc>
      </w:tr>
      <w:tr>
        <w:trPr>
          <w:trHeight w:val="224"/>
        </w:trPr>
        <w:tc>
          <w:tcPr>
            <w:tcW w:w="1180" w:type="dxa"/>
            <w:vAlign w:val="bottom"/>
          </w:tcPr>
          <w:p>
            <w:pPr>
              <w:jc w:val="center"/>
              <w:spacing w:after="0"/>
              <w:rPr>
                <w:rFonts w:ascii="Arial" w:cs="Arial" w:eastAsia="Arial" w:hAnsi="Arial"/>
                <w:sz w:val="15"/>
                <w:szCs w:val="15"/>
                <w:color w:val="auto"/>
              </w:rPr>
            </w:pPr>
            <w:hyperlink r:id="rId65">
              <w:r>
                <w:rPr>
                  <w:rFonts w:ascii="Arial" w:cs="Arial" w:eastAsia="Arial" w:hAnsi="Arial"/>
                  <w:sz w:val="15"/>
                  <w:szCs w:val="15"/>
                  <w:color w:val="auto"/>
                </w:rPr>
                <w:t>10.4</w:t>
              </w:r>
            </w:hyperlink>
          </w:p>
        </w:tc>
        <w:tc>
          <w:tcPr>
            <w:tcW w:w="10060" w:type="dxa"/>
            <w:vAlign w:val="bottom"/>
          </w:tcPr>
          <w:p>
            <w:pPr>
              <w:ind w:left="100"/>
              <w:spacing w:after="0"/>
              <w:rPr>
                <w:rFonts w:ascii="Arial" w:cs="Arial" w:eastAsia="Arial" w:hAnsi="Arial"/>
                <w:sz w:val="15"/>
                <w:szCs w:val="15"/>
                <w:color w:val="auto"/>
              </w:rPr>
            </w:pPr>
            <w:hyperlink r:id="rId65">
              <w:r>
                <w:rPr>
                  <w:rFonts w:ascii="Arial" w:cs="Arial" w:eastAsia="Arial" w:hAnsi="Arial"/>
                  <w:sz w:val="15"/>
                  <w:szCs w:val="15"/>
                  <w:color w:val="auto"/>
                </w:rPr>
                <w:t>Exhibit 10.4 of the Company's Current Report on Form 8-K, filed September 3, 2025).</w:t>
              </w:r>
            </w:hyperlink>
          </w:p>
        </w:tc>
      </w:tr>
      <w:tr>
        <w:trPr>
          <w:trHeight w:val="201"/>
        </w:trPr>
        <w:tc>
          <w:tcPr>
            <w:tcW w:w="1180" w:type="dxa"/>
            <w:vAlign w:val="bottom"/>
            <w:shd w:val="clear" w:color="auto" w:fill="DBDBDB"/>
          </w:tcPr>
          <w:p>
            <w:pPr>
              <w:spacing w:after="0"/>
              <w:rPr>
                <w:sz w:val="17"/>
                <w:szCs w:val="17"/>
                <w:color w:val="auto"/>
              </w:rPr>
            </w:pPr>
          </w:p>
        </w:tc>
        <w:tc>
          <w:tcPr>
            <w:tcW w:w="10060" w:type="dxa"/>
            <w:vAlign w:val="bottom"/>
            <w:shd w:val="clear" w:color="auto" w:fill="DBDBDB"/>
          </w:tcPr>
          <w:p>
            <w:pPr>
              <w:ind w:left="100"/>
              <w:spacing w:after="0"/>
              <w:rPr>
                <w:rFonts w:ascii="Arial" w:cs="Arial" w:eastAsia="Arial" w:hAnsi="Arial"/>
                <w:sz w:val="15"/>
                <w:szCs w:val="15"/>
                <w:color w:val="auto"/>
              </w:rPr>
            </w:pPr>
            <w:hyperlink r:id="rId66">
              <w:r>
                <w:rPr>
                  <w:rFonts w:ascii="Arial" w:cs="Arial" w:eastAsia="Arial" w:hAnsi="Arial"/>
                  <w:sz w:val="15"/>
                  <w:szCs w:val="15"/>
                  <w:color w:val="auto"/>
                </w:rPr>
                <w:t>Seventh Amendment to the ABL Credit Agreement, dated as of October 16, 2025, by and among Williams Scotsman, Inc., Williams Scotsman</w:t>
              </w:r>
            </w:hyperlink>
          </w:p>
        </w:tc>
      </w:tr>
      <w:tr>
        <w:trPr>
          <w:trHeight w:val="193"/>
        </w:trPr>
        <w:tc>
          <w:tcPr>
            <w:tcW w:w="1180" w:type="dxa"/>
            <w:vAlign w:val="bottom"/>
            <w:shd w:val="clear" w:color="auto" w:fill="DBDBDB"/>
          </w:tcPr>
          <w:p>
            <w:pPr>
              <w:spacing w:after="0"/>
              <w:rPr>
                <w:sz w:val="16"/>
                <w:szCs w:val="16"/>
                <w:color w:val="auto"/>
              </w:rPr>
            </w:pPr>
          </w:p>
        </w:tc>
        <w:tc>
          <w:tcPr>
            <w:tcW w:w="10060" w:type="dxa"/>
            <w:vAlign w:val="bottom"/>
            <w:shd w:val="clear" w:color="auto" w:fill="DBDBDB"/>
          </w:tcPr>
          <w:p>
            <w:pPr>
              <w:ind w:left="100"/>
              <w:spacing w:after="0"/>
              <w:rPr>
                <w:rFonts w:ascii="Arial" w:cs="Arial" w:eastAsia="Arial" w:hAnsi="Arial"/>
                <w:sz w:val="15"/>
                <w:szCs w:val="15"/>
                <w:color w:val="auto"/>
              </w:rPr>
            </w:pPr>
            <w:hyperlink r:id="rId66">
              <w:r>
                <w:rPr>
                  <w:rFonts w:ascii="Arial" w:cs="Arial" w:eastAsia="Arial" w:hAnsi="Arial"/>
                  <w:sz w:val="15"/>
                  <w:szCs w:val="15"/>
                  <w:color w:val="auto"/>
                </w:rPr>
                <w:t>Holdings Corp., the other Loan Parties party thereto, the Lenders party thereto and Bank of America, N.A., as administrative agent and collateral</w:t>
              </w:r>
            </w:hyperlink>
          </w:p>
        </w:tc>
      </w:tr>
      <w:tr>
        <w:trPr>
          <w:trHeight w:val="218"/>
        </w:trPr>
        <w:tc>
          <w:tcPr>
            <w:tcW w:w="1180" w:type="dxa"/>
            <w:vAlign w:val="bottom"/>
            <w:shd w:val="clear" w:color="auto" w:fill="DBDBDB"/>
          </w:tcPr>
          <w:p>
            <w:pPr>
              <w:jc w:val="center"/>
              <w:spacing w:after="0"/>
              <w:rPr>
                <w:rFonts w:ascii="Arial" w:cs="Arial" w:eastAsia="Arial" w:hAnsi="Arial"/>
                <w:sz w:val="15"/>
                <w:szCs w:val="15"/>
                <w:color w:val="auto"/>
              </w:rPr>
            </w:pPr>
            <w:hyperlink r:id="rId66">
              <w:r>
                <w:rPr>
                  <w:rFonts w:ascii="Arial" w:cs="Arial" w:eastAsia="Arial" w:hAnsi="Arial"/>
                  <w:sz w:val="15"/>
                  <w:szCs w:val="15"/>
                  <w:color w:val="auto"/>
                </w:rPr>
                <w:t>10.5</w:t>
              </w:r>
            </w:hyperlink>
          </w:p>
        </w:tc>
        <w:tc>
          <w:tcPr>
            <w:tcW w:w="10060" w:type="dxa"/>
            <w:vAlign w:val="bottom"/>
            <w:shd w:val="clear" w:color="auto" w:fill="DBDBDB"/>
          </w:tcPr>
          <w:p>
            <w:pPr>
              <w:ind w:left="100"/>
              <w:spacing w:after="0"/>
              <w:rPr>
                <w:rFonts w:ascii="Arial" w:cs="Arial" w:eastAsia="Arial" w:hAnsi="Arial"/>
                <w:sz w:val="15"/>
                <w:szCs w:val="15"/>
                <w:color w:val="auto"/>
              </w:rPr>
            </w:pPr>
            <w:hyperlink r:id="rId66">
              <w:r>
                <w:rPr>
                  <w:rFonts w:ascii="Arial" w:cs="Arial" w:eastAsia="Arial" w:hAnsi="Arial"/>
                  <w:sz w:val="15"/>
                  <w:szCs w:val="15"/>
                  <w:color w:val="auto"/>
                </w:rPr>
                <w:t>agent.</w:t>
              </w:r>
            </w:hyperlink>
          </w:p>
        </w:tc>
      </w:tr>
      <w:tr>
        <w:trPr>
          <w:trHeight w:val="225"/>
        </w:trPr>
        <w:tc>
          <w:tcPr>
            <w:tcW w:w="1180" w:type="dxa"/>
            <w:vAlign w:val="bottom"/>
          </w:tcPr>
          <w:p>
            <w:pPr>
              <w:jc w:val="center"/>
              <w:spacing w:after="0"/>
              <w:rPr>
                <w:sz w:val="20"/>
                <w:szCs w:val="20"/>
                <w:color w:val="auto"/>
              </w:rPr>
            </w:pPr>
            <w:r>
              <w:rPr>
                <w:rFonts w:ascii="Arial" w:cs="Arial" w:eastAsia="Arial" w:hAnsi="Arial"/>
                <w:sz w:val="15"/>
                <w:szCs w:val="15"/>
                <w:color w:val="auto"/>
              </w:rPr>
              <w:t>31.1*</w:t>
            </w:r>
          </w:p>
        </w:tc>
        <w:tc>
          <w:tcPr>
            <w:tcW w:w="10060" w:type="dxa"/>
            <w:vAlign w:val="bottom"/>
          </w:tcPr>
          <w:p>
            <w:pPr>
              <w:ind w:left="100"/>
              <w:spacing w:after="0"/>
              <w:rPr>
                <w:sz w:val="20"/>
                <w:szCs w:val="20"/>
                <w:color w:val="auto"/>
              </w:rPr>
            </w:pPr>
            <w:r>
              <w:rPr>
                <w:rFonts w:ascii="Arial" w:cs="Arial" w:eastAsia="Arial" w:hAnsi="Arial"/>
                <w:sz w:val="15"/>
                <w:szCs w:val="15"/>
                <w:color w:val="auto"/>
              </w:rPr>
              <w:t>Certification of Chief Executive Officer pursuant to Section 302 of the Sarbanes-Oxley Act of 2002</w:t>
            </w:r>
          </w:p>
        </w:tc>
      </w:tr>
      <w:tr>
        <w:trPr>
          <w:trHeight w:val="239"/>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31.2*</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Certification of Chief Financial Officer pursuant to Section 302 of the Sarbanes-Oxley Act of 2002</w:t>
            </w:r>
          </w:p>
        </w:tc>
      </w:tr>
      <w:tr>
        <w:trPr>
          <w:trHeight w:val="225"/>
        </w:trPr>
        <w:tc>
          <w:tcPr>
            <w:tcW w:w="1180" w:type="dxa"/>
            <w:vAlign w:val="bottom"/>
          </w:tcPr>
          <w:p>
            <w:pPr>
              <w:jc w:val="center"/>
              <w:spacing w:after="0"/>
              <w:rPr>
                <w:sz w:val="20"/>
                <w:szCs w:val="20"/>
                <w:color w:val="auto"/>
              </w:rPr>
            </w:pPr>
            <w:r>
              <w:rPr>
                <w:rFonts w:ascii="Arial" w:cs="Arial" w:eastAsia="Arial" w:hAnsi="Arial"/>
                <w:sz w:val="15"/>
                <w:szCs w:val="15"/>
                <w:color w:val="auto"/>
              </w:rPr>
              <w:t>32.1**</w:t>
            </w:r>
          </w:p>
        </w:tc>
        <w:tc>
          <w:tcPr>
            <w:tcW w:w="10060" w:type="dxa"/>
            <w:vAlign w:val="bottom"/>
          </w:tcPr>
          <w:p>
            <w:pPr>
              <w:ind w:left="100"/>
              <w:spacing w:after="0"/>
              <w:rPr>
                <w:sz w:val="20"/>
                <w:szCs w:val="20"/>
                <w:color w:val="auto"/>
              </w:rPr>
            </w:pPr>
            <w:r>
              <w:rPr>
                <w:rFonts w:ascii="Arial" w:cs="Arial" w:eastAsia="Arial" w:hAnsi="Arial"/>
                <w:sz w:val="15"/>
                <w:szCs w:val="15"/>
                <w:color w:val="auto"/>
              </w:rPr>
              <w:t>Certification of Chief Executive Officer pursuant to Section 906 of the Sarbanes-Oxley Act of 2002</w:t>
            </w:r>
          </w:p>
        </w:tc>
      </w:tr>
      <w:tr>
        <w:trPr>
          <w:trHeight w:val="239"/>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32.2**</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Certification of Chief Financial Officer pursuant to Section 906 of the Sarbanes-Oxley Act of 2002</w:t>
            </w:r>
          </w:p>
        </w:tc>
      </w:tr>
      <w:tr>
        <w:trPr>
          <w:trHeight w:val="194"/>
        </w:trPr>
        <w:tc>
          <w:tcPr>
            <w:tcW w:w="1180" w:type="dxa"/>
            <w:vAlign w:val="bottom"/>
          </w:tcPr>
          <w:p>
            <w:pPr>
              <w:spacing w:after="0"/>
              <w:rPr>
                <w:sz w:val="16"/>
                <w:szCs w:val="16"/>
                <w:color w:val="auto"/>
              </w:rPr>
            </w:pPr>
          </w:p>
        </w:tc>
        <w:tc>
          <w:tcPr>
            <w:tcW w:w="10060" w:type="dxa"/>
            <w:vAlign w:val="bottom"/>
          </w:tcPr>
          <w:p>
            <w:pPr>
              <w:ind w:left="100"/>
              <w:spacing w:after="0"/>
              <w:rPr>
                <w:sz w:val="20"/>
                <w:szCs w:val="20"/>
                <w:color w:val="auto"/>
              </w:rPr>
            </w:pPr>
            <w:r>
              <w:rPr>
                <w:rFonts w:ascii="Arial" w:cs="Arial" w:eastAsia="Arial" w:hAnsi="Arial"/>
                <w:sz w:val="15"/>
                <w:szCs w:val="15"/>
                <w:color w:val="auto"/>
              </w:rPr>
              <w:t>XBRL Instance Document - the instance document does not appear in the Interactive Data File because its XBRL tags are embedded within the</w:t>
            </w:r>
          </w:p>
        </w:tc>
      </w:tr>
      <w:tr>
        <w:trPr>
          <w:trHeight w:val="224"/>
        </w:trPr>
        <w:tc>
          <w:tcPr>
            <w:tcW w:w="1180" w:type="dxa"/>
            <w:vAlign w:val="bottom"/>
          </w:tcPr>
          <w:p>
            <w:pPr>
              <w:jc w:val="center"/>
              <w:spacing w:after="0"/>
              <w:rPr>
                <w:sz w:val="20"/>
                <w:szCs w:val="20"/>
                <w:color w:val="auto"/>
              </w:rPr>
            </w:pPr>
            <w:r>
              <w:rPr>
                <w:rFonts w:ascii="Arial" w:cs="Arial" w:eastAsia="Arial" w:hAnsi="Arial"/>
                <w:sz w:val="15"/>
                <w:szCs w:val="15"/>
                <w:color w:val="auto"/>
              </w:rPr>
              <w:t>101.INS</w:t>
            </w:r>
          </w:p>
        </w:tc>
        <w:tc>
          <w:tcPr>
            <w:tcW w:w="10060" w:type="dxa"/>
            <w:vAlign w:val="bottom"/>
          </w:tcPr>
          <w:p>
            <w:pPr>
              <w:ind w:left="100"/>
              <w:spacing w:after="0"/>
              <w:rPr>
                <w:sz w:val="20"/>
                <w:szCs w:val="20"/>
                <w:color w:val="auto"/>
              </w:rPr>
            </w:pPr>
            <w:r>
              <w:rPr>
                <w:rFonts w:ascii="Arial" w:cs="Arial" w:eastAsia="Arial" w:hAnsi="Arial"/>
                <w:sz w:val="15"/>
                <w:szCs w:val="15"/>
                <w:color w:val="auto"/>
              </w:rPr>
              <w:t>Inline XBRL document</w:t>
            </w:r>
          </w:p>
        </w:tc>
      </w:tr>
      <w:tr>
        <w:trPr>
          <w:trHeight w:val="239"/>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101.SCH</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XBRL Taxonomy Extension Schema Document</w:t>
            </w:r>
          </w:p>
        </w:tc>
      </w:tr>
      <w:tr>
        <w:trPr>
          <w:trHeight w:val="225"/>
        </w:trPr>
        <w:tc>
          <w:tcPr>
            <w:tcW w:w="1180" w:type="dxa"/>
            <w:vAlign w:val="bottom"/>
          </w:tcPr>
          <w:p>
            <w:pPr>
              <w:jc w:val="center"/>
              <w:spacing w:after="0"/>
              <w:rPr>
                <w:sz w:val="20"/>
                <w:szCs w:val="20"/>
                <w:color w:val="auto"/>
              </w:rPr>
            </w:pPr>
            <w:r>
              <w:rPr>
                <w:rFonts w:ascii="Arial" w:cs="Arial" w:eastAsia="Arial" w:hAnsi="Arial"/>
                <w:sz w:val="15"/>
                <w:szCs w:val="15"/>
                <w:color w:val="auto"/>
              </w:rPr>
              <w:t>101.CAL</w:t>
            </w:r>
          </w:p>
        </w:tc>
        <w:tc>
          <w:tcPr>
            <w:tcW w:w="10060" w:type="dxa"/>
            <w:vAlign w:val="bottom"/>
          </w:tcPr>
          <w:p>
            <w:pPr>
              <w:ind w:left="100"/>
              <w:spacing w:after="0"/>
              <w:rPr>
                <w:sz w:val="20"/>
                <w:szCs w:val="20"/>
                <w:color w:val="auto"/>
              </w:rPr>
            </w:pPr>
            <w:r>
              <w:rPr>
                <w:rFonts w:ascii="Arial" w:cs="Arial" w:eastAsia="Arial" w:hAnsi="Arial"/>
                <w:sz w:val="15"/>
                <w:szCs w:val="15"/>
                <w:color w:val="auto"/>
              </w:rPr>
              <w:t>XBRL Taxonomy Extension Calculation Linkbase Document</w:t>
            </w:r>
          </w:p>
        </w:tc>
      </w:tr>
      <w:tr>
        <w:trPr>
          <w:trHeight w:val="239"/>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101.DEF</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XBRL Taxonomy Extension Definition Linkbase Document</w:t>
            </w:r>
          </w:p>
        </w:tc>
      </w:tr>
      <w:tr>
        <w:trPr>
          <w:trHeight w:val="225"/>
        </w:trPr>
        <w:tc>
          <w:tcPr>
            <w:tcW w:w="1180" w:type="dxa"/>
            <w:vAlign w:val="bottom"/>
          </w:tcPr>
          <w:p>
            <w:pPr>
              <w:jc w:val="center"/>
              <w:spacing w:after="0"/>
              <w:rPr>
                <w:sz w:val="20"/>
                <w:szCs w:val="20"/>
                <w:color w:val="auto"/>
              </w:rPr>
            </w:pPr>
            <w:r>
              <w:rPr>
                <w:rFonts w:ascii="Arial" w:cs="Arial" w:eastAsia="Arial" w:hAnsi="Arial"/>
                <w:sz w:val="15"/>
                <w:szCs w:val="15"/>
                <w:color w:val="auto"/>
              </w:rPr>
              <w:t>101.LAB</w:t>
            </w:r>
          </w:p>
        </w:tc>
        <w:tc>
          <w:tcPr>
            <w:tcW w:w="10060" w:type="dxa"/>
            <w:vAlign w:val="bottom"/>
          </w:tcPr>
          <w:p>
            <w:pPr>
              <w:ind w:left="100"/>
              <w:spacing w:after="0"/>
              <w:rPr>
                <w:sz w:val="20"/>
                <w:szCs w:val="20"/>
                <w:color w:val="auto"/>
              </w:rPr>
            </w:pPr>
            <w:r>
              <w:rPr>
                <w:rFonts w:ascii="Arial" w:cs="Arial" w:eastAsia="Arial" w:hAnsi="Arial"/>
                <w:sz w:val="15"/>
                <w:szCs w:val="15"/>
                <w:color w:val="auto"/>
              </w:rPr>
              <w:t>XBRL Taxonomy Extension Label Linkbase Document</w:t>
            </w:r>
          </w:p>
        </w:tc>
      </w:tr>
      <w:tr>
        <w:trPr>
          <w:trHeight w:val="239"/>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101.PRE</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XBRL Taxonomy Extension Presentation Linkbase Document</w:t>
            </w:r>
          </w:p>
        </w:tc>
      </w:tr>
      <w:tr>
        <w:trPr>
          <w:trHeight w:val="218"/>
        </w:trPr>
        <w:tc>
          <w:tcPr>
            <w:tcW w:w="1180" w:type="dxa"/>
            <w:vAlign w:val="bottom"/>
          </w:tcPr>
          <w:p>
            <w:pPr>
              <w:jc w:val="center"/>
              <w:spacing w:after="0"/>
              <w:rPr>
                <w:sz w:val="20"/>
                <w:szCs w:val="20"/>
                <w:color w:val="auto"/>
              </w:rPr>
            </w:pPr>
            <w:r>
              <w:rPr>
                <w:rFonts w:ascii="Arial" w:cs="Arial" w:eastAsia="Arial" w:hAnsi="Arial"/>
                <w:sz w:val="15"/>
                <w:szCs w:val="15"/>
                <w:color w:val="auto"/>
              </w:rPr>
              <w:t>104*</w:t>
            </w:r>
          </w:p>
        </w:tc>
        <w:tc>
          <w:tcPr>
            <w:tcW w:w="10060" w:type="dxa"/>
            <w:vAlign w:val="bottom"/>
          </w:tcPr>
          <w:p>
            <w:pPr>
              <w:ind w:left="100"/>
              <w:spacing w:after="0"/>
              <w:rPr>
                <w:sz w:val="20"/>
                <w:szCs w:val="20"/>
                <w:color w:val="auto"/>
              </w:rPr>
            </w:pPr>
            <w:r>
              <w:rPr>
                <w:rFonts w:ascii="Arial" w:cs="Arial" w:eastAsia="Arial" w:hAnsi="Arial"/>
                <w:sz w:val="15"/>
                <w:szCs w:val="15"/>
                <w:color w:val="auto"/>
              </w:rPr>
              <w:t>Inline XBRL for the cover page of this Quarterly Report on Form 10-Q, included in the Exhibit 101 Inline XBRL Document Set.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58" w:lineRule="exact"/>
        <w:rPr>
          <w:sz w:val="20"/>
          <w:szCs w:val="20"/>
          <w:color w:val="auto"/>
        </w:rPr>
      </w:pPr>
    </w:p>
    <w:p>
      <w:pPr>
        <w:ind w:left="140" w:hanging="137"/>
        <w:spacing w:after="0"/>
        <w:tabs>
          <w:tab w:leader="none" w:pos="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50"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31"/>
          <w:szCs w:val="31"/>
          <w:color w:val="auto"/>
        </w:rPr>
        <w:t>Signature</w:t>
      </w:r>
    </w:p>
    <w:p>
      <w:pPr>
        <w:spacing w:after="0" w:line="109"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65"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660" w:type="dxa"/>
            <w:vAlign w:val="bottom"/>
          </w:tcPr>
          <w:p>
            <w:pPr>
              <w:spacing w:after="0"/>
              <w:rPr>
                <w:sz w:val="18"/>
                <w:szCs w:val="18"/>
                <w:color w:val="auto"/>
              </w:rPr>
            </w:pPr>
          </w:p>
        </w:tc>
        <w:tc>
          <w:tcPr>
            <w:tcW w:w="9760" w:type="dxa"/>
            <w:vAlign w:val="bottom"/>
            <w:gridSpan w:val="2"/>
          </w:tcPr>
          <w:p>
            <w:pPr>
              <w:ind w:left="3960"/>
              <w:spacing w:after="0"/>
              <w:rPr>
                <w:sz w:val="20"/>
                <w:szCs w:val="20"/>
                <w:color w:val="auto"/>
              </w:rPr>
            </w:pPr>
            <w:r>
              <w:rPr>
                <w:rFonts w:ascii="Arial" w:cs="Arial" w:eastAsia="Arial" w:hAnsi="Arial"/>
                <w:sz w:val="15"/>
                <w:szCs w:val="15"/>
                <w:b w:val="1"/>
                <w:bCs w:val="1"/>
                <w:color w:val="auto"/>
              </w:rPr>
              <w:t>WillScot Holdings Corporation</w:t>
            </w:r>
          </w:p>
        </w:tc>
      </w:tr>
      <w:tr>
        <w:trPr>
          <w:trHeight w:val="438"/>
        </w:trPr>
        <w:tc>
          <w:tcPr>
            <w:tcW w:w="660" w:type="dxa"/>
            <w:vAlign w:val="bottom"/>
          </w:tcPr>
          <w:p>
            <w:pPr>
              <w:spacing w:after="0"/>
              <w:rPr>
                <w:sz w:val="24"/>
                <w:szCs w:val="24"/>
                <w:color w:val="auto"/>
              </w:rPr>
            </w:pPr>
          </w:p>
        </w:tc>
        <w:tc>
          <w:tcPr>
            <w:tcW w:w="4540" w:type="dxa"/>
            <w:vAlign w:val="bottom"/>
          </w:tcPr>
          <w:p>
            <w:pPr>
              <w:ind w:left="3960"/>
              <w:spacing w:after="0"/>
              <w:rPr>
                <w:sz w:val="20"/>
                <w:szCs w:val="20"/>
                <w:color w:val="auto"/>
              </w:rPr>
            </w:pPr>
            <w:r>
              <w:rPr>
                <w:rFonts w:ascii="Arial" w:cs="Arial" w:eastAsia="Arial" w:hAnsi="Arial"/>
                <w:sz w:val="15"/>
                <w:szCs w:val="15"/>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MATTHEW T. JACOBSEN</w:t>
            </w:r>
          </w:p>
        </w:tc>
      </w:tr>
      <w:tr>
        <w:trPr>
          <w:trHeight w:val="218"/>
        </w:trPr>
        <w:tc>
          <w:tcPr>
            <w:tcW w:w="660" w:type="dxa"/>
            <w:vAlign w:val="bottom"/>
          </w:tcPr>
          <w:p>
            <w:pPr>
              <w:spacing w:after="0"/>
              <w:rPr>
                <w:sz w:val="20"/>
                <w:szCs w:val="20"/>
                <w:color w:val="auto"/>
              </w:rPr>
            </w:pPr>
            <w:r>
              <w:rPr>
                <w:rFonts w:ascii="Arial" w:cs="Arial" w:eastAsia="Arial" w:hAnsi="Arial"/>
                <w:sz w:val="15"/>
                <w:szCs w:val="15"/>
                <w:color w:val="auto"/>
              </w:rPr>
              <w:t>Dated:</w:t>
            </w:r>
          </w:p>
        </w:tc>
        <w:tc>
          <w:tcPr>
            <w:tcW w:w="4540" w:type="dxa"/>
            <w:vAlign w:val="bottom"/>
          </w:tcPr>
          <w:p>
            <w:pPr>
              <w:ind w:left="200"/>
              <w:spacing w:after="0"/>
              <w:rPr>
                <w:sz w:val="20"/>
                <w:szCs w:val="20"/>
                <w:color w:val="auto"/>
              </w:rPr>
            </w:pPr>
            <w:r>
              <w:rPr>
                <w:rFonts w:ascii="Arial" w:cs="Arial" w:eastAsia="Arial" w:hAnsi="Arial"/>
                <w:sz w:val="15"/>
                <w:szCs w:val="15"/>
                <w:color w:val="auto"/>
              </w:rPr>
              <w:t>November 6, 2025</w:t>
            </w:r>
          </w:p>
        </w:tc>
        <w:tc>
          <w:tcPr>
            <w:tcW w:w="5220" w:type="dxa"/>
            <w:vAlign w:val="bottom"/>
          </w:tcPr>
          <w:p>
            <w:pPr>
              <w:spacing w:after="0"/>
              <w:rPr>
                <w:sz w:val="20"/>
                <w:szCs w:val="20"/>
                <w:color w:val="auto"/>
              </w:rPr>
            </w:pPr>
            <w:r>
              <w:rPr>
                <w:rFonts w:ascii="Arial" w:cs="Arial" w:eastAsia="Arial" w:hAnsi="Arial"/>
                <w:sz w:val="15"/>
                <w:szCs w:val="15"/>
                <w:color w:val="auto"/>
              </w:rPr>
              <w:t>Matthew T. Jacobsen</w:t>
            </w:r>
          </w:p>
        </w:tc>
      </w:tr>
      <w:tr>
        <w:trPr>
          <w:trHeight w:val="209"/>
        </w:trPr>
        <w:tc>
          <w:tcPr>
            <w:tcW w:w="6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5"/>
                <w:szCs w:val="15"/>
                <w:i w:val="1"/>
                <w:iCs w:val="1"/>
                <w:color w:val="auto"/>
              </w:rPr>
              <w:t>Chief Financial Officer</w:t>
            </w:r>
          </w:p>
        </w:tc>
      </w:tr>
      <w:tr>
        <w:trPr>
          <w:trHeight w:val="204"/>
        </w:trPr>
        <w:tc>
          <w:tcPr>
            <w:tcW w:w="6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5"/>
                <w:szCs w:val="15"/>
                <w:i w:val="1"/>
                <w:iCs w:val="1"/>
                <w:color w:val="auto"/>
              </w:rPr>
              <w:t>(Principal Financial Officer and Duly Authorized Signing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109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Bradley L. Soultz, certify that:</w:t>
      </w:r>
    </w:p>
    <w:p>
      <w:pPr>
        <w:spacing w:after="0" w:line="279" w:lineRule="exact"/>
        <w:rPr>
          <w:sz w:val="20"/>
          <w:szCs w:val="20"/>
          <w:color w:val="auto"/>
        </w:rPr>
      </w:pPr>
    </w:p>
    <w:p>
      <w:pPr>
        <w:ind w:left="180" w:hanging="177"/>
        <w:spacing w:after="0"/>
        <w:tabs>
          <w:tab w:leader="none" w:pos="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Holdings Corporation;</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1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1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1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1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1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November 6, 2025</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Executive Officer and Director</w:t>
      </w:r>
    </w:p>
    <w:p>
      <w:pPr>
        <w:ind w:left="67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Matthew Jacobsen, certify that:</w:t>
      </w:r>
    </w:p>
    <w:p>
      <w:pPr>
        <w:spacing w:after="0" w:line="279" w:lineRule="exact"/>
        <w:rPr>
          <w:sz w:val="20"/>
          <w:szCs w:val="20"/>
          <w:color w:val="auto"/>
        </w:rPr>
      </w:pPr>
    </w:p>
    <w:p>
      <w:pPr>
        <w:ind w:left="180" w:hanging="177"/>
        <w:spacing w:after="0"/>
        <w:tabs>
          <w:tab w:leader="none" w:pos="1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Holdings Corporation;</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1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1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1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1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1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November 6, 2025</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MATTHEW T.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Matthew T. Jacobsen</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Financial Officer</w:t>
      </w:r>
    </w:p>
    <w:p>
      <w:pPr>
        <w:ind w:left="67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Holdings Corporation (the “Company”) hereby certifies, to such officer's knowledge, that:</w:t>
      </w:r>
    </w:p>
    <w:p>
      <w:pPr>
        <w:spacing w:after="0" w:line="1" w:lineRule="exact"/>
        <w:rPr>
          <w:sz w:val="20"/>
          <w:szCs w:val="20"/>
          <w:color w:val="auto"/>
        </w:rPr>
      </w:pPr>
    </w:p>
    <w:p>
      <w:pPr>
        <w:ind w:left="620" w:firstLine="2"/>
        <w:spacing w:after="0" w:line="376" w:lineRule="auto"/>
        <w:tabs>
          <w:tab w:leader="none" w:pos="8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September 30, 2025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November 6, 2025</w:t>
      </w:r>
    </w:p>
    <w:p>
      <w:pPr>
        <w:spacing w:after="0" w:line="98"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20955</wp:posOffset>
            </wp:positionV>
            <wp:extent cx="25215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60"/>
        <w:spacing w:after="0"/>
        <w:rPr>
          <w:sz w:val="20"/>
          <w:szCs w:val="20"/>
          <w:color w:val="auto"/>
        </w:rPr>
      </w:pPr>
      <w:r>
        <w:rPr>
          <w:rFonts w:ascii="Arial" w:cs="Arial" w:eastAsia="Arial" w:hAnsi="Arial"/>
          <w:sz w:val="15"/>
          <w:szCs w:val="15"/>
          <w:i w:val="1"/>
          <w:iCs w:val="1"/>
          <w:color w:val="auto"/>
        </w:rPr>
        <w:t>Officer)</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Holdings Corporation (the “Company”) hereby certifies, to such officer's knowledge, that:</w:t>
      </w:r>
    </w:p>
    <w:p>
      <w:pPr>
        <w:spacing w:after="0" w:line="1" w:lineRule="exact"/>
        <w:rPr>
          <w:sz w:val="20"/>
          <w:szCs w:val="20"/>
          <w:color w:val="auto"/>
        </w:rPr>
      </w:pPr>
    </w:p>
    <w:p>
      <w:pPr>
        <w:ind w:left="620" w:firstLine="2"/>
        <w:spacing w:after="0" w:line="376" w:lineRule="auto"/>
        <w:tabs>
          <w:tab w:leader="none" w:pos="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September 30, 2025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November 6, 2025</w:t>
      </w:r>
    </w:p>
    <w:p>
      <w:pPr>
        <w:spacing w:after="0" w:line="9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MATTHEW T.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20955</wp:posOffset>
            </wp:positionV>
            <wp:extent cx="25215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Matthew T. Jacobsen</w:t>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Chief Financial Officer</w:t>
      </w:r>
    </w:p>
    <w:p>
      <w:pPr>
        <w:ind w:left="7240"/>
        <w:spacing w:after="0"/>
        <w:rPr>
          <w:sz w:val="20"/>
          <w:szCs w:val="20"/>
          <w:color w:val="auto"/>
        </w:rPr>
      </w:pPr>
      <w:r>
        <w:rPr>
          <w:rFonts w:ascii="Arial" w:cs="Arial" w:eastAsia="Arial" w:hAnsi="Arial"/>
          <w:sz w:val="15"/>
          <w:szCs w:val="15"/>
          <w:i w:val="1"/>
          <w:iCs w:val="1"/>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Roman"/>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62" Type="http://schemas.openxmlformats.org/officeDocument/2006/relationships/hyperlink" Target="https://www.sec.gov/Archives/edgar/data/1647088/000164708825000050/ex101-willscotxboswellempl.htm" TargetMode="External"/><Relationship Id="rId63" Type="http://schemas.openxmlformats.org/officeDocument/2006/relationships/hyperlink" Target="https://www.sec.gov/Archives/edgar/data/1647088/000164708825000050/ex102-wscxsoultzseparation.htm" TargetMode="External"/><Relationship Id="rId64" Type="http://schemas.openxmlformats.org/officeDocument/2006/relationships/hyperlink" Target="https://www.sec.gov/Archives/edgar/data/1647088/000164708825000050/ex103-willscotstockoptiona.htm" TargetMode="External"/><Relationship Id="rId65" Type="http://schemas.openxmlformats.org/officeDocument/2006/relationships/hyperlink" Target="https://www.sec.gov/Archives/edgar/data/1647088/000164708825000050/ex104-wscofferletter_worth.htm" TargetMode="External"/><Relationship Id="rId66" Type="http://schemas.openxmlformats.org/officeDocument/2006/relationships/hyperlink" Target="https://www.sec.gov/Archives/edgar/data/1647088/000164708825000057/exhibit101-willscotabl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2025-11-06T16:21:06Z</dcterms:created>
  <dcterms:modified xsi:type="dcterms:W3CDTF">2025-11-06T16:21:06Z</dcterms:modified>
</cp:coreProperties>
</file>